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项目固定资产管理保护承诺书（样式）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ascii="宋体" w:hAnsi="宋体" w:eastAsia="宋体" w:cs="宋体"/>
          <w:b w:val="0"/>
          <w:bCs w:val="0"/>
          <w:color w:val="333333"/>
          <w:sz w:val="43"/>
          <w:szCs w:val="4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textAlignment w:val="auto"/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eastAsia="zh-CN"/>
        </w:rPr>
        <w:t>永福县科技工信和商贸局</w:t>
      </w: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我单位承诺，如果被认定为202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  <w:t>4</w:t>
      </w: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年度县域商业建设补助项目，将严格按照桂林市商务局、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eastAsia="zh-CN"/>
        </w:rPr>
        <w:t>永福县科技工信和商贸局</w:t>
      </w: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的要求，对以中央财政资金支出形成的固定资产进行造册登记，形成固定资产清单，并管理保护好固定资产。在上级确定的项目实施有效期限内，不私自拆除、损毁、转移、转让、出售固定资产。如有发生我单位私自拆除、损毁、转移、转让、出售固定资产行为，自愿接受上级主管部门和司法机关依法处置。如确因不可抗力导致的项目固定资产损毁，将在固定资产损毁发生之日起</w:t>
      </w:r>
      <w:r>
        <w:rPr>
          <w:rFonts w:hint="default"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15</w:t>
      </w: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日内书面报告贵局。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  <w:t>以上承诺，如有违反，愿意承担由此导致的全部责任和后果。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4200" w:firstLineChars="1500"/>
        <w:textAlignment w:val="auto"/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</w:rPr>
      </w:pPr>
      <w:r>
        <w:rPr>
          <w:rFonts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  <w:t>承诺企业（公章）：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  <w:t xml:space="preserve">                          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28"/>
          <w:szCs w:val="28"/>
          <w:lang w:val="en-US" w:eastAsia="zh-CN"/>
        </w:rPr>
        <w:t xml:space="preserve">        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909D4"/>
    <w:rsid w:val="6E19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2025-02-03T06:32:00Z</dcterms:created>
  <dc:creator>Administrator</dc:creator>
  <cp:lastModifiedBy>Administrator</cp:lastModifiedBy>
  <dcterms:modified xsi:type="dcterms:W3CDTF">2025-02-03T06:33:13Z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0EDDD35F73A34520A6402079DA5F29CB</vt:lpwstr>
  </property>
</Properties>
</file>