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val="0"/>
        <w:snapToGrid w:val="0"/>
        <w:spacing w:line="590" w:lineRule="exact"/>
        <w:jc w:val="center"/>
        <w:rPr>
          <w:rFonts w:hint="eastAsia"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2045"/>
        <w:gridCol w:w="1782"/>
        <w:gridCol w:w="1012"/>
        <w:gridCol w:w="1336"/>
        <w:gridCol w:w="1806"/>
        <w:gridCol w:w="770"/>
        <w:gridCol w:w="751"/>
        <w:gridCol w:w="789"/>
        <w:gridCol w:w="977"/>
        <w:gridCol w:w="781"/>
        <w:gridCol w:w="893"/>
      </w:tblGrid>
      <w:tr>
        <w:tblPrEx>
          <w:tblLayout w:type="fixed"/>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公开事项</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公开内容</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（要素）</w:t>
            </w:r>
          </w:p>
        </w:tc>
        <w:tc>
          <w:tcPr>
            <w:tcW w:w="178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pPr>
            <w:r>
              <w:rPr>
                <w:rFonts w:hint="eastAsia" w:ascii="方正黑体_GBK" w:hAnsi="黑体" w:eastAsia="方正黑体_GBK" w:cs="宋体"/>
                <w:color w:val="000000"/>
                <w:sz w:val="24"/>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公开渠道和载体</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公开对象</w:t>
            </w:r>
          </w:p>
        </w:tc>
        <w:tc>
          <w:tcPr>
            <w:tcW w:w="1766"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公开方式</w:t>
            </w:r>
          </w:p>
        </w:tc>
        <w:tc>
          <w:tcPr>
            <w:tcW w:w="1674"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公开层级</w:t>
            </w:r>
          </w:p>
        </w:tc>
      </w:tr>
      <w:tr>
        <w:tblPrEx>
          <w:tblLayout w:type="fixed"/>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eastAsia="方正黑体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一级事项</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二级事项</w:t>
            </w:r>
          </w:p>
        </w:tc>
        <w:tc>
          <w:tcPr>
            <w:tcW w:w="20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全社会</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特定群众</w:t>
            </w: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主动</w:t>
            </w: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依申请公开</w:t>
            </w: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县级</w:t>
            </w: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乡、村级</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1</w:t>
            </w:r>
          </w:p>
        </w:tc>
        <w:tc>
          <w:tcPr>
            <w:tcW w:w="770" w:type="dxa"/>
            <w:tcBorders>
              <w:top w:val="nil"/>
              <w:left w:val="single" w:color="auto" w:sz="4" w:space="0"/>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2045" w:type="dxa"/>
            <w:tcBorders>
              <w:top w:val="nil"/>
              <w:left w:val="nil"/>
              <w:bottom w:val="single" w:color="auto" w:sz="4" w:space="0"/>
              <w:right w:val="single" w:color="auto" w:sz="4" w:space="0"/>
            </w:tcBorders>
            <w:vAlign w:val="center"/>
          </w:tcPr>
          <w:p>
            <w:pPr>
              <w:jc w:val="left"/>
              <w:rPr>
                <w:rFonts w:hint="eastAsia" w:eastAsia="方正仿宋_GBK" w:cs="方正仿宋_GBK"/>
                <w:color w:val="000000"/>
                <w:sz w:val="32"/>
                <w:szCs w:val="32"/>
              </w:rPr>
            </w:pPr>
            <w:r>
              <w:rPr>
                <w:rFonts w:hint="eastAsia" w:ascii="仿宋_GB2312" w:hAnsi="宋体" w:eastAsia="仿宋_GB2312"/>
                <w:color w:val="000000"/>
                <w:sz w:val="21"/>
                <w:szCs w:val="21"/>
              </w:rPr>
              <w:t>财务管理及监督办法、</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年度经费预决算信息、收费项目及收费标准</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2</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招生管理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学校介绍</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办学性质、办学地点、办学规模、办学基本条件、联系方式等</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sz w:val="21"/>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pPr>
              <w:snapToGrid w:val="0"/>
              <w:spacing w:line="300" w:lineRule="exact"/>
            </w:pPr>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3</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学生管理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义务教育学生资助政策</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统一城乡义务教育“两免一补”政策</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4</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lang w:eastAsia="zh-CN"/>
              </w:rPr>
            </w:pPr>
            <w:r>
              <w:rPr>
                <w:rFonts w:hint="eastAsia" w:ascii="仿宋_GB2312" w:hAnsi="宋体" w:eastAsia="仿宋_GB2312"/>
                <w:sz w:val="21"/>
                <w:szCs w:val="21"/>
                <w:lang w:eastAsia="zh-CN"/>
              </w:rPr>
              <w:t>教师管理</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教师职称评审</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评审政策、评审通知、学校拟推荐人选名单、评审结果</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、最终结果</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教师</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2045"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78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01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336" w:type="dxa"/>
            <w:tcBorders>
              <w:top w:val="nil"/>
              <w:left w:val="nil"/>
              <w:bottom w:val="single" w:color="auto" w:sz="4" w:space="0"/>
              <w:right w:val="single" w:color="auto" w:sz="4" w:space="0"/>
            </w:tcBorders>
            <w:vAlign w:val="center"/>
          </w:tcPr>
          <w:p>
            <w:pPr>
              <w:snapToGrid w:val="0"/>
              <w:spacing w:line="300" w:lineRule="exact"/>
            </w:pP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r>
    </w:tbl>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numPr>
          <w:ilvl w:val="0"/>
          <w:numId w:val="1"/>
        </w:numPr>
        <w:adjustRightInd w:val="0"/>
        <w:snapToGrid w:val="0"/>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户籍管理领域基层政务公开标准目录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pPr w:leftFromText="180" w:rightFromText="180" w:vertAnchor="text" w:horzAnchor="page" w:tblpX="1714" w:tblpY="650"/>
        <w:tblOverlap w:val="never"/>
        <w:tblW w:w="1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blHeader/>
        </w:trPr>
        <w:tc>
          <w:tcPr>
            <w:tcW w:w="501"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6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159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03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616"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311"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79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646"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24"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3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tblHeader/>
        </w:trPr>
        <w:tc>
          <w:tcPr>
            <w:tcW w:w="501" w:type="dxa"/>
            <w:vMerge w:val="continue"/>
            <w:vAlign w:val="center"/>
          </w:tcPr>
          <w:p>
            <w:pPr>
              <w:snapToGrid w:val="0"/>
              <w:spacing w:line="300" w:lineRule="exact"/>
              <w:jc w:val="center"/>
              <w:rPr>
                <w:rFonts w:hint="eastAsia" w:ascii="方正黑体_GBK" w:eastAsia="方正黑体_GBK"/>
                <w:color w:val="000000"/>
                <w:sz w:val="24"/>
              </w:rPr>
            </w:pPr>
          </w:p>
        </w:tc>
        <w:tc>
          <w:tcPr>
            <w:tcW w:w="836"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835"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1590" w:type="dxa"/>
            <w:vMerge w:val="continue"/>
            <w:vAlign w:val="center"/>
          </w:tcPr>
          <w:p>
            <w:pPr>
              <w:snapToGrid w:val="0"/>
              <w:spacing w:line="300" w:lineRule="exact"/>
              <w:jc w:val="center"/>
              <w:rPr>
                <w:rFonts w:hint="eastAsia" w:ascii="方正黑体_GBK" w:eastAsia="方正黑体_GBK"/>
                <w:color w:val="000000"/>
                <w:sz w:val="24"/>
              </w:rPr>
            </w:pPr>
          </w:p>
        </w:tc>
        <w:tc>
          <w:tcPr>
            <w:tcW w:w="2035" w:type="dxa"/>
            <w:vMerge w:val="continue"/>
            <w:vAlign w:val="center"/>
          </w:tcPr>
          <w:p>
            <w:pPr>
              <w:snapToGrid w:val="0"/>
              <w:spacing w:line="300" w:lineRule="exact"/>
              <w:jc w:val="center"/>
              <w:rPr>
                <w:rFonts w:hint="eastAsia" w:ascii="方正黑体_GBK" w:eastAsia="方正黑体_GBK"/>
                <w:color w:val="000000"/>
                <w:sz w:val="24"/>
              </w:rPr>
            </w:pPr>
          </w:p>
        </w:tc>
        <w:tc>
          <w:tcPr>
            <w:tcW w:w="1616" w:type="dxa"/>
            <w:vMerge w:val="continue"/>
            <w:vAlign w:val="center"/>
          </w:tcPr>
          <w:p>
            <w:pPr>
              <w:snapToGrid w:val="0"/>
              <w:spacing w:line="300" w:lineRule="exact"/>
              <w:jc w:val="center"/>
              <w:rPr>
                <w:rFonts w:hint="eastAsia" w:ascii="方正黑体_GBK" w:eastAsia="方正黑体_GBK"/>
                <w:color w:val="000000"/>
                <w:sz w:val="24"/>
              </w:rPr>
            </w:pPr>
          </w:p>
        </w:tc>
        <w:tc>
          <w:tcPr>
            <w:tcW w:w="1311" w:type="dxa"/>
            <w:vMerge w:val="continue"/>
            <w:vAlign w:val="center"/>
          </w:tcPr>
          <w:p>
            <w:pPr>
              <w:snapToGrid w:val="0"/>
              <w:spacing w:line="300" w:lineRule="exact"/>
              <w:jc w:val="center"/>
            </w:pPr>
          </w:p>
        </w:tc>
        <w:tc>
          <w:tcPr>
            <w:tcW w:w="1795" w:type="dxa"/>
            <w:vMerge w:val="continue"/>
            <w:vAlign w:val="center"/>
          </w:tcPr>
          <w:p>
            <w:pPr>
              <w:snapToGrid w:val="0"/>
              <w:spacing w:line="300" w:lineRule="exact"/>
              <w:jc w:val="center"/>
              <w:rPr>
                <w:rFonts w:hint="eastAsia" w:ascii="方正黑体_GBK" w:eastAsia="方正黑体_GBK"/>
                <w:color w:val="000000"/>
                <w:sz w:val="24"/>
              </w:rPr>
            </w:pPr>
          </w:p>
        </w:tc>
        <w:tc>
          <w:tcPr>
            <w:tcW w:w="822"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82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44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83"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547"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88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36"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《户口登记条例》、《收养法》、《中国公民收养子女登记办法》（民政部第14号令）、《国籍法》、《政府信息公开条例》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835" w:type="dxa"/>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《关于公民手术变性后变更户口登记性别项目有关问题的批复》（公治[2008]478号）、《政府信息公开条例》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《中国公民民族成份登记管理办法》（国家民委 公安部令第2号）、《政府信息公开条例》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1"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《临时居民身份证管理办法》（公安部令第78号）、《政府信息公开条例》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6"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《居民身份证法》、《公安部关于印发&lt;关于建立居民身份证异地受理挂失申报和丢失招领制度的意见&gt;的通知》（公通字〔2015〕34号）、《政府信息公开条例》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方正小标宋_GBK" w:eastAsia="方正小标宋_GBK"/>
          <w:sz w:val="44"/>
          <w:szCs w:val="44"/>
        </w:rPr>
      </w:pPr>
      <w:bookmarkStart w:id="1" w:name="_Toc24724708"/>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both"/>
        <w:rPr>
          <w:rFonts w:ascii="方正小标宋_GBK" w:eastAsia="方正小标宋_GBK"/>
          <w:sz w:val="44"/>
          <w:szCs w:val="44"/>
        </w:rPr>
      </w:pPr>
    </w:p>
    <w:p>
      <w:pPr>
        <w:numPr>
          <w:ilvl w:val="0"/>
          <w:numId w:val="2"/>
        </w:numPr>
        <w:jc w:val="center"/>
        <w:rPr>
          <w:rFonts w:hint="eastAsia" w:ascii="方正小标宋_GBK" w:eastAsia="方正小标宋_GBK"/>
          <w:sz w:val="44"/>
          <w:szCs w:val="44"/>
        </w:rPr>
      </w:pPr>
      <w:r>
        <w:rPr>
          <w:rFonts w:hint="eastAsia" w:ascii="方正小标宋_GBK" w:eastAsia="方正小标宋_GBK"/>
          <w:sz w:val="44"/>
          <w:szCs w:val="44"/>
        </w:rPr>
        <w:t>社会救助领域基层政务公开标准目录</w:t>
      </w:r>
      <w:bookmarkEnd w:id="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1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5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4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62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80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160" w:type="dxa"/>
            <w:vMerge w:val="continue"/>
            <w:vAlign w:val="center"/>
          </w:tcPr>
          <w:p>
            <w:pPr>
              <w:snapToGrid w:val="0"/>
              <w:spacing w:line="300" w:lineRule="exact"/>
              <w:jc w:val="center"/>
              <w:rPr>
                <w:rFonts w:hint="eastAsia" w:ascii="方正黑体_GBK" w:eastAsia="方正黑体_GBK"/>
                <w:color w:val="000000"/>
                <w:sz w:val="24"/>
              </w:rPr>
            </w:pPr>
          </w:p>
        </w:tc>
        <w:tc>
          <w:tcPr>
            <w:tcW w:w="2520" w:type="dxa"/>
            <w:vMerge w:val="continue"/>
            <w:vAlign w:val="center"/>
          </w:tcPr>
          <w:p>
            <w:pPr>
              <w:snapToGrid w:val="0"/>
              <w:spacing w:line="300" w:lineRule="exact"/>
              <w:jc w:val="center"/>
              <w:rPr>
                <w:rFonts w:hint="eastAsia" w:ascii="方正黑体_GBK" w:eastAsia="方正黑体_GBK"/>
                <w:color w:val="000000"/>
                <w:sz w:val="24"/>
              </w:rPr>
            </w:pPr>
          </w:p>
        </w:tc>
        <w:tc>
          <w:tcPr>
            <w:tcW w:w="1440" w:type="dxa"/>
            <w:vMerge w:val="continue"/>
            <w:vAlign w:val="center"/>
          </w:tcPr>
          <w:p>
            <w:pPr>
              <w:snapToGrid w:val="0"/>
              <w:spacing w:line="300" w:lineRule="exact"/>
              <w:jc w:val="center"/>
              <w:rPr>
                <w:rFonts w:hint="eastAsia" w:ascii="方正黑体_GBK" w:eastAsia="方正黑体_GBK"/>
                <w:color w:val="000000"/>
                <w:sz w:val="24"/>
              </w:rPr>
            </w:pPr>
          </w:p>
        </w:tc>
        <w:tc>
          <w:tcPr>
            <w:tcW w:w="1620" w:type="dxa"/>
            <w:vMerge w:val="continue"/>
            <w:vAlign w:val="center"/>
          </w:tcPr>
          <w:p>
            <w:pPr>
              <w:snapToGrid w:val="0"/>
              <w:spacing w:line="300" w:lineRule="exact"/>
              <w:jc w:val="center"/>
            </w:pPr>
          </w:p>
        </w:tc>
        <w:tc>
          <w:tcPr>
            <w:tcW w:w="180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《社会救助暂行办法》（国令第649号）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《国务院关于进一步加强和改进最低生活保障工作的意见》（国发〔2012〕45号）、《最低生活保障审核审批办法（试行）》、各地配套政策法规文件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《国务院关于全面建立临时救助制度的通知》（国发〔2014〕47号）、《民政部 财政部关于进一步加强和改进临时救助工作的意见》、各地配套政策法规文件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440" w:lineRule="exact"/>
        <w:ind w:firstLine="640" w:firstLineChars="200"/>
        <w:rPr>
          <w:rFonts w:hint="eastAsia"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pPr>
        <w:numPr>
          <w:ilvl w:val="0"/>
          <w:numId w:val="2"/>
        </w:numPr>
        <w:jc w:val="center"/>
        <w:rPr>
          <w:rFonts w:hint="eastAsia"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216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8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19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2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08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6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14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880" w:type="dxa"/>
            <w:vMerge w:val="continue"/>
            <w:vAlign w:val="center"/>
          </w:tcPr>
          <w:p>
            <w:pPr>
              <w:snapToGrid w:val="0"/>
              <w:spacing w:line="300" w:lineRule="exact"/>
              <w:jc w:val="center"/>
              <w:rPr>
                <w:rFonts w:hint="eastAsia" w:ascii="方正黑体_GBK" w:eastAsia="方正黑体_GBK"/>
                <w:color w:val="000000"/>
                <w:sz w:val="24"/>
              </w:rPr>
            </w:pPr>
          </w:p>
        </w:tc>
        <w:tc>
          <w:tcPr>
            <w:tcW w:w="1980" w:type="dxa"/>
            <w:vMerge w:val="continue"/>
            <w:vAlign w:val="center"/>
          </w:tcPr>
          <w:p>
            <w:pPr>
              <w:snapToGrid w:val="0"/>
              <w:spacing w:line="300" w:lineRule="exact"/>
              <w:jc w:val="center"/>
              <w:rPr>
                <w:rFonts w:hint="eastAsia" w:ascii="方正黑体_GBK" w:eastAsia="方正黑体_GBK"/>
                <w:color w:val="000000"/>
                <w:sz w:val="24"/>
              </w:rPr>
            </w:pPr>
          </w:p>
        </w:tc>
        <w:tc>
          <w:tcPr>
            <w:tcW w:w="1260" w:type="dxa"/>
            <w:vMerge w:val="continue"/>
            <w:vAlign w:val="center"/>
          </w:tcPr>
          <w:p>
            <w:pPr>
              <w:snapToGrid w:val="0"/>
              <w:spacing w:line="300" w:lineRule="exact"/>
              <w:jc w:val="center"/>
              <w:rPr>
                <w:rFonts w:hint="eastAsia" w:ascii="方正黑体_GBK" w:eastAsia="方正黑体_GBK"/>
                <w:color w:val="000000"/>
                <w:sz w:val="24"/>
              </w:rPr>
            </w:pPr>
          </w:p>
        </w:tc>
        <w:tc>
          <w:tcPr>
            <w:tcW w:w="1080" w:type="dxa"/>
            <w:vMerge w:val="continue"/>
            <w:vAlign w:val="center"/>
          </w:tcPr>
          <w:p>
            <w:pPr>
              <w:snapToGrid w:val="0"/>
              <w:spacing w:line="300" w:lineRule="exact"/>
              <w:jc w:val="center"/>
            </w:pPr>
          </w:p>
        </w:tc>
        <w:tc>
          <w:tcPr>
            <w:tcW w:w="162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r>
              <w:rPr>
                <w:rFonts w:hint="eastAsia" w:ascii="仿宋_GB2312" w:hAnsi="宋体" w:eastAsia="仿宋_GB2312"/>
                <w:color w:val="000000"/>
                <w:sz w:val="18"/>
                <w:szCs w:val="18"/>
              </w:rPr>
              <w:t>县级政府民政部门、乡镇政府（街道办事处）</w:t>
            </w:r>
          </w:p>
        </w:tc>
        <w:tc>
          <w:tcPr>
            <w:tcW w:w="16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r>
              <w:rPr>
                <w:rFonts w:hint="eastAsia" w:ascii="仿宋_GB2312" w:hAnsi="宋体" w:eastAsia="仿宋_GB2312"/>
                <w:color w:val="000000"/>
                <w:sz w:val="18"/>
                <w:szCs w:val="18"/>
              </w:rPr>
              <w:t xml:space="preserve">                                                                                                                                                                                </w:t>
            </w:r>
          </w:p>
        </w:tc>
        <w:tc>
          <w:tcPr>
            <w:tcW w:w="5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
      <w:pPr>
        <w:numPr>
          <w:ilvl w:val="0"/>
          <w:numId w:val="2"/>
        </w:numPr>
        <w:jc w:val="center"/>
        <w:rPr>
          <w:rFonts w:hint="eastAsia"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628"/>
        <w:gridCol w:w="1072"/>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2"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pPr>
            <w:r>
              <w:rPr>
                <w:rFonts w:hint="eastAsia" w:ascii="黑体" w:hAnsi="宋体" w:eastAsia="黑体" w:cs="宋体"/>
                <w:color w:val="000000"/>
                <w:kern w:val="0"/>
                <w:sz w:val="22"/>
              </w:rPr>
              <w:t>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8" w:type="dxa"/>
            <w:vMerge w:val="continue"/>
            <w:vAlign w:val="center"/>
          </w:tcPr>
          <w:p>
            <w:pPr>
              <w:widowControl/>
              <w:jc w:val="left"/>
              <w:rPr>
                <w:rFonts w:ascii="黑体" w:hAnsi="宋体" w:eastAsia="黑体" w:cs="宋体"/>
                <w:color w:val="000000"/>
                <w:kern w:val="0"/>
                <w:sz w:val="22"/>
              </w:rPr>
            </w:pPr>
          </w:p>
        </w:tc>
        <w:tc>
          <w:tcPr>
            <w:tcW w:w="1072" w:type="dxa"/>
            <w:vMerge w:val="continue"/>
            <w:vAlign w:val="center"/>
          </w:tcPr>
          <w:p>
            <w:pPr>
              <w:widowControl/>
              <w:jc w:val="left"/>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pPr>
              <w:widowControl/>
              <w:textAlignment w:val="center"/>
              <w:rPr>
                <w:rFonts w:eastAsia="仿宋_GB2312"/>
                <w:color w:val="000000"/>
                <w:sz w:val="18"/>
                <w:szCs w:val="18"/>
              </w:rPr>
            </w:pPr>
            <w:r>
              <w:rPr>
                <w:rFonts w:eastAsia="仿宋_GB2312"/>
                <w:color w:val="000000"/>
                <w:sz w:val="18"/>
                <w:szCs w:val="18"/>
              </w:rPr>
              <w:t>《中共中央、国务院转发&lt;中央宣传部、司法部关于在公民中开展法治宣传教育的第七个五年规划（2016－2020年）&gt;》（中发〔2016〕11号）、各省“七五”普法规划</w:t>
            </w:r>
          </w:p>
        </w:tc>
        <w:tc>
          <w:tcPr>
            <w:tcW w:w="1628"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widowControl/>
              <w:jc w:val="left"/>
              <w:textAlignment w:val="center"/>
              <w:rPr>
                <w:rFonts w:hint="eastAsia"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jc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政府网站</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lang w:eastAsia="zh-CN"/>
              </w:rPr>
              <w:t>政府公报</w:t>
            </w:r>
            <w:r>
              <w:rPr>
                <w:rFonts w:hint="eastAsia" w:eastAsia="方正仿宋_GBK" w:cs="方正仿宋_GBK"/>
                <w:color w:val="000000"/>
                <w:sz w:val="24"/>
              </w:rPr>
              <w:t xml:space="preserve">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r>
              <w:rPr>
                <w:rFonts w:hint="eastAsia" w:eastAsia="方正仿宋_GBK" w:cs="方正仿宋_GBK"/>
                <w:color w:val="000000"/>
                <w:sz w:val="24"/>
                <w:lang w:eastAsia="zh-CN"/>
              </w:rPr>
              <w:t>、听证会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left"/>
              <w:textAlignment w:val="center"/>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Pr>
        <w:numPr>
          <w:ilvl w:val="0"/>
          <w:numId w:val="3"/>
        </w:numPr>
        <w:adjustRightInd w:val="0"/>
        <w:snapToGrid w:val="0"/>
        <w:spacing w:line="590" w:lineRule="exact"/>
        <w:jc w:val="center"/>
        <w:rPr>
          <w:rFonts w:hint="eastAsia"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192" w:type="dxa"/>
        <w:jc w:val="center"/>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58" w:type="dxa"/>
            <w:vMerge w:val="restart"/>
            <w:vAlign w:val="center"/>
          </w:tcPr>
          <w:p>
            <w:pPr>
              <w:widowControl/>
              <w:jc w:val="cente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462" w:type="dxa"/>
            <w:vMerge w:val="continue"/>
            <w:vAlign w:val="center"/>
          </w:tcPr>
          <w:p>
            <w:pPr>
              <w:widowControl/>
              <w:jc w:val="left"/>
              <w:rPr>
                <w:rFonts w:ascii="黑体" w:hAnsi="宋体" w:eastAsia="黑体" w:cs="宋体"/>
                <w:color w:val="000000"/>
                <w:kern w:val="0"/>
                <w:sz w:val="22"/>
              </w:rPr>
            </w:pPr>
          </w:p>
        </w:tc>
        <w:tc>
          <w:tcPr>
            <w:tcW w:w="1058" w:type="dxa"/>
            <w:vMerge w:val="continue"/>
            <w:vAlign w:val="center"/>
          </w:tcPr>
          <w:p>
            <w:pPr>
              <w:widowControl/>
              <w:jc w:val="left"/>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Merge w:val="restart"/>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Merge w:val="continue"/>
            <w:vAlign w:val="center"/>
          </w:tcPr>
          <w:p>
            <w:pPr>
              <w:jc w:val="cente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《政府信息公开条例》、《出境入境管理法》、《国务院对确需保留的行政审批项目设定行政许可的决定》（国令第412号）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
    <w:p/>
    <w:p/>
    <w:p/>
    <w:p/>
    <w:p/>
    <w:p/>
    <w:p/>
    <w:p/>
    <w:p>
      <w:pPr>
        <w:numPr>
          <w:ilvl w:val="0"/>
          <w:numId w:val="3"/>
        </w:numPr>
        <w:adjustRightInd w:val="0"/>
        <w:snapToGrid w:val="0"/>
        <w:spacing w:line="590" w:lineRule="exact"/>
        <w:jc w:val="center"/>
        <w:rPr>
          <w:rFonts w:hint="eastAsia"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886" w:type="dxa"/>
        <w:jc w:val="center"/>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2729"/>
        <w:gridCol w:w="170"/>
        <w:gridCol w:w="1866"/>
        <w:gridCol w:w="170"/>
        <w:gridCol w:w="1620"/>
        <w:gridCol w:w="1185"/>
        <w:gridCol w:w="170"/>
        <w:gridCol w:w="1326"/>
        <w:gridCol w:w="170"/>
        <w:gridCol w:w="550"/>
        <w:gridCol w:w="170"/>
        <w:gridCol w:w="550"/>
        <w:gridCol w:w="170"/>
        <w:gridCol w:w="370"/>
        <w:gridCol w:w="170"/>
        <w:gridCol w:w="550"/>
        <w:gridCol w:w="170"/>
        <w:gridCol w:w="550"/>
        <w:gridCol w:w="170"/>
        <w:gridCol w:w="550"/>
        <w:gridCol w:w="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99"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pPr>
            <w:r>
              <w:rPr>
                <w:rFonts w:hint="eastAsia" w:ascii="黑体" w:hAnsi="宋体" w:eastAsia="黑体" w:cs="宋体"/>
                <w:color w:val="000000"/>
                <w:kern w:val="0"/>
                <w:sz w:val="22"/>
              </w:rPr>
              <w:t>公开主体</w:t>
            </w:r>
          </w:p>
        </w:tc>
        <w:tc>
          <w:tcPr>
            <w:tcW w:w="170" w:type="dxa"/>
          </w:tcPr>
          <w:p/>
        </w:tc>
        <w:tc>
          <w:tcPr>
            <w:tcW w:w="1496"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99" w:type="dxa"/>
            <w:gridSpan w:val="2"/>
            <w:vMerge w:val="continue"/>
            <w:vAlign w:val="center"/>
          </w:tcPr>
          <w:p>
            <w:pPr>
              <w:widowControl/>
              <w:rPr>
                <w:rFonts w:ascii="黑体" w:hAnsi="宋体" w:eastAsia="黑体" w:cs="宋体"/>
                <w:color w:val="000000"/>
                <w:kern w:val="0"/>
                <w:sz w:val="22"/>
              </w:rPr>
            </w:pPr>
          </w:p>
        </w:tc>
        <w:tc>
          <w:tcPr>
            <w:tcW w:w="2036" w:type="dxa"/>
            <w:gridSpan w:val="2"/>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pPr>
          </w:p>
        </w:tc>
        <w:tc>
          <w:tcPr>
            <w:tcW w:w="170" w:type="dxa"/>
          </w:tcPr>
          <w:p/>
        </w:tc>
        <w:tc>
          <w:tcPr>
            <w:tcW w:w="1496" w:type="dxa"/>
            <w:gridSpan w:val="2"/>
            <w:vMerge w:val="continue"/>
            <w:vAlign w:val="center"/>
          </w:tcPr>
          <w:p>
            <w:pPr>
              <w:widowControl/>
              <w:jc w:val="left"/>
              <w:rPr>
                <w:rFonts w:ascii="黑体" w:hAnsi="宋体" w:eastAsia="黑体" w:cs="宋体"/>
                <w:kern w:val="0"/>
                <w:sz w:val="22"/>
              </w:rPr>
            </w:pP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《政府信息公开条例》、《社会保险法》、《国务院关于机关事业单位工作人员养老保险制度改革的决定》（国发〔2015〕2号）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899" w:type="dxa"/>
            <w:gridSpan w:val="2"/>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899" w:type="dxa"/>
            <w:gridSpan w:val="2"/>
            <w:vMerge w:val="restart"/>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《信息公开条例》、《社会保险法》、《劳动保险条例》</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《政府信息公开条例》、《社会保险法》、《国务院办公厅关于转发人力资源社会保障部财政部城镇企业职工基本养老保险关系转移接续暂行办法的通知》（国办发〔2009〕66号）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9" w:hRule="exac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5" w:hRule="exac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《政府信息公开条例》、《社会保险法》、《人力资源社会保障部财政部关于印发＜城乡养老保险制度衔接暂行办法＞的通知》（人社部发〔2014〕17号）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5" w:hRule="exac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899" w:type="dxa"/>
            <w:gridSpan w:val="2"/>
            <w:vMerge w:val="restart"/>
            <w:vAlign w:val="center"/>
          </w:tcPr>
          <w:p>
            <w:pPr>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spacing w:line="360" w:lineRule="exact"/>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人力资源社会保障部门（或社会保障卡管理部门）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729" w:type="dxa"/>
            <w:vMerge w:val="restart"/>
            <w:vAlign w:val="center"/>
          </w:tcPr>
          <w:p>
            <w:pPr>
              <w:jc w:val="left"/>
              <w:rPr>
                <w:rFonts w:ascii="仿宋_GB2312" w:hAnsi="宋体" w:eastAsia="仿宋_GB2312"/>
                <w:color w:val="000000"/>
                <w:sz w:val="18"/>
                <w:szCs w:val="18"/>
              </w:rPr>
            </w:pPr>
          </w:p>
        </w:tc>
        <w:tc>
          <w:tcPr>
            <w:tcW w:w="2036" w:type="dxa"/>
            <w:gridSpan w:val="2"/>
            <w:vMerge w:val="restart"/>
            <w:vAlign w:val="center"/>
          </w:tcPr>
          <w:p>
            <w:pPr>
              <w:rPr>
                <w:rFonts w:eastAsia="仿宋_GB2312"/>
                <w:color w:val="000000"/>
                <w:sz w:val="18"/>
                <w:szCs w:val="18"/>
              </w:rPr>
            </w:pPr>
          </w:p>
        </w:tc>
        <w:tc>
          <w:tcPr>
            <w:tcW w:w="1790" w:type="dxa"/>
            <w:gridSpan w:val="2"/>
            <w:vMerge w:val="restart"/>
            <w:vAlign w:val="center"/>
          </w:tcPr>
          <w:p>
            <w:pPr>
              <w:rPr>
                <w:rFonts w:ascii="仿宋_GB2312" w:hAnsi="宋体" w:eastAsia="仿宋_GB2312"/>
                <w:color w:val="000000"/>
                <w:sz w:val="18"/>
                <w:szCs w:val="18"/>
              </w:rPr>
            </w:pPr>
          </w:p>
        </w:tc>
        <w:tc>
          <w:tcPr>
            <w:tcW w:w="1355" w:type="dxa"/>
            <w:gridSpan w:val="2"/>
            <w:vMerge w:val="restart"/>
            <w:vAlign w:val="center"/>
          </w:tcPr>
          <w:p/>
        </w:tc>
        <w:tc>
          <w:tcPr>
            <w:tcW w:w="1326" w:type="dxa"/>
            <w:vMerge w:val="restart"/>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729" w:type="dxa"/>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729"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790" w:type="dxa"/>
            <w:gridSpan w:val="2"/>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355" w:type="dxa"/>
            <w:gridSpan w:val="2"/>
            <w:vMerge w:val="restart"/>
            <w:vAlign w:val="center"/>
          </w:tcPr>
          <w:p>
            <w:r>
              <w:rPr>
                <w:rFonts w:hint="eastAsia" w:ascii="仿宋_GB2312" w:hAnsi="宋体" w:eastAsia="仿宋_GB2312"/>
                <w:color w:val="000000"/>
                <w:sz w:val="18"/>
                <w:szCs w:val="18"/>
              </w:rPr>
              <w:t>人力资源社会保障部门（或社会保障卡管理部门）</w:t>
            </w:r>
          </w:p>
        </w:tc>
        <w:tc>
          <w:tcPr>
            <w:tcW w:w="132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4"/>
        </w:numPr>
        <w:jc w:val="center"/>
        <w:rPr>
          <w:rFonts w:hint="eastAsia" w:ascii="方正小标宋_GBK" w:eastAsia="方正小标宋_GBK"/>
          <w:sz w:val="44"/>
          <w:szCs w:val="44"/>
        </w:rPr>
      </w:pPr>
      <w:r>
        <w:rPr>
          <w:rFonts w:hint="eastAsia" w:ascii="方正小标宋_GBK" w:eastAsia="方正小标宋_GBK"/>
          <w:sz w:val="44"/>
          <w:szCs w:val="44"/>
        </w:rPr>
        <w:t>农村集体土地征收基层政务公开标准目录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6"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pPr>
              <w:widowControl/>
              <w:spacing w:line="240" w:lineRule="exact"/>
              <w:rPr>
                <w:rFonts w:hint="eastAsia" w:ascii="仿宋_GB2312" w:eastAsia="仿宋_GB2312"/>
                <w:color w:val="000000"/>
                <w:sz w:val="18"/>
                <w:szCs w:val="18"/>
              </w:rPr>
            </w:pPr>
            <w:r>
              <w:rPr>
                <w:rFonts w:eastAsia="仿宋_GB2312"/>
                <w:color w:val="000000"/>
                <w:sz w:val="18"/>
                <w:szCs w:val="18"/>
              </w:rPr>
              <w:t>《国务院关于深化改革严格土地管理的决定》（国发〔2004〕28号）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Align w:val="center"/>
          </w:tcPr>
          <w:p>
            <w:pPr>
              <w:widowControl/>
              <w:spacing w:line="240" w:lineRule="exact"/>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vAlign w:val="center"/>
          </w:tcPr>
          <w:p>
            <w:pPr>
              <w:widowControl/>
              <w:spacing w:line="240" w:lineRule="exact"/>
              <w:jc w:val="center"/>
              <w:rPr>
                <w:rFonts w:hint="eastAsia" w:ascii="仿宋_GB2312" w:eastAsia="仿宋_GB2312"/>
                <w:color w:val="000000"/>
                <w:sz w:val="18"/>
                <w:szCs w:val="18"/>
              </w:rPr>
            </w:pPr>
          </w:p>
        </w:tc>
        <w:tc>
          <w:tcPr>
            <w:tcW w:w="875" w:type="dxa"/>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《土地管理法》、《国务院关于深化改革严格土地管理的决定》（国发〔2004〕28号）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pPr>
          </w:p>
        </w:tc>
        <w:tc>
          <w:tcPr>
            <w:tcW w:w="1786" w:type="dxa"/>
            <w:vMerge w:val="continue"/>
            <w:vAlign w:val="center"/>
          </w:tcPr>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bl>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3"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pPr>
              <w:widowControl/>
              <w:jc w:val="center"/>
              <w:rPr>
                <w:rFonts w:ascii="仿宋_GB2312" w:eastAsia="仿宋_GB2312"/>
                <w:color w:val="000000"/>
                <w:sz w:val="18"/>
                <w:szCs w:val="18"/>
              </w:rPr>
            </w:pPr>
          </w:p>
        </w:tc>
        <w:tc>
          <w:tcPr>
            <w:tcW w:w="875"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eastAsia="仿宋_GB2312"/>
                <w:color w:val="000000"/>
                <w:sz w:val="18"/>
                <w:szCs w:val="18"/>
              </w:rPr>
            </w:pP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pPr>
              <w:widowControl/>
              <w:rPr>
                <w:rFonts w:hint="eastAsia" w:ascii="仿宋_GB2312" w:eastAsia="仿宋_GB2312"/>
                <w:color w:val="000000"/>
                <w:sz w:val="18"/>
                <w:szCs w:val="18"/>
              </w:rPr>
            </w:pPr>
          </w:p>
        </w:tc>
        <w:tc>
          <w:tcPr>
            <w:tcW w:w="1619" w:type="dxa"/>
            <w:vMerge w:val="continue"/>
            <w:vAlign w:val="center"/>
          </w:tcPr>
          <w:p>
            <w:pPr>
              <w:widowControl/>
              <w:rPr>
                <w:rFonts w:hint="eastAsia" w:ascii="仿宋_GB2312" w:eastAsia="仿宋_GB2312"/>
                <w:color w:val="000000"/>
                <w:sz w:val="18"/>
                <w:szCs w:val="18"/>
              </w:rPr>
            </w:pPr>
          </w:p>
        </w:tc>
        <w:tc>
          <w:tcPr>
            <w:tcW w:w="554" w:type="dxa"/>
            <w:vMerge w:val="continue"/>
            <w:vAlign w:val="center"/>
          </w:tcPr>
          <w:p>
            <w:pPr>
              <w:widowControl/>
              <w:jc w:val="center"/>
              <w:rPr>
                <w:rFonts w:ascii="仿宋_GB2312" w:eastAsia="仿宋_GB2312"/>
                <w:color w:val="000000"/>
                <w:sz w:val="18"/>
                <w:szCs w:val="18"/>
              </w:rPr>
            </w:pPr>
          </w:p>
        </w:tc>
        <w:tc>
          <w:tcPr>
            <w:tcW w:w="875" w:type="dxa"/>
            <w:vMerge w:val="continue"/>
            <w:vAlign w:val="center"/>
          </w:tcPr>
          <w:p>
            <w:pPr>
              <w:widowControl/>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hint="eastAsia" w:ascii="仿宋_GB2312" w:eastAsia="仿宋_GB2312"/>
                <w:color w:val="000000"/>
                <w:sz w:val="18"/>
                <w:szCs w:val="18"/>
              </w:rPr>
            </w:pPr>
            <w:r>
              <w:rPr>
                <w:rFonts w:eastAsia="仿宋_GB2312"/>
                <w:color w:val="000000"/>
                <w:sz w:val="18"/>
                <w:szCs w:val="18"/>
              </w:rPr>
              <w:t>《土地管理法》、《征收土地公告办法》（国土资源部令第10号</w:t>
            </w:r>
            <w:r>
              <w:rPr>
                <w:rFonts w:hint="eastAsia" w:ascii="仿宋_GB2312" w:eastAsia="仿宋_GB2312"/>
                <w:color w:val="000000"/>
                <w:sz w:val="18"/>
                <w:szCs w:val="18"/>
              </w:rPr>
              <w:t>）</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hint="eastAsia" w:ascii="仿宋_GB2312" w:eastAsia="仿宋_GB2312"/>
                <w:color w:val="000000"/>
                <w:sz w:val="18"/>
                <w:szCs w:val="18"/>
              </w:rPr>
            </w:pPr>
            <w:r>
              <w:rPr>
                <w:rFonts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eastAsia="仿宋_GB2312"/>
                <w:color w:val="000000"/>
                <w:sz w:val="18"/>
                <w:szCs w:val="18"/>
              </w:rPr>
            </w:pPr>
            <w:r>
              <w:rPr>
                <w:rFonts w:eastAsia="仿宋_GB2312"/>
                <w:color w:val="000000"/>
                <w:sz w:val="18"/>
                <w:szCs w:val="18"/>
              </w:rPr>
              <w:t>《政府信息公开条例》、《征收土地公告办法》（国土资源部令第10号）</w:t>
            </w:r>
          </w:p>
          <w:p>
            <w:pPr>
              <w:widowControl/>
              <w:spacing w:line="320" w:lineRule="exact"/>
              <w:rPr>
                <w:rFonts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pPr>
        <w:numPr>
          <w:ilvl w:val="0"/>
          <w:numId w:val="5"/>
        </w:numPr>
        <w:rPr>
          <w:rFonts w:hint="eastAsia" w:ascii="宋体" w:hAnsi="宋体"/>
          <w:sz w:val="18"/>
          <w:szCs w:val="18"/>
        </w:rPr>
      </w:pPr>
      <w:r>
        <w:rPr>
          <w:rFonts w:hint="eastAsia" w:ascii="宋体" w:hAnsi="宋体"/>
          <w:sz w:val="18"/>
          <w:szCs w:val="18"/>
        </w:rPr>
        <w:t>公开渠道中标注为“■”标记的，为征地实施中的公开渠道；标注为“▲”标记的，为征地批准后的公开渠道。</w:t>
      </w: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6"/>
        </w:numPr>
        <w:jc w:val="center"/>
        <w:rPr>
          <w:rFonts w:hint="eastAsia"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eastAsia="仿宋_GB2312"/>
                <w:color w:val="000000"/>
                <w:sz w:val="18"/>
                <w:szCs w:val="18"/>
              </w:rPr>
            </w:pPr>
            <w:r>
              <w:rPr>
                <w:rFonts w:eastAsia="仿宋_GB2312"/>
                <w:color w:val="000000"/>
                <w:sz w:val="18"/>
                <w:szCs w:val="18"/>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r>
              <w:rPr>
                <w:rFonts w:hint="eastAsia" w:ascii="仿宋_GB2312" w:hAnsi="宋体" w:eastAsia="仿宋_GB2312"/>
                <w:color w:val="000000"/>
                <w:sz w:val="18"/>
                <w:szCs w:val="18"/>
              </w:rPr>
              <w:t>人民政府、住房保障行政主管部门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eastAsia="仿宋_GB2312"/>
                <w:color w:val="000000"/>
                <w:sz w:val="18"/>
                <w:szCs w:val="18"/>
              </w:rPr>
            </w:pPr>
            <w:r>
              <w:rPr>
                <w:rFonts w:eastAsia="仿宋_GB2312"/>
                <w:color w:val="000000"/>
                <w:sz w:val="18"/>
                <w:szCs w:val="18"/>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住房保障行政主管部门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eastAsia="仿宋_GB2312"/>
                <w:color w:val="000000"/>
                <w:sz w:val="18"/>
                <w:szCs w:val="18"/>
              </w:rPr>
            </w:pPr>
            <w:r>
              <w:rPr>
                <w:rFonts w:eastAsia="仿宋_GB2312"/>
                <w:color w:val="000000"/>
                <w:sz w:val="18"/>
                <w:szCs w:val="18"/>
              </w:rPr>
              <w:t>《公共租赁住房管理办法》（住建部令第11号）、《国务院办公厅关于推进公共资源配置领域政府信息公开的意见》（国办发〔2017〕97号）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hint="eastAsia" w:ascii="仿宋_GB2312" w:hAnsi="宋体"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ascii="仿宋_GB2312" w:hAnsi="宋体" w:eastAsia="仿宋_GB2312"/>
                <w:color w:val="000000"/>
                <w:sz w:val="18"/>
                <w:szCs w:val="18"/>
              </w:rPr>
              <w:t xml:space="preserve">                                      </w:t>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spacing w:line="420" w:lineRule="exact"/>
              <w:rPr>
                <w:rFonts w:hint="eastAsia" w:ascii="仿宋_GB2312" w:hAnsi="宋体" w:eastAsia="仿宋_GB2312"/>
                <w:color w:val="000000"/>
                <w:sz w:val="18"/>
                <w:szCs w:val="18"/>
              </w:rPr>
            </w:pPr>
            <w:r>
              <w:rPr>
                <w:rFonts w:eastAsia="仿宋_GB2312"/>
                <w:color w:val="000000"/>
                <w:sz w:val="18"/>
                <w:szCs w:val="18"/>
              </w:rPr>
              <w:t>《关于全面推进政务公开工作的意见》（中办发〔2016〕8号）、</w:t>
            </w:r>
            <w:r>
              <w:rPr>
                <w:rFonts w:hint="eastAsia" w:eastAsia="仿宋_GB2312"/>
                <w:color w:val="000000"/>
                <w:sz w:val="18"/>
                <w:szCs w:val="18"/>
              </w:rPr>
              <w:t xml:space="preserve"> </w:t>
            </w:r>
            <w:r>
              <w:rPr>
                <w:rFonts w:eastAsia="仿宋_GB2312"/>
                <w:color w:val="000000"/>
                <w:sz w:val="18"/>
                <w:szCs w:val="18"/>
              </w:rPr>
              <w:t>《国务院办公厅关于推进公共资源配置领域政府信息公开的意见》（国办发〔2017〕97号）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pP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7"/>
        </w:numPr>
        <w:jc w:val="center"/>
        <w:rPr>
          <w:rFonts w:hint="eastAsia" w:ascii="方正小标宋_GBK" w:eastAsia="方正小标宋_GBK"/>
          <w:sz w:val="44"/>
          <w:szCs w:val="44"/>
        </w:rPr>
      </w:pPr>
      <w:r>
        <w:rPr>
          <w:rFonts w:hint="eastAsia" w:ascii="方正小标宋_GBK" w:eastAsia="方正小标宋_GBK"/>
          <w:sz w:val="44"/>
          <w:szCs w:val="44"/>
        </w:rPr>
        <w:t>农村危房改造领域基层政务公开标准目录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360"/>
        <w:gridCol w:w="1440"/>
        <w:gridCol w:w="188"/>
        <w:gridCol w:w="1440"/>
        <w:gridCol w:w="1440"/>
        <w:gridCol w:w="352"/>
        <w:gridCol w:w="720"/>
        <w:gridCol w:w="709"/>
        <w:gridCol w:w="11"/>
        <w:gridCol w:w="540"/>
        <w:gridCol w:w="180"/>
        <w:gridCol w:w="540"/>
        <w:gridCol w:w="16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792"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gridSpan w:val="2"/>
            <w:vMerge w:val="continue"/>
            <w:vAlign w:val="center"/>
          </w:tcPr>
          <w:p>
            <w:pPr>
              <w:widowControl/>
              <w:jc w:val="left"/>
              <w:rPr>
                <w:rFonts w:ascii="黑体" w:hAnsi="宋体" w:eastAsia="黑体" w:cs="宋体"/>
                <w:color w:val="000000"/>
                <w:kern w:val="0"/>
                <w:sz w:val="22"/>
              </w:rPr>
            </w:pPr>
          </w:p>
        </w:tc>
        <w:tc>
          <w:tcPr>
            <w:tcW w:w="1628" w:type="dxa"/>
            <w:gridSpan w:val="2"/>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792" w:type="dxa"/>
            <w:gridSpan w:val="2"/>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color w:val="000000"/>
                <w:kern w:val="0"/>
                <w:sz w:val="16"/>
                <w:szCs w:val="16"/>
              </w:rPr>
            </w:pPr>
            <w:r>
              <w:rPr>
                <w:rFonts w:hint="eastAsia"/>
                <w:color w:val="000000"/>
                <w:kern w:val="0"/>
                <w:sz w:val="16"/>
                <w:szCs w:val="16"/>
              </w:rPr>
              <w:t>1</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gridSpan w:val="2"/>
            <w:vAlign w:val="center"/>
          </w:tcPr>
          <w:p>
            <w:pPr>
              <w:widowControl/>
              <w:rPr>
                <w:rFonts w:eastAsia="黑体"/>
                <w:color w:val="000000"/>
                <w:kern w:val="0"/>
                <w:sz w:val="22"/>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ascii="黑体" w:hAnsi="宋体" w:eastAsia="黑体" w:cs="宋体"/>
                <w:kern w:val="0"/>
                <w:sz w:val="22"/>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Height w:val="1042" w:hRule="atLeas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2</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Merge w:val="restart"/>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p>
        </w:tc>
        <w:tc>
          <w:tcPr>
            <w:tcW w:w="551"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vAlign w:val="center"/>
          </w:tcPr>
          <w:p>
            <w:pPr>
              <w:jc w:val="center"/>
              <w:rPr>
                <w:rFonts w:hint="eastAsia" w:ascii="仿宋_GB2312" w:hAnsi="宋体" w:eastAsia="仿宋_GB2312"/>
                <w:color w:val="000000"/>
                <w:sz w:val="18"/>
                <w:szCs w:val="18"/>
              </w:rPr>
            </w:pPr>
          </w:p>
        </w:tc>
        <w:tc>
          <w:tcPr>
            <w:tcW w:w="720"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3</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gridSpan w:val="2"/>
            <w:vMerge w:val="continue"/>
            <w:vAlign w:val="center"/>
          </w:tcPr>
          <w:p>
            <w:pPr>
              <w:widowControl/>
              <w:rPr>
                <w:rFonts w:eastAsia="仿宋_GB2312"/>
                <w:color w:val="000000"/>
                <w:sz w:val="18"/>
                <w:szCs w:val="18"/>
              </w:rPr>
            </w:pPr>
          </w:p>
        </w:tc>
        <w:tc>
          <w:tcPr>
            <w:tcW w:w="1628" w:type="dxa"/>
            <w:gridSpan w:val="2"/>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widowControl/>
            </w:pPr>
          </w:p>
        </w:tc>
        <w:tc>
          <w:tcPr>
            <w:tcW w:w="1792" w:type="dxa"/>
            <w:gridSpan w:val="2"/>
            <w:vMerge w:val="continue"/>
            <w:vAlign w:val="center"/>
          </w:tcPr>
          <w:p>
            <w:pPr>
              <w:widowControl/>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c>
          <w:tcPr>
            <w:tcW w:w="709" w:type="dxa"/>
            <w:vMerge w:val="continue"/>
            <w:vAlign w:val="center"/>
          </w:tcPr>
          <w:p>
            <w:pPr>
              <w:jc w:val="center"/>
              <w:rPr>
                <w:rFonts w:hint="eastAsia" w:ascii="仿宋_GB2312" w:hAnsi="宋体" w:eastAsia="仿宋_GB2312"/>
                <w:color w:val="000000"/>
                <w:sz w:val="18"/>
                <w:szCs w:val="18"/>
              </w:rPr>
            </w:pPr>
          </w:p>
        </w:tc>
        <w:tc>
          <w:tcPr>
            <w:tcW w:w="551"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4</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《住房城乡建设部 财政部 国务院扶贫办关于加强和完善建档立卡贫困户等重点对象农村危房改造若干问题的通知》（建村〔2017〕192号）等</w:t>
            </w:r>
          </w:p>
        </w:tc>
        <w:tc>
          <w:tcPr>
            <w:tcW w:w="1628" w:type="dxa"/>
            <w:gridSpan w:val="2"/>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5</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widowControl/>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6</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rPr>
                <w:rFonts w:eastAsia="仿宋_GB2312"/>
                <w:color w:val="000000"/>
                <w:sz w:val="18"/>
                <w:szCs w:val="18"/>
              </w:rPr>
            </w:pPr>
            <w:r>
              <w:rPr>
                <w:rFonts w:eastAsia="仿宋_GB2312"/>
                <w:color w:val="000000"/>
                <w:sz w:val="18"/>
                <w:szCs w:val="18"/>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7</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8</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9</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10</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440" w:type="dxa"/>
            <w:vAlign w:val="center"/>
          </w:tcPr>
          <w:p>
            <w:r>
              <w:rPr>
                <w:rFonts w:hint="eastAsia" w:ascii="仿宋_GB2312" w:hAnsi="宋体" w:eastAsia="仿宋_GB2312"/>
                <w:color w:val="000000"/>
                <w:sz w:val="18"/>
                <w:szCs w:val="18"/>
              </w:rPr>
              <w:t>县级住房和城乡建设部门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县级住房和城乡建设部门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11</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440" w:type="dxa"/>
            <w:vAlign w:val="center"/>
          </w:tcPr>
          <w:p>
            <w:r>
              <w:rPr>
                <w:rFonts w:hint="eastAsia" w:ascii="仿宋_GB2312" w:hAnsi="宋体" w:eastAsia="仿宋_GB2312"/>
                <w:color w:val="000000"/>
                <w:sz w:val="18"/>
                <w:szCs w:val="18"/>
              </w:rPr>
              <w:t>乡镇人民政府、村委会</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乡镇人民政府、村委会</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13</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《关于全面推进政务公开工作的意见》（中办发〔2016〕8号）及其实施细则</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14</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15</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800" w:type="dxa"/>
            <w:gridSpan w:val="2"/>
            <w:vMerge w:val="restart"/>
            <w:vAlign w:val="center"/>
          </w:tcPr>
          <w:p>
            <w:pPr>
              <w:spacing w:line="400" w:lineRule="exact"/>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政务新媒体、广播、电视、报纸、公示栏等平台和办事大厅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16</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800" w:type="dxa"/>
            <w:gridSpan w:val="2"/>
            <w:vMerge w:val="continue"/>
            <w:vAlign w:val="center"/>
          </w:tcPr>
          <w:p>
            <w:pPr>
              <w:rPr>
                <w:rFonts w:hint="eastAsia" w:ascii="仿宋_GB2312" w:hAnsi="宋体"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8"/>
        </w:numPr>
        <w:jc w:val="center"/>
        <w:rPr>
          <w:rFonts w:hint="eastAsia" w:ascii="方正小标宋_GBK" w:eastAsia="方正小标宋_GBK"/>
          <w:sz w:val="44"/>
          <w:szCs w:val="44"/>
        </w:rPr>
      </w:pPr>
      <w:r>
        <w:rPr>
          <w:rFonts w:hint="eastAsia" w:ascii="方正小标宋_GBK" w:eastAsia="方正小标宋_GBK"/>
          <w:sz w:val="44"/>
          <w:szCs w:val="44"/>
        </w:rPr>
        <w:t>城市综合执法领域基层政务公开标准目录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5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4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hint="eastAsia"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《城市房地产开发经营管理条例》（国令第248号）、《商品房销售管理办法》（建设部令第88号）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2"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《房地产经纪管理办法》（中华人民共和国住房和城乡建设部 中华人民共和国国家发展和改革委员会 中华人民共和国人力资源和社会保障部令第8号）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4"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pPr>
              <w:rPr>
                <w:rFonts w:hint="eastAsia" w:ascii="仿宋_GB2312" w:hAnsi="宋体" w:eastAsia="仿宋_GB2312" w:cs="宋体"/>
                <w:color w:val="000000"/>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bl>
    <w:p>
      <w:pPr>
        <w:widowControl w:val="0"/>
        <w:numPr>
          <w:ilvl w:val="0"/>
          <w:numId w:val="0"/>
        </w:numPr>
        <w:jc w:val="both"/>
        <w:rPr>
          <w:rFonts w:hint="eastAsia" w:ascii="方正小标宋_GBK" w:eastAsia="方正小标宋_GBK"/>
          <w:sz w:val="44"/>
          <w:szCs w:val="44"/>
        </w:rPr>
      </w:pPr>
      <w:bookmarkStart w:id="7" w:name="_Toc24724723"/>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center"/>
        <w:rPr>
          <w:rFonts w:hint="eastAsia"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34"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16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1786"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c>
          <w:tcPr>
            <w:tcW w:w="1980" w:type="dxa"/>
            <w:vAlign w:val="center"/>
          </w:tcPr>
          <w:p>
            <w:pPr>
              <w:widowControl/>
              <w:jc w:val="center"/>
              <w:rPr>
                <w:rFonts w:eastAsia="仿宋_GB2312"/>
                <w:sz w:val="18"/>
                <w:szCs w:val="18"/>
              </w:rPr>
            </w:pPr>
            <w:r>
              <w:rPr>
                <w:rFonts w:hint="eastAsia" w:ascii="黑体" w:hAnsi="宋体" w:eastAsia="黑体" w:cs="宋体"/>
                <w:color w:val="000000"/>
                <w:kern w:val="0"/>
                <w:sz w:val="22"/>
              </w:rPr>
              <w:t>公开时限</w:t>
            </w:r>
          </w:p>
        </w:tc>
        <w:tc>
          <w:tcPr>
            <w:tcW w:w="1814" w:type="dxa"/>
            <w:vAlign w:val="center"/>
          </w:tcPr>
          <w:p>
            <w:pPr>
              <w:widowControl/>
              <w:jc w:val="center"/>
            </w:pPr>
            <w:r>
              <w:rPr>
                <w:rFonts w:hint="eastAsia" w:ascii="黑体" w:hAnsi="宋体" w:eastAsia="黑体" w:cs="宋体"/>
                <w:color w:val="000000"/>
                <w:kern w:val="0"/>
                <w:sz w:val="22"/>
              </w:rPr>
              <w:t>公开主体</w:t>
            </w:r>
          </w:p>
        </w:tc>
        <w:tc>
          <w:tcPr>
            <w:tcW w:w="1426" w:type="dxa"/>
            <w:vAlign w:val="center"/>
          </w:tcPr>
          <w:p>
            <w:pPr>
              <w:widowControl/>
              <w:jc w:val="center"/>
              <w:rPr>
                <w:rFonts w:hint="eastAsia" w:ascii="仿宋_GB2312" w:eastAsia="仿宋_GB2312"/>
                <w:sz w:val="18"/>
                <w:szCs w:val="18"/>
              </w:rPr>
            </w:pPr>
            <w:r>
              <w:rPr>
                <w:rFonts w:hint="eastAsia" w:ascii="黑体" w:hAnsi="宋体" w:eastAsia="黑体" w:cs="宋体"/>
                <w:kern w:val="0"/>
                <w:sz w:val="22"/>
              </w:rPr>
              <w:t>公开渠道和载体</w:t>
            </w:r>
          </w:p>
        </w:tc>
        <w:tc>
          <w:tcPr>
            <w:tcW w:w="1440" w:type="dxa"/>
            <w:vAlign w:val="center"/>
          </w:tcPr>
          <w:p>
            <w:pPr>
              <w:widowControl/>
              <w:jc w:val="center"/>
              <w:rPr>
                <w:rFonts w:hint="eastAsia" w:eastAsia="方正仿宋_GBK" w:cs="方正仿宋_GBK"/>
                <w:color w:val="000000"/>
                <w:sz w:val="24"/>
              </w:rPr>
            </w:pPr>
            <w:r>
              <w:rPr>
                <w:rFonts w:hint="eastAsia" w:ascii="黑体" w:hAnsi="宋体" w:eastAsia="黑体" w:cs="宋体"/>
                <w:color w:val="000000"/>
                <w:kern w:val="0"/>
                <w:sz w:val="22"/>
              </w:rPr>
              <w:t>公开对象</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公开方式</w:t>
            </w:r>
          </w:p>
        </w:tc>
        <w:tc>
          <w:tcPr>
            <w:tcW w:w="709"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公开层级</w:t>
            </w:r>
          </w:p>
        </w:tc>
        <w:tc>
          <w:tcPr>
            <w:tcW w:w="551"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eastAsia="仿宋_GB2312"/>
                <w:sz w:val="18"/>
                <w:szCs w:val="18"/>
              </w:rPr>
            </w:pPr>
            <w:r>
              <w:rPr>
                <w:rFonts w:eastAsia="仿宋_GB2312"/>
                <w:sz w:val="18"/>
                <w:szCs w:val="18"/>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pPr>
              <w:spacing w:line="240" w:lineRule="exact"/>
              <w:rPr>
                <w:rFonts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hint="eastAsia" w:eastAsia="仿宋_GB2312"/>
                <w:sz w:val="18"/>
                <w:szCs w:val="18"/>
              </w:rPr>
            </w:pPr>
            <w:r>
              <w:rPr>
                <w:rFonts w:eastAsia="仿宋_GB2312"/>
                <w:sz w:val="18"/>
                <w:szCs w:val="18"/>
              </w:rPr>
              <w:t>《残疾人保障法》、《政府信息公开条例》、</w:t>
            </w:r>
            <w:r>
              <w:rPr>
                <w:rFonts w:hint="eastAsia" w:eastAsia="仿宋_GB2312"/>
                <w:sz w:val="18"/>
                <w:szCs w:val="18"/>
              </w:rPr>
              <w:t>《中共中央办公厅 国务院办公厅印发关于加快构建现代公共文化服务体系的意见》（中办发〔2015〕2号）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 xml:space="preserve">《非物质文化遗产法》、《政府信息公开条例》  </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pPr>
              <w:spacing w:line="240" w:lineRule="exact"/>
              <w:rPr>
                <w:rFonts w:ascii="仿宋_GB2312" w:eastAsia="仿宋_GB2312"/>
                <w:sz w:val="18"/>
                <w:szCs w:val="18"/>
              </w:rPr>
            </w:pPr>
            <w:r>
              <w:rPr>
                <w:rFonts w:hint="eastAsia" w:ascii="仿宋_GB2312" w:eastAsia="仿宋_GB2312"/>
                <w:sz w:val="18"/>
                <w:szCs w:val="18"/>
              </w:rPr>
              <w:t>《政府信息公开条例》</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文物行政部门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8" w:name="_Toc24724725"/>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r>
        <w:rPr>
          <w:rFonts w:hint="eastAsia" w:ascii="方正小标宋_GBK" w:eastAsia="方正小标宋_GBK"/>
          <w:sz w:val="44"/>
          <w:szCs w:val="44"/>
        </w:rPr>
        <w:t>（二十二）安全生产领域基层政务公开标准目录</w:t>
      </w:r>
      <w:bookmarkEnd w:id="8"/>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660" w:type="dxa"/>
        <w:jc w:val="center"/>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540" w:type="dxa"/>
            <w:vMerge w:val="restart"/>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44"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pPr>
            <w:r>
              <w:rPr>
                <w:rFonts w:hint="eastAsia" w:ascii="黑体" w:hAnsi="宋体" w:eastAsia="黑体" w:cs="宋体"/>
                <w:color w:val="000000"/>
                <w:kern w:val="0"/>
                <w:sz w:val="22"/>
              </w:rPr>
              <w:t>公开主体</w:t>
            </w:r>
          </w:p>
        </w:tc>
        <w:tc>
          <w:tcPr>
            <w:tcW w:w="1787" w:type="dxa"/>
            <w:vMerge w:val="restart"/>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40" w:type="dxa"/>
            <w:vMerge w:val="continue"/>
            <w:vAlign w:val="center"/>
          </w:tcPr>
          <w:p>
            <w:pPr>
              <w:widowControl/>
              <w:jc w:val="center"/>
              <w:rPr>
                <w:rFonts w:hint="eastAsia" w:ascii="仿宋_GB2312" w:eastAsia="仿宋_GB2312"/>
                <w:color w:val="000000"/>
                <w:kern w:val="0"/>
                <w:sz w:val="18"/>
                <w:szCs w:val="18"/>
              </w:rPr>
            </w:pP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644"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pPr>
          </w:p>
        </w:tc>
        <w:tc>
          <w:tcPr>
            <w:tcW w:w="1787" w:type="dxa"/>
            <w:vMerge w:val="continue"/>
            <w:vAlign w:val="center"/>
          </w:tcPr>
          <w:p>
            <w:pPr>
              <w:widowControl/>
              <w:jc w:val="left"/>
              <w:rPr>
                <w:rFonts w:hint="eastAsia" w:ascii="黑体" w:hAnsi="宋体" w:eastAsia="黑体" w:cs="宋体"/>
                <w:kern w:val="0"/>
                <w:sz w:val="22"/>
              </w:rPr>
            </w:pPr>
          </w:p>
        </w:tc>
        <w:tc>
          <w:tcPr>
            <w:tcW w:w="529"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pPr>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ind w:firstLine="180" w:firstLineChars="100"/>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eastAsia="仿宋_GB2312"/>
                <w:bCs/>
                <w:color w:val="000000"/>
                <w:sz w:val="18"/>
                <w:szCs w:val="18"/>
              </w:rPr>
            </w:pPr>
            <w:r>
              <w:rPr>
                <w:rFonts w:eastAsia="仿宋_GB2312"/>
                <w:bCs/>
                <w:color w:val="000000"/>
                <w:sz w:val="18"/>
                <w:szCs w:val="18"/>
              </w:rPr>
              <w:t>《安全生产法》、《政府信息公开条例》、《中共中央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《政府信息公开条例》、《突发事件应对法》、《</w:t>
            </w:r>
            <w:bookmarkStart w:id="12" w:name="_GoBack"/>
            <w:bookmarkEnd w:id="12"/>
            <w:r>
              <w:rPr>
                <w:rFonts w:hint="eastAsia" w:eastAsia="仿宋_GB2312"/>
                <w:bCs/>
                <w:color w:val="000000"/>
                <w:sz w:val="18"/>
                <w:szCs w:val="18"/>
                <w:lang w:eastAsia="zh-CN"/>
              </w:rPr>
              <w:t>关于全面推进政务公开工作的意见</w:t>
            </w:r>
            <w:r>
              <w:rPr>
                <w:rFonts w:eastAsia="仿宋_GB2312"/>
                <w:bCs/>
                <w:color w:val="000000"/>
                <w:sz w:val="18"/>
                <w:szCs w:val="18"/>
              </w:rPr>
              <w:t>》</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（便民服务站）</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（便民服务站、广播电视、纸质媒体、入户</w:t>
            </w:r>
            <w:r>
              <w:rPr>
                <w:rFonts w:hint="eastAsia" w:eastAsia="方正仿宋_GBK" w:cs="方正仿宋_GBK"/>
                <w:color w:val="000000"/>
                <w:sz w:val="24"/>
                <w:lang w:val="en-US" w:eastAsia="zh-CN"/>
              </w:rPr>
              <w:t>/现场、精准推送</w:t>
            </w:r>
            <w:r>
              <w:rPr>
                <w:rFonts w:hint="eastAsia" w:eastAsia="方正仿宋_GBK" w:cs="方正仿宋_GBK"/>
                <w:color w:val="000000"/>
                <w:sz w:val="24"/>
                <w:lang w:eastAsia="zh-CN"/>
              </w:rPr>
              <w:t>）</w:t>
            </w:r>
          </w:p>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《政府信息公开条例》、《国务院关于深化预算管理制度改革的决定》（国发〔2014〕45号）、《国务院办公厅关于进一步推进预算公开工作意见的通知》（中办发〔2016〕13号）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《政府信息公开条例》、《国务院关于深化预算管理制度改革的决定》（国发〔2014〕45号）、中办、国办印发《关于进一步推进预算公开工作的意见》的通知（中办发〔2016〕13号）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bl>
    <w:p>
      <w:pPr>
        <w:jc w:val="center"/>
        <w:rPr>
          <w:rFonts w:hint="eastAsia"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660" w:type="dxa"/>
        <w:jc w:val="center"/>
        <w:tblInd w:w="-844" w:type="dxa"/>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tblPrEx>
          <w:tblLayout w:type="fixed"/>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02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58"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rPr>
            </w:pPr>
            <w:r>
              <w:rPr>
                <w:rFonts w:eastAsia="仿宋_GB2312"/>
                <w:color w:val="000000"/>
                <w:sz w:val="18"/>
                <w:szCs w:val="18"/>
              </w:rPr>
              <w:t>《政府信息公开条例》、《关于全面推进政务公开工作的意见》（中办发〔2016〕8号</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（广播电视、纸质媒体）</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hAnsi="宋体" w:eastAsia="仿宋_GB2312" w:cs="宋体"/>
                <w:sz w:val="18"/>
                <w:szCs w:val="18"/>
              </w:rPr>
            </w:pPr>
            <w:r>
              <w:rPr>
                <w:rFonts w:hint="eastAsia" w:eastAsia="方正仿宋_GBK" w:cs="方正仿宋_GBK"/>
                <w:color w:val="000000"/>
                <w:sz w:val="24"/>
              </w:rPr>
              <w:t>□其他</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sz w:val="18"/>
                <w:szCs w:val="18"/>
              </w:rPr>
            </w:pPr>
            <w:r>
              <w:rPr>
                <w:rFonts w:eastAsia="仿宋_GB2312"/>
                <w:sz w:val="18"/>
                <w:szCs w:val="18"/>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tblPrEx>
          <w:tblLayout w:type="fixed"/>
          <w:tblCellMar>
            <w:top w:w="0" w:type="dxa"/>
            <w:left w:w="108" w:type="dxa"/>
            <w:bottom w:w="0" w:type="dxa"/>
            <w:right w:w="108" w:type="dxa"/>
          </w:tblCellMar>
        </w:tblPrEx>
        <w:trPr>
          <w:trHeight w:val="420" w:hRule="atLeast"/>
          <w:tblHeader/>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blHeader/>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2486"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sz w:val="18"/>
                <w:szCs w:val="18"/>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17</w:t>
            </w:r>
          </w:p>
        </w:tc>
        <w:tc>
          <w:tcPr>
            <w:tcW w:w="720" w:type="dxa"/>
            <w:vMerge w:val="restart"/>
            <w:tcBorders>
              <w:top w:val="single" w:color="auto" w:sz="4" w:space="0"/>
              <w:left w:val="nil"/>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 xml:space="preserve">《政府信息公开条例》《关于全面推进政务公开工作的意见》（中办发〔2016〕8号）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240"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18</w:t>
            </w:r>
          </w:p>
        </w:tc>
        <w:tc>
          <w:tcPr>
            <w:tcW w:w="720" w:type="dxa"/>
            <w:vMerge w:val="continue"/>
            <w:tcBorders>
              <w:left w:val="nil"/>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《政府信息公开条例》、《关于全面推进政务公开工作的意见》（中办发〔2016〕8号）《食品药品投诉举报管理办法》（国家食品药品监督管理总局令第21号）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永福县苏桥镇人民政府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《国务院扶贫办扶贫开发建档立卡工作方案》（国开办发〔2014〕24号）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《中共中央办公厅、国务院办公厅关于建立贫困退出机制的意见》（厅字〔2016〕16号）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贫困退出人口所在行政村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各行业扶贫财政资金主管部门和东西部扶贫协作资金主管部门</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widowControl w:val="0"/>
        <w:numPr>
          <w:ilvl w:val="0"/>
          <w:numId w:val="0"/>
        </w:numPr>
        <w:jc w:val="both"/>
        <w:rPr>
          <w:rFonts w:hint="eastAsia" w:ascii="宋体" w:hAnsi="宋体"/>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4A64"/>
    <w:multiLevelType w:val="singleLevel"/>
    <w:tmpl w:val="5F8E4A64"/>
    <w:lvl w:ilvl="0" w:tentative="0">
      <w:start w:val="2"/>
      <w:numFmt w:val="decimal"/>
      <w:suff w:val="nothing"/>
      <w:lvlText w:val="%1."/>
      <w:lvlJc w:val="left"/>
    </w:lvl>
  </w:abstractNum>
  <w:abstractNum w:abstractNumId="4">
    <w:nsid w:val="5F8E53D3"/>
    <w:multiLevelType w:val="singleLevel"/>
    <w:tmpl w:val="5F8E53D3"/>
    <w:lvl w:ilvl="0" w:tentative="0">
      <w:start w:val="12"/>
      <w:numFmt w:val="chineseCounting"/>
      <w:suff w:val="nothing"/>
      <w:lvlText w:val="（%1）"/>
      <w:lvlJc w:val="left"/>
    </w:lvl>
  </w:abstractNum>
  <w:abstractNum w:abstractNumId="5">
    <w:nsid w:val="5F8E53E9"/>
    <w:multiLevelType w:val="singleLevel"/>
    <w:tmpl w:val="5F8E53E9"/>
    <w:lvl w:ilvl="0" w:tentative="0">
      <w:start w:val="14"/>
      <w:numFmt w:val="chineseCounting"/>
      <w:suff w:val="nothing"/>
      <w:lvlText w:val="（%1）"/>
      <w:lvlJc w:val="left"/>
    </w:lvl>
  </w:abstractNum>
  <w:abstractNum w:abstractNumId="6">
    <w:nsid w:val="5F8E5403"/>
    <w:multiLevelType w:val="singleLevel"/>
    <w:tmpl w:val="5F8E5403"/>
    <w:lvl w:ilvl="0" w:tentative="0">
      <w:start w:val="16"/>
      <w:numFmt w:val="chineseCounting"/>
      <w:suff w:val="nothing"/>
      <w:lvlText w:val="（%1）"/>
      <w:lvlJc w:val="left"/>
    </w:lvl>
  </w:abstractNum>
  <w:abstractNum w:abstractNumId="7">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5DE8"/>
    <w:rsid w:val="21293ABA"/>
    <w:rsid w:val="353F1FE4"/>
    <w:rsid w:val="56AE07DF"/>
    <w:rsid w:val="59286EA0"/>
    <w:rsid w:val="6914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列出段落1"/>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Administrator</cp:lastModifiedBy>
  <dcterms:modified xsi:type="dcterms:W3CDTF">2025-02-18T08:21:55Z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