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B2ECA">
      <w:pPr>
        <w:adjustRightInd w:val="0"/>
        <w:snapToGrid w:val="0"/>
        <w:spacing w:line="57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附件1</w:t>
      </w:r>
    </w:p>
    <w:p w14:paraId="5E26A727">
      <w:pPr>
        <w:adjustRightInd w:val="0"/>
        <w:snapToGrid w:val="0"/>
        <w:spacing w:line="570" w:lineRule="exact"/>
        <w:jc w:val="center"/>
        <w:rPr>
          <w:rFonts w:hint="default" w:ascii="Times New Roman" w:hAnsi="Times New Roman" w:eastAsia="方正小标宋_GBK" w:cs="Times New Roman"/>
          <w:sz w:val="44"/>
          <w:szCs w:val="44"/>
        </w:rPr>
      </w:pPr>
      <w:r>
        <w:rPr>
          <w:rFonts w:hint="eastAsia" w:eastAsia="方正小标宋_GBK" w:cs="Times New Roman"/>
          <w:sz w:val="44"/>
          <w:szCs w:val="44"/>
          <w:lang w:eastAsia="zh-CN"/>
        </w:rPr>
        <w:t>百寿</w:t>
      </w:r>
      <w:r>
        <w:rPr>
          <w:rFonts w:hint="default" w:ascii="Times New Roman" w:hAnsi="Times New Roman" w:eastAsia="方正小标宋_GBK" w:cs="Times New Roman"/>
          <w:sz w:val="44"/>
          <w:szCs w:val="44"/>
          <w:lang w:eastAsia="zh-CN"/>
        </w:rPr>
        <w:t>镇</w:t>
      </w:r>
      <w:r>
        <w:rPr>
          <w:rFonts w:hint="default" w:ascii="Times New Roman" w:hAnsi="Times New Roman" w:eastAsia="方正小标宋_GBK" w:cs="Times New Roman"/>
          <w:sz w:val="44"/>
          <w:szCs w:val="44"/>
          <w:lang w:val="en-US" w:eastAsia="zh-CN"/>
        </w:rPr>
        <w:t>人民政府</w:t>
      </w:r>
      <w:r>
        <w:rPr>
          <w:rFonts w:hint="default" w:ascii="Times New Roman" w:hAnsi="Times New Roman" w:eastAsia="方正小标宋_GBK" w:cs="Times New Roman"/>
          <w:sz w:val="44"/>
          <w:szCs w:val="44"/>
        </w:rPr>
        <w:t>权责清单</w:t>
      </w:r>
      <w:r>
        <w:rPr>
          <w:rFonts w:hint="eastAsia" w:ascii="方正小标宋_GBK" w:eastAsia="方正小标宋_GBK"/>
          <w:sz w:val="44"/>
          <w:szCs w:val="44"/>
          <w:lang w:eastAsia="zh-CN"/>
        </w:rPr>
        <w:t>（征求意见稿）</w:t>
      </w:r>
    </w:p>
    <w:p w14:paraId="5DEF6A75">
      <w:pPr>
        <w:adjustRightInd w:val="0"/>
        <w:snapToGrid w:val="0"/>
        <w:spacing w:line="570" w:lineRule="exact"/>
        <w:jc w:val="center"/>
        <w:rPr>
          <w:rFonts w:hint="default" w:ascii="Times New Roman" w:hAnsi="Times New Roman" w:eastAsia="方正小标宋_GBK" w:cs="Times New Roman"/>
          <w:sz w:val="44"/>
          <w:szCs w:val="44"/>
        </w:rPr>
      </w:pPr>
    </w:p>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703"/>
        <w:gridCol w:w="1147"/>
        <w:gridCol w:w="1607"/>
        <w:gridCol w:w="1620"/>
        <w:gridCol w:w="6480"/>
        <w:gridCol w:w="2310"/>
        <w:gridCol w:w="4410"/>
        <w:gridCol w:w="750"/>
        <w:gridCol w:w="720"/>
      </w:tblGrid>
      <w:tr w14:paraId="4329F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42D6AD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EFC97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657" w:type="dxa"/>
            <w:gridSpan w:val="5"/>
            <w:vAlign w:val="center"/>
          </w:tcPr>
          <w:p w14:paraId="0B5FC1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570" w:type="dxa"/>
            <w:gridSpan w:val="5"/>
            <w:vAlign w:val="center"/>
          </w:tcPr>
          <w:p w14:paraId="627685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0" w:type="dxa"/>
            <w:vMerge w:val="restart"/>
            <w:vAlign w:val="center"/>
          </w:tcPr>
          <w:p w14:paraId="130FC0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DE8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6C5E9D7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0A928A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2E32D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25ABE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03" w:type="dxa"/>
            <w:vAlign w:val="center"/>
          </w:tcPr>
          <w:p w14:paraId="4BBBF4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717089E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1147" w:type="dxa"/>
            <w:vAlign w:val="center"/>
          </w:tcPr>
          <w:p w14:paraId="722DA8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B3A10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607" w:type="dxa"/>
            <w:vAlign w:val="center"/>
          </w:tcPr>
          <w:p w14:paraId="1D70D0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20" w:type="dxa"/>
            <w:vAlign w:val="center"/>
          </w:tcPr>
          <w:p w14:paraId="1382D9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C757A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80" w:type="dxa"/>
            <w:vAlign w:val="center"/>
          </w:tcPr>
          <w:p w14:paraId="66FBF0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10" w:type="dxa"/>
            <w:vAlign w:val="center"/>
          </w:tcPr>
          <w:p w14:paraId="14FE39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147FA3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4410" w:type="dxa"/>
            <w:vAlign w:val="center"/>
          </w:tcPr>
          <w:p w14:paraId="3C4BC3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5FD839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51742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0" w:type="dxa"/>
            <w:vMerge w:val="continue"/>
            <w:vAlign w:val="center"/>
          </w:tcPr>
          <w:p w14:paraId="3A23920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3C12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538" w:hRule="atLeast"/>
          <w:jc w:val="center"/>
        </w:trPr>
        <w:tc>
          <w:tcPr>
            <w:tcW w:w="406" w:type="dxa"/>
            <w:vAlign w:val="center"/>
          </w:tcPr>
          <w:p w14:paraId="3BB27FBD">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lang w:eastAsia="zh-CN"/>
              </w:rPr>
            </w:pPr>
            <w:r>
              <w:rPr>
                <w:rFonts w:hint="default" w:ascii="Times New Roman" w:hAnsi="Times New Roman" w:eastAsia="仿宋_GB2312" w:cs="Times New Roman"/>
                <w:snapToGrid w:val="0"/>
                <w:sz w:val="20"/>
                <w:szCs w:val="20"/>
                <w:highlight w:val="none"/>
                <w:lang w:val="en-US" w:eastAsia="zh-CN"/>
              </w:rPr>
              <w:t>1</w:t>
            </w:r>
          </w:p>
        </w:tc>
        <w:tc>
          <w:tcPr>
            <w:tcW w:w="476" w:type="dxa"/>
            <w:vAlign w:val="center"/>
          </w:tcPr>
          <w:p w14:paraId="2291EC13">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行政许可</w:t>
            </w:r>
          </w:p>
        </w:tc>
        <w:tc>
          <w:tcPr>
            <w:tcW w:w="550" w:type="dxa"/>
            <w:vAlign w:val="center"/>
          </w:tcPr>
          <w:p w14:paraId="6380BD71">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适龄儿童、少年因身体状况需要延缓入学或者休学审批</w:t>
            </w:r>
          </w:p>
        </w:tc>
        <w:tc>
          <w:tcPr>
            <w:tcW w:w="650" w:type="dxa"/>
            <w:vAlign w:val="center"/>
          </w:tcPr>
          <w:p w14:paraId="127F21F4">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　</w:t>
            </w:r>
          </w:p>
        </w:tc>
        <w:tc>
          <w:tcPr>
            <w:tcW w:w="703" w:type="dxa"/>
            <w:vAlign w:val="center"/>
          </w:tcPr>
          <w:p w14:paraId="15E10C05">
            <w:pPr>
              <w:widowControl/>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1147" w:type="dxa"/>
            <w:vAlign w:val="center"/>
          </w:tcPr>
          <w:p w14:paraId="76FA30E4">
            <w:pPr>
              <w:widowControl/>
              <w:adjustRightInd w:val="0"/>
              <w:snapToGrid w:val="0"/>
              <w:spacing w:line="300" w:lineRule="exact"/>
              <w:jc w:val="center"/>
              <w:rPr>
                <w:rFonts w:hint="eastAsia"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百寿中心校</w:t>
            </w:r>
          </w:p>
          <w:p w14:paraId="1B7C440F">
            <w:pPr>
              <w:widowControl/>
              <w:adjustRightInd w:val="0"/>
              <w:snapToGrid w:val="0"/>
              <w:spacing w:line="300" w:lineRule="exact"/>
              <w:jc w:val="center"/>
              <w:rPr>
                <w:rFonts w:hint="default" w:eastAsia="仿宋_GB2312" w:cs="Times New Roman"/>
                <w:kern w:val="0"/>
                <w:sz w:val="20"/>
                <w:szCs w:val="20"/>
                <w:highlight w:val="none"/>
                <w:lang w:val="en-US" w:eastAsia="zh-CN"/>
              </w:rPr>
            </w:pPr>
          </w:p>
        </w:tc>
        <w:tc>
          <w:tcPr>
            <w:tcW w:w="1607" w:type="dxa"/>
            <w:vAlign w:val="center"/>
          </w:tcPr>
          <w:p w14:paraId="26649114">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1.【法律】《中华人民共和国义务教育法》第十一条：   适龄儿童、少年因身体状况需要延缓入学或者休学的，其父母或者其他法定监护人应当提出申请，由当地乡镇人民政府或者县级人民政府教育行政部门批准。</w:t>
            </w:r>
          </w:p>
          <w:p w14:paraId="395D2E6B">
            <w:pPr>
              <w:widowControl/>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规范性文件】《广西壮族自治区义务教育学籍管理实施办法》（桂教规范〔2013〕2号）第七条：因疾病或残疾等原因不能按时入学或要求免学的适龄儿童、少年，其父母或其他法定监护人要向当地人民政府或县级以上（含县）教育行政部门提出缓学或免学书面申请，并出具县级以上（含县）医院有效证明材料。缓学时间原则为一学年，缓学期满仍不能就学的，应当重新提出缓学申请。</w:t>
            </w:r>
          </w:p>
        </w:tc>
        <w:tc>
          <w:tcPr>
            <w:tcW w:w="1620" w:type="dxa"/>
            <w:vAlign w:val="center"/>
          </w:tcPr>
          <w:p w14:paraId="2F5A9BF0">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1.受理阶段责任：在办公场所公示依法应当提交的材料；一次性告知补正材料；依法受理或不予受理（不予受理应当告知理由）。</w:t>
            </w:r>
          </w:p>
          <w:p w14:paraId="27C27ADF">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2.审查阶段责任：依据相关法律法规对申请材料进行审查。必要时应当告知并听取各方当事人的意见。</w:t>
            </w:r>
          </w:p>
          <w:p w14:paraId="119CAC65">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3.决定阶段责任：作出许可决定、审核意见或不予准许决定，法定告知（不予核准的书面告知并说明理由）。</w:t>
            </w:r>
          </w:p>
          <w:p w14:paraId="39B23498">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4.送达阶段责任：制发许可决定书，按规定抄送有关部门、信息公开。</w:t>
            </w:r>
          </w:p>
          <w:p w14:paraId="375F82E7">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5.事后监管阶段责任：建立行政许可档案，加强监督检查。</w:t>
            </w:r>
          </w:p>
          <w:p w14:paraId="5450FFA8">
            <w:pPr>
              <w:adjustRightInd w:val="0"/>
              <w:snapToGrid w:val="0"/>
              <w:spacing w:line="300" w:lineRule="exact"/>
              <w:ind w:firstLine="400" w:firstLineChars="200"/>
              <w:jc w:val="left"/>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6.其他法律法规规章文件规定应承担的责任。</w:t>
            </w:r>
            <w:r>
              <w:rPr>
                <w:rFonts w:hint="eastAsia" w:eastAsia="仿宋_GB2312" w:cs="Times New Roman"/>
                <w:snapToGrid w:val="0"/>
                <w:sz w:val="20"/>
                <w:szCs w:val="20"/>
                <w:highlight w:val="none"/>
                <w:lang w:eastAsia="zh-CN"/>
              </w:rPr>
              <w:t>（</w:t>
            </w:r>
            <w:r>
              <w:rPr>
                <w:rFonts w:hint="eastAsia" w:eastAsia="仿宋_GB2312" w:cs="Times New Roman"/>
                <w:kern w:val="0"/>
                <w:sz w:val="20"/>
                <w:szCs w:val="20"/>
                <w:highlight w:val="none"/>
                <w:lang w:val="en-US" w:eastAsia="zh-CN"/>
              </w:rPr>
              <w:t>百寿中心校</w:t>
            </w:r>
            <w:r>
              <w:rPr>
                <w:rFonts w:hint="eastAsia" w:eastAsia="仿宋_GB2312" w:cs="Times New Roman"/>
                <w:snapToGrid w:val="0"/>
                <w:sz w:val="20"/>
                <w:szCs w:val="20"/>
                <w:highlight w:val="none"/>
                <w:lang w:eastAsia="zh-CN"/>
              </w:rPr>
              <w:t>）</w:t>
            </w:r>
          </w:p>
        </w:tc>
        <w:tc>
          <w:tcPr>
            <w:tcW w:w="6480" w:type="dxa"/>
            <w:vAlign w:val="center"/>
          </w:tcPr>
          <w:p w14:paraId="296757A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p w14:paraId="11678DC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第十一条：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p w14:paraId="6E5F180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p w14:paraId="47F0A12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p w14:paraId="30D4969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p w14:paraId="11B2F17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或者同一送达事项的受送达人众多的，可以在公告栏、受送达人住所地张贴公告，也可以在报刊上刊登公告。</w:t>
            </w:r>
          </w:p>
          <w:p w14:paraId="538A09B5">
            <w:pPr>
              <w:keepNext w:val="0"/>
              <w:keepLines w:val="0"/>
              <w:pageBreakBefore w:val="0"/>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2310" w:type="dxa"/>
            <w:vAlign w:val="center"/>
          </w:tcPr>
          <w:p w14:paraId="746DD6A1">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14E39EB8">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66F4F4A5">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7DE8886D">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0A2F64F5">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6EE09C9F">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00E6AA20">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424DDD84">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p>
          <w:p w14:paraId="4B8208A4">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center"/>
              <w:rPr>
                <w:rStyle w:val="10"/>
                <w:rFonts w:hint="eastAsia" w:ascii="Times New Roman" w:hAnsi="Times New Roman" w:eastAsia="仿宋_GB2312" w:cs="Times New Roman"/>
                <w:color w:val="auto"/>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4410" w:type="dxa"/>
            <w:vAlign w:val="center"/>
          </w:tcPr>
          <w:p w14:paraId="6C8A04D7">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37BAC750">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51D8D132">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5E9BF442">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7C35C473">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2224FAAA">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04DD9289">
            <w:pPr>
              <w:adjustRightInd w:val="0"/>
              <w:snapToGrid w:val="0"/>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tc>
        <w:tc>
          <w:tcPr>
            <w:tcW w:w="750" w:type="dxa"/>
            <w:vAlign w:val="center"/>
          </w:tcPr>
          <w:p w14:paraId="41639D9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20" w:type="dxa"/>
            <w:vAlign w:val="center"/>
          </w:tcPr>
          <w:p w14:paraId="4621F2E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r>
    </w:tbl>
    <w:p w14:paraId="6A6C1965">
      <w:pPr>
        <w:keepNext w:val="0"/>
        <w:keepLines w:val="0"/>
        <w:pageBreakBefore w:val="0"/>
        <w:widowControl w:val="0"/>
        <w:kinsoku/>
        <w:wordWrap/>
        <w:overflowPunct/>
        <w:topLinePunct w:val="0"/>
        <w:autoSpaceDE/>
        <w:autoSpaceDN/>
        <w:bidi w:val="0"/>
        <w:adjustRightInd/>
        <w:snapToGrid/>
        <w:spacing w:line="2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034"/>
        <w:gridCol w:w="1000"/>
        <w:gridCol w:w="8417"/>
        <w:gridCol w:w="1250"/>
        <w:gridCol w:w="3966"/>
        <w:gridCol w:w="534"/>
        <w:gridCol w:w="915"/>
      </w:tblGrid>
      <w:tr w14:paraId="7C48F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53E0DF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D5927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084" w:type="dxa"/>
            <w:gridSpan w:val="5"/>
            <w:vAlign w:val="center"/>
          </w:tcPr>
          <w:p w14:paraId="37E44D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167" w:type="dxa"/>
            <w:gridSpan w:val="5"/>
            <w:vAlign w:val="center"/>
          </w:tcPr>
          <w:p w14:paraId="1FEC8D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5" w:type="dxa"/>
            <w:vMerge w:val="restart"/>
            <w:vAlign w:val="center"/>
          </w:tcPr>
          <w:p w14:paraId="252A0C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024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6082E80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18FB0E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2580C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5F78E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1117B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F2961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01283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034" w:type="dxa"/>
            <w:vAlign w:val="center"/>
          </w:tcPr>
          <w:p w14:paraId="68D9F4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000" w:type="dxa"/>
            <w:vAlign w:val="center"/>
          </w:tcPr>
          <w:p w14:paraId="74DAC3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BC890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8417" w:type="dxa"/>
            <w:vAlign w:val="center"/>
          </w:tcPr>
          <w:p w14:paraId="068E5A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250" w:type="dxa"/>
            <w:vAlign w:val="center"/>
          </w:tcPr>
          <w:p w14:paraId="4B7360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966" w:type="dxa"/>
            <w:vAlign w:val="center"/>
          </w:tcPr>
          <w:p w14:paraId="5FF44A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34" w:type="dxa"/>
            <w:vAlign w:val="center"/>
          </w:tcPr>
          <w:p w14:paraId="0C3381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86DE3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5" w:type="dxa"/>
            <w:vMerge w:val="continue"/>
            <w:vAlign w:val="center"/>
          </w:tcPr>
          <w:p w14:paraId="1A1BA8D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45D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96" w:hRule="atLeast"/>
          <w:jc w:val="center"/>
        </w:trPr>
        <w:tc>
          <w:tcPr>
            <w:tcW w:w="406" w:type="dxa"/>
            <w:vAlign w:val="center"/>
          </w:tcPr>
          <w:p w14:paraId="066EAF11">
            <w:pPr>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方正书宋_GBK" w:cs="Times New Roman"/>
                <w:kern w:val="0"/>
                <w:sz w:val="20"/>
                <w:szCs w:val="20"/>
                <w:highlight w:val="none"/>
              </w:rPr>
              <w:t>2</w:t>
            </w:r>
          </w:p>
        </w:tc>
        <w:tc>
          <w:tcPr>
            <w:tcW w:w="476" w:type="dxa"/>
            <w:vAlign w:val="center"/>
          </w:tcPr>
          <w:p w14:paraId="0C2704AB">
            <w:pPr>
              <w:widowControl/>
              <w:adjustRightInd w:val="0"/>
              <w:snapToGrid w:val="0"/>
              <w:spacing w:line="23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73076E28">
            <w:pPr>
              <w:widowControl/>
              <w:adjustRightInd w:val="0"/>
              <w:snapToGrid w:val="0"/>
              <w:spacing w:line="23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最低生活保障救助资金的给付</w:t>
            </w:r>
          </w:p>
        </w:tc>
        <w:tc>
          <w:tcPr>
            <w:tcW w:w="650" w:type="dxa"/>
            <w:vAlign w:val="center"/>
          </w:tcPr>
          <w:p w14:paraId="7927E48A">
            <w:pPr>
              <w:widowControl/>
              <w:adjustRightInd w:val="0"/>
              <w:snapToGrid w:val="0"/>
              <w:spacing w:line="230" w:lineRule="exact"/>
              <w:rPr>
                <w:rFonts w:hint="default" w:ascii="Times New Roman" w:hAnsi="Times New Roman" w:eastAsia="仿宋_GB2312" w:cs="Times New Roman"/>
                <w:snapToGrid w:val="0"/>
                <w:color w:val="000000"/>
                <w:sz w:val="20"/>
                <w:szCs w:val="20"/>
                <w:highlight w:val="none"/>
              </w:rPr>
            </w:pPr>
          </w:p>
        </w:tc>
        <w:tc>
          <w:tcPr>
            <w:tcW w:w="917" w:type="dxa"/>
            <w:vAlign w:val="center"/>
          </w:tcPr>
          <w:p w14:paraId="28960CF3">
            <w:pPr>
              <w:widowControl/>
              <w:adjustRightInd w:val="0"/>
              <w:snapToGrid w:val="0"/>
              <w:spacing w:line="230" w:lineRule="exact"/>
              <w:jc w:val="center"/>
              <w:rPr>
                <w:rFonts w:hint="default" w:ascii="Times New Roman" w:hAnsi="Times New Roman" w:eastAsia="仿宋_GB2312" w:cs="Times New Roman"/>
                <w:snapToGrid w:val="0"/>
                <w:color w:val="000000"/>
                <w:sz w:val="20"/>
                <w:szCs w:val="20"/>
                <w:highlight w:val="none"/>
                <w:lang w:val="en-US" w:eastAsia="zh-CN"/>
              </w:rPr>
            </w:pPr>
            <w:r>
              <w:rPr>
                <w:rFonts w:hint="eastAsia" w:eastAsia="仿宋_GB2312" w:cs="Times New Roman"/>
                <w:snapToGrid w:val="0"/>
                <w:color w:val="000000"/>
                <w:sz w:val="20"/>
                <w:szCs w:val="20"/>
                <w:highlight w:val="none"/>
                <w:lang w:val="en-US" w:eastAsia="zh-CN"/>
              </w:rPr>
              <w:t>百寿</w:t>
            </w:r>
            <w:r>
              <w:rPr>
                <w:rFonts w:hint="default" w:ascii="Times New Roman" w:hAnsi="Times New Roman" w:eastAsia="仿宋_GB2312" w:cs="Times New Roman"/>
                <w:snapToGrid w:val="0"/>
                <w:color w:val="000000"/>
                <w:sz w:val="20"/>
                <w:szCs w:val="20"/>
                <w:highlight w:val="none"/>
                <w:lang w:val="en-US" w:eastAsia="zh-CN"/>
              </w:rPr>
              <w:t>镇人民政府</w:t>
            </w:r>
          </w:p>
        </w:tc>
        <w:tc>
          <w:tcPr>
            <w:tcW w:w="933" w:type="dxa"/>
            <w:vAlign w:val="center"/>
          </w:tcPr>
          <w:p w14:paraId="2945B0D7">
            <w:pPr>
              <w:widowControl/>
              <w:adjustRightInd w:val="0"/>
              <w:snapToGrid w:val="0"/>
              <w:spacing w:line="230" w:lineRule="exact"/>
              <w:jc w:val="center"/>
              <w:rPr>
                <w:rFonts w:hint="default" w:ascii="Times New Roman" w:hAnsi="Times New Roman" w:eastAsia="仿宋_GB2312" w:cs="Times New Roman"/>
                <w:snapToGrid w:val="0"/>
                <w:color w:val="000000"/>
                <w:sz w:val="20"/>
                <w:szCs w:val="20"/>
                <w:highlight w:val="none"/>
                <w:lang w:val="en-US" w:eastAsia="zh-CN"/>
              </w:rPr>
            </w:pPr>
            <w:r>
              <w:rPr>
                <w:rFonts w:hint="eastAsia" w:eastAsia="仿宋_GB2312"/>
                <w:color w:val="auto"/>
                <w:kern w:val="0"/>
                <w:sz w:val="20"/>
                <w:szCs w:val="20"/>
                <w:highlight w:val="none"/>
                <w:lang w:val="en-US" w:eastAsia="zh-CN"/>
              </w:rPr>
              <w:t>百寿镇党群服务中心</w:t>
            </w:r>
          </w:p>
        </w:tc>
        <w:tc>
          <w:tcPr>
            <w:tcW w:w="2034" w:type="dxa"/>
            <w:vAlign w:val="center"/>
          </w:tcPr>
          <w:p w14:paraId="074BE858">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行政法规】《社会救助暂行办法》（2014年国务院令第649号公布，2019年国务院第709号修订）第九条：国家对共同生活的家庭成员人均收入低于当地最低生活保障标准，且符合当地最低生活保障家庭财产状况规定的家庭，给予最低生活保障。</w:t>
            </w:r>
          </w:p>
          <w:p w14:paraId="2A04333C">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第十二条：对批准获得最低生活保障的家庭，县级人民政府民政部门按照共同生活的家庭成员人均收入低于当地最低生活保障标准的差额，按月发给最低生活保障金。</w:t>
            </w:r>
          </w:p>
          <w:p w14:paraId="1D3959BB">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对获得最低生活保障后生活仍有困难的老年人、未成年人、重度残疾人和重病患者，县级以上地方人民政府应当采取必要措施给予生活保障。</w:t>
            </w:r>
          </w:p>
          <w:p w14:paraId="5B2E26A0">
            <w:pPr>
              <w:adjustRightInd w:val="0"/>
              <w:snapToGrid w:val="0"/>
              <w:spacing w:line="300" w:lineRule="exact"/>
              <w:ind w:firstLine="400" w:firstLineChars="200"/>
              <w:jc w:val="lef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2.【行政法规】《城市居民最低生活保障条例》（1999年国务院令第271号）第七条： 申请享受城市居民最低生活保障待遇，由户主向户籍所在地的街道办事处或者镇人民政府提出书面申请，并出具有关证明材料，填写《城市居民最低生活保障待遇审批表》。城市居民最低生活保障待遇，由其所在地的街道办事处或者镇人民政府初审，并将有关材料和初审意见报送县级人民政府民政部门审批。</w:t>
            </w:r>
          </w:p>
        </w:tc>
        <w:tc>
          <w:tcPr>
            <w:tcW w:w="1000" w:type="dxa"/>
            <w:vAlign w:val="center"/>
          </w:tcPr>
          <w:p w14:paraId="2BC0E44C">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1.审查责任：材料审核（主要包括申请人及申请享受低保的成员的户口本、身份证原件；困难证明材料；《广西申请社会救助家庭经济状况核对授权书》，并签字按手印等材料）。</w:t>
            </w:r>
          </w:p>
          <w:p w14:paraId="2E1ABA97">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2.审批责任：进行审批，按时办结（予以批准，进行公布；不予批准，书面说明理由）。</w:t>
            </w:r>
          </w:p>
          <w:p w14:paraId="76D712DD">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3.监管责任：建立监督管理机制，定期核查，针对不同情况采取管理措施。</w:t>
            </w:r>
          </w:p>
          <w:p w14:paraId="225242CC">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4.给付责任：按照相关规定，按月发放最低生活保障金。</w:t>
            </w:r>
          </w:p>
          <w:p w14:paraId="4CB410D0">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4049416B">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2E6E2D44">
            <w:pPr>
              <w:widowControl/>
              <w:adjustRightInd w:val="0"/>
              <w:snapToGrid w:val="0"/>
              <w:spacing w:line="230" w:lineRule="exact"/>
              <w:ind w:left="0" w:leftChars="0" w:firstLine="0" w:firstLineChars="0"/>
              <w:jc w:val="center"/>
              <w:rPr>
                <w:rFonts w:hint="eastAsia" w:ascii="Times New Roman" w:hAnsi="Times New Roman" w:eastAsia="仿宋_GB2312" w:cs="Times New Roman"/>
                <w:snapToGrid w:val="0"/>
                <w:color w:val="000000"/>
                <w:sz w:val="20"/>
                <w:szCs w:val="20"/>
                <w:highlight w:val="none"/>
                <w:lang w:val="en-US" w:eastAsia="zh-CN"/>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百寿镇党群服务中心</w:t>
            </w:r>
            <w:r>
              <w:rPr>
                <w:rFonts w:hint="eastAsia" w:eastAsia="仿宋_GB2312" w:cs="Times New Roman"/>
                <w:snapToGrid w:val="0"/>
                <w:color w:val="000000"/>
                <w:sz w:val="20"/>
                <w:szCs w:val="20"/>
                <w:highlight w:val="none"/>
                <w:lang w:eastAsia="zh-CN"/>
              </w:rPr>
              <w:t>）</w:t>
            </w:r>
          </w:p>
        </w:tc>
        <w:tc>
          <w:tcPr>
            <w:tcW w:w="8417" w:type="dxa"/>
            <w:vAlign w:val="center"/>
          </w:tcPr>
          <w:p w14:paraId="37E6182F">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041F2729">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26E88ED0">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2.【行政法规】《城市居民最低生活保障条例》（1999年国务院令第271号公布）第四条城市居民最低生活保障制度实行地方各级人民政府负责制。县级以上地方各级人民政府民政部门具体负责本行政区域内城市居民最低生活保障的管理工作；财政部门按照规定落实城市居民最低生活保障资金；统计、物价、审计、劳动保障和人事等部门分工负责，在各自的职责范围内负责城市居民最低生活保障的有关工作。县级人民政府民政部门以及街道办事处和镇人民政府（以下统称管理审批机关）负责城市居民最低生活保障的具体管理审批工作。居民委员会根据管理审批机关的委托，可以承担城市居民最低生活保障的日常管理、服务工作。国务院民政部门负责全国城市居民最低生活保障的管理工作。第八条县级人民政府民政部门经审查，对符合享受城市居民最低生活保障待遇条件的家庭，应当区分下列不同情况批准其享受城市居民最低生活保障待遇：（一）对无生活来源、无劳动能力又无法定赡养人、扶养人或者抚养人的城市居民，批准其按照当地城市居民最低生活保障标准全额享受（二）对尚有一定收入的城市居民，批准其按照家庭人均收入低于当地城市居民最低生活保障标准的差额享受。县级人民政府民政部门经审查，对不符合享受城市居民最低生活保障待遇条件的，应当书面通知申请人，并说明理由。管理审批机关应当自接到申请人提出申请之日起的30日内办结审批手续。城市居民最低生活保障待遇由管理审批机关以货币形式按月发放；必要时，也可以给付实物。第九条对经批准享受城市居民最低生活保障待遇的城市居民，由管理审批机关采取适当形式以户为单位予以公布，接受群众监督。任何人对不符合法定条件而享受城市居民最低生活保障待遇的，都有权向管理审批机关提出意见；管理审批机关经核查，对情况属实的，应当予以纠正。</w:t>
            </w:r>
          </w:p>
          <w:p w14:paraId="7F4E2C2D">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3.【行政法规】《社会救助暂行办法》（2014年国务院令第649号，2019年国务院令第709号修订）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批准，并在申请人所在村、社区公布；对不符合条件的申请不予批准，并书面向申请人说明理由。第十二条对批准获得最低生活保障的家庭，县级人民政府民政部门按照共同生活的家庭成员人均收入低于当地最低生活保障标准的差额，按月发给最低生活保障金。对获得最低生活保障后生活仍有困难的老年人、未成年人、重度残疾人和重病患者，县级以上地方人民政府应当采取必要措施给予生活保障。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最低生活保障家庭的人口状况、收入状况、财产状况发生变化的，县级人民政府民政部门应当及时决定增发、减发或者停发最低生活保障金；决定停发最低生活保障金的，应当书面说明理由。</w:t>
            </w:r>
          </w:p>
          <w:p w14:paraId="40A5BB69">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4.【地方政府规章】《广西壮族自治区最低生活保障办法》（2020年广西壮族自治区人民政府令第133号），第二十二条乡镇人民政府、街道办事处应当根据调查核实结果作出初审意见，并在申请人所在村（居）民委员会的村（居）务公开栏及申请人所在的村（社区）、屯公示。公示时间不得少于5个工作日。公示期满无异议的，乡镇人民政府、街道办事处应当在公示期满之日起3个工作日内将初审意见报送县级人民政府民政部门审批或者由受委托行使最低生活保障审批权的乡镇人民政府、街道办事处直接进行审批。第二十八条最低生活保障金由县级人民政府民政部门会同财政部门通过金融机构于批准当月或者次月起按月发放至最低生活保障对象指定的家庭成员账户。</w:t>
            </w:r>
          </w:p>
          <w:p w14:paraId="496B8DF9">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1.【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75B4ACDE">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3—2.同2—2。</w:t>
            </w:r>
          </w:p>
          <w:p w14:paraId="0B8D1FB9">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pacing w:val="-2"/>
                <w:sz w:val="20"/>
                <w:szCs w:val="20"/>
                <w:highlight w:val="none"/>
              </w:rPr>
              <w:t>4.同2—2</w:t>
            </w:r>
          </w:p>
        </w:tc>
        <w:tc>
          <w:tcPr>
            <w:tcW w:w="1250" w:type="dxa"/>
            <w:vAlign w:val="center"/>
          </w:tcPr>
          <w:p w14:paraId="629D7CC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因不履行或不正确履行行政职责，出现以下情形的，行政机关及相关工作人员应承担相应责任：</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1.对符合法定条件的申请不予受理的、不予行政许可或者不在法定期限内作出准予行政许可决定的；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2.未说明不受理申请或者不予行政许可的理由的；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3.对不符合法定条件的准予行政许可或者超越法定职权作出准予行政许可决定的；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4.工作人员滥用职权、徇私舞弊、玩忽职守的。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5.不依法履行监督职责或者监督不力，造成严重后果的；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6.其他违反法律法规规章文件规定的行为。</w:t>
            </w:r>
          </w:p>
          <w:p w14:paraId="121F31B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p>
          <w:p w14:paraId="4E859424">
            <w:pPr>
              <w:widowControl/>
              <w:adjustRightInd w:val="0"/>
              <w:snapToGrid w:val="0"/>
              <w:spacing w:line="230" w:lineRule="exact"/>
              <w:ind w:left="0" w:leftChars="0" w:firstLine="0" w:firstLineChars="0"/>
              <w:jc w:val="center"/>
              <w:rPr>
                <w:rFonts w:hint="eastAsia" w:ascii="Times New Roman" w:hAnsi="Times New Roman" w:eastAsia="仿宋_GB2312" w:cs="Times New Roman"/>
                <w:snapToGrid w:val="0"/>
                <w:color w:val="000000"/>
                <w:spacing w:val="-2"/>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3966" w:type="dxa"/>
            <w:vAlign w:val="center"/>
          </w:tcPr>
          <w:p w14:paraId="77F152C9">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1.【法律】《行政许可法》第七十二条　行政机关及其工作人员违反本法的规定，有下列情形之一的，由其上级行政机关或者监察机关责令改正;情节严重的，对直接负责的主管人员和其他直接责任人员依法给予行政处分：</w:t>
            </w:r>
          </w:p>
          <w:p w14:paraId="65E7257B">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(一)对符合法定条件的行政许可申请不予受理的;</w:t>
            </w:r>
          </w:p>
          <w:p w14:paraId="70DC8486">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(二)不在办公场所公示依法应当公示的材料的;</w:t>
            </w:r>
          </w:p>
          <w:p w14:paraId="3A80314C">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(三)在受理、审查、决定行政许可过程中，未向申请人、利害关系人履行法定告知义务的;</w:t>
            </w:r>
          </w:p>
          <w:p w14:paraId="452961EC">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(四)申请人提交的申请材料不齐全、不符合法定形式，不一次告知申请人必须补正的全部内容的;</w:t>
            </w:r>
          </w:p>
          <w:p w14:paraId="7C8DC2F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(五)违法披露申请人提交的商业秘密、未披露信息或者保密商务信息的;</w:t>
            </w:r>
          </w:p>
          <w:p w14:paraId="4C3C60C8">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(六)以转让技术作为取得行政许可的条件或者在实施行政许可的过程中直接或者间接地要求转让技术的;</w:t>
            </w:r>
          </w:p>
          <w:p w14:paraId="32BA704F">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(七)未依法说明不受理行政许可申请或者不予行政许可的理由的;</w:t>
            </w:r>
          </w:p>
          <w:p w14:paraId="25C3B8C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(八)依法应当举行听证而不举行听证的。               </w:t>
            </w:r>
          </w:p>
          <w:p w14:paraId="10CEA538">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2.同1.                                                                      </w:t>
            </w:r>
          </w:p>
          <w:p w14:paraId="1440387C">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3.【法律】《行政许可法》第七十四条  行政机关实施行政许可，有下列情形之一的，由其上级行政机关或者监察机关责令改正；情节严重的，对直接负责的主管人员和其他直接责任人员依法给与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行政许可决定，未经招标、拍卖或考试或者不根据招标、拍卖结果或考试成绩择优作出准予行政许可决定的”。                                                             </w:t>
            </w:r>
          </w:p>
          <w:p w14:paraId="311CF66B">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4.【法规】《城市居民最低生活保障条例》（国务院令第271号）第十三条　从事城市居民最低生活保障管理审批工作的人员有下列行为之一的，给予批评教育，依法给予行政处分；构成犯罪的，依法追究刑事责任：（一）对符合享受城市居民最低生活保障待遇条件的家庭拒不签署同意享受城市居民最低生活保障待遇意见的</w:t>
            </w:r>
            <w:bookmarkStart w:id="0" w:name="_GoBack"/>
            <w:bookmarkEnd w:id="0"/>
            <w:r>
              <w:rPr>
                <w:rFonts w:hint="default" w:ascii="Times New Roman" w:hAnsi="Times New Roman" w:eastAsia="仿宋_GB2312" w:cs="Times New Roman"/>
                <w:snapToGrid w:val="0"/>
                <w:color w:val="000000"/>
                <w:spacing w:val="-2"/>
                <w:sz w:val="20"/>
                <w:szCs w:val="20"/>
                <w:highlight w:val="none"/>
              </w:rPr>
              <w:t>或者对不符合享受城市居民最低生活保障待遇条件的家庭故意签署同意享受城市居民最低生活保障待遇意见的；（二）玩忽职守、徇私舞弊</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贪污、挪用、扣压、拖欠城市居民最低生活保障款物的。</w:t>
            </w:r>
          </w:p>
          <w:p w14:paraId="18E3B490">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5.【法律】《行政许可法》第七十七条  行政机关不依法履行监督职责或者监督不力，造成严重后果的，由其上级行政机关或者监察机关责令改正，对直接复制的主管人员和其他直接责任人依法给与行政处分；构成犯罪的，依法追究刑事责任。 </w:t>
            </w:r>
          </w:p>
        </w:tc>
        <w:tc>
          <w:tcPr>
            <w:tcW w:w="534" w:type="dxa"/>
            <w:vAlign w:val="center"/>
          </w:tcPr>
          <w:p w14:paraId="23E49B46">
            <w:pPr>
              <w:keepNext w:val="0"/>
              <w:keepLines w:val="0"/>
              <w:pageBreakBefore w:val="0"/>
              <w:widowControl/>
              <w:kinsoku/>
              <w:wordWrap/>
              <w:overflowPunct/>
              <w:topLinePunct w:val="0"/>
              <w:autoSpaceDE/>
              <w:autoSpaceDN/>
              <w:bidi w:val="0"/>
              <w:adjustRightInd w:val="0"/>
              <w:snapToGrid w:val="0"/>
              <w:spacing w:line="230" w:lineRule="exact"/>
              <w:ind w:firstLine="0" w:firstLineChars="0"/>
              <w:jc w:val="center"/>
              <w:textAlignment w:val="auto"/>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法律法规规定的免责情形及有关文件中明确的免责情形</w:t>
            </w:r>
          </w:p>
        </w:tc>
        <w:tc>
          <w:tcPr>
            <w:tcW w:w="915" w:type="dxa"/>
            <w:vAlign w:val="center"/>
          </w:tcPr>
          <w:p w14:paraId="733ABFCF">
            <w:pPr>
              <w:widowControl/>
              <w:adjustRightInd w:val="0"/>
              <w:snapToGrid w:val="0"/>
              <w:spacing w:line="230" w:lineRule="exact"/>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最低生活保障救助资金的给付”与《自治区党委编办关于印发广西赋予乡镇（街道）部分县级管理权限清单（第一批）的通知》（桂编办发〔2019〕195号）中的“城乡居民最低生活保障金给付”为同一事项，根据桂编办发〔2019〕195号文件精神，该行政给付赋权乡镇人民政府（街道办事处）实施。</w:t>
            </w:r>
          </w:p>
          <w:p w14:paraId="12F88956">
            <w:pPr>
              <w:adjustRightInd w:val="0"/>
              <w:snapToGrid w:val="0"/>
              <w:spacing w:line="300" w:lineRule="exact"/>
              <w:jc w:val="lef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tc>
      </w:tr>
    </w:tbl>
    <w:p w14:paraId="71C7ECBA"/>
    <w:tbl>
      <w:tblPr>
        <w:tblStyle w:val="4"/>
        <w:tblW w:w="21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8"/>
        <w:gridCol w:w="1565"/>
        <w:gridCol w:w="4414"/>
        <w:gridCol w:w="1670"/>
        <w:gridCol w:w="5600"/>
        <w:gridCol w:w="1046"/>
        <w:gridCol w:w="1320"/>
      </w:tblGrid>
      <w:tr w14:paraId="28F7D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7607BF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68178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1041C5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95" w:type="dxa"/>
            <w:gridSpan w:val="5"/>
            <w:vAlign w:val="center"/>
          </w:tcPr>
          <w:p w14:paraId="658039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320" w:type="dxa"/>
            <w:vMerge w:val="restart"/>
            <w:vAlign w:val="center"/>
          </w:tcPr>
          <w:p w14:paraId="1349A3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7C6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0F6FD69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7CB851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520AC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BF44C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D3922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22BA6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8D512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13DA84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65" w:type="dxa"/>
            <w:vAlign w:val="center"/>
          </w:tcPr>
          <w:p w14:paraId="410D64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ACA81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4" w:type="dxa"/>
            <w:vAlign w:val="center"/>
          </w:tcPr>
          <w:p w14:paraId="21B6A4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70" w:type="dxa"/>
            <w:vAlign w:val="center"/>
          </w:tcPr>
          <w:p w14:paraId="0BAC2F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600" w:type="dxa"/>
            <w:vAlign w:val="center"/>
          </w:tcPr>
          <w:p w14:paraId="16AA51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46" w:type="dxa"/>
            <w:vAlign w:val="center"/>
          </w:tcPr>
          <w:p w14:paraId="7416E6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59CAF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320" w:type="dxa"/>
            <w:vMerge w:val="continue"/>
            <w:vAlign w:val="center"/>
          </w:tcPr>
          <w:p w14:paraId="2BC7E65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4677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24" w:hRule="atLeast"/>
          <w:jc w:val="center"/>
        </w:trPr>
        <w:tc>
          <w:tcPr>
            <w:tcW w:w="406" w:type="dxa"/>
            <w:vAlign w:val="center"/>
          </w:tcPr>
          <w:p w14:paraId="0E800CC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p>
        </w:tc>
        <w:tc>
          <w:tcPr>
            <w:tcW w:w="476" w:type="dxa"/>
            <w:vAlign w:val="center"/>
          </w:tcPr>
          <w:p w14:paraId="09944E48">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238AC0D4">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临时救助</w:t>
            </w:r>
          </w:p>
        </w:tc>
        <w:tc>
          <w:tcPr>
            <w:tcW w:w="650" w:type="dxa"/>
            <w:vAlign w:val="center"/>
          </w:tcPr>
          <w:p w14:paraId="78411FC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4715D09">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百寿</w:t>
            </w:r>
            <w:r>
              <w:rPr>
                <w:rFonts w:hint="default" w:ascii="Times New Roman" w:hAnsi="Times New Roman" w:eastAsia="仿宋_GB2312" w:cs="Times New Roman"/>
                <w:snapToGrid w:val="0"/>
                <w:color w:val="000000"/>
                <w:sz w:val="20"/>
                <w:szCs w:val="20"/>
                <w:highlight w:val="none"/>
                <w:lang w:val="en-US" w:eastAsia="zh-CN"/>
              </w:rPr>
              <w:t>镇人民政府</w:t>
            </w:r>
          </w:p>
        </w:tc>
        <w:tc>
          <w:tcPr>
            <w:tcW w:w="933" w:type="dxa"/>
            <w:vAlign w:val="center"/>
          </w:tcPr>
          <w:p w14:paraId="61C7FC5B">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百寿镇党群服务中心</w:t>
            </w:r>
          </w:p>
        </w:tc>
        <w:tc>
          <w:tcPr>
            <w:tcW w:w="1918" w:type="dxa"/>
            <w:vAlign w:val="center"/>
          </w:tcPr>
          <w:p w14:paraId="02DD5634">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【行政法规】《社会救助暂行办法》（2014年国务院令649号发布，2019年国务院令709号修订）第四十七条： 国家对因火灾、交通事故等意外事件，家庭成员突发重大疾病等原因，导致基本生活暂时出现严重困难的家庭</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因生活必需支出突然增加超出家庭承受能力，导致基本生活暂时出现严重困难的最低生活保障家庭，以及遭遇其他特殊困难的家庭，给予临时救助。</w:t>
            </w:r>
          </w:p>
          <w:p w14:paraId="5CE9A78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tc>
        <w:tc>
          <w:tcPr>
            <w:tcW w:w="1565" w:type="dxa"/>
            <w:vAlign w:val="center"/>
          </w:tcPr>
          <w:p w14:paraId="20C36845">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1.审查责任：审查是否符合临时救助的情形。</w:t>
            </w:r>
          </w:p>
          <w:p w14:paraId="52BD41CF">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2.公示责任：对符合条件的人员名单进行公示。</w:t>
            </w:r>
          </w:p>
          <w:p w14:paraId="67E059D9">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3.审批责任：及时审批，按时办结。</w:t>
            </w:r>
          </w:p>
          <w:p w14:paraId="038717F6">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4.给付责任：发放临时救助金。</w:t>
            </w:r>
          </w:p>
          <w:p w14:paraId="4A6E0B62">
            <w:pPr>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3DC8EB50">
            <w:pPr>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p>
          <w:p w14:paraId="0C856FB7">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百寿镇党群服务中心</w:t>
            </w:r>
            <w:r>
              <w:rPr>
                <w:rFonts w:hint="eastAsia" w:eastAsia="仿宋_GB2312" w:cs="Times New Roman"/>
                <w:snapToGrid w:val="0"/>
                <w:color w:val="000000"/>
                <w:sz w:val="20"/>
                <w:szCs w:val="20"/>
                <w:highlight w:val="none"/>
                <w:lang w:eastAsia="zh-CN"/>
              </w:rPr>
              <w:t>）</w:t>
            </w:r>
          </w:p>
        </w:tc>
        <w:tc>
          <w:tcPr>
            <w:tcW w:w="4414" w:type="dxa"/>
            <w:vAlign w:val="center"/>
          </w:tcPr>
          <w:p w14:paraId="7FAC6D3E">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1—1.【法律】《中华人民共和国行政许可法》第三十四条：行政机关应当对申请人提交的申请材料进行审查。</w:t>
            </w:r>
          </w:p>
          <w:p w14:paraId="62479A37">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申请人提交的申请材料齐全、符合法定形式，行政机关能够当场作出决定的，应当当场作出书面的行政许可决定。</w:t>
            </w:r>
          </w:p>
          <w:p w14:paraId="06876FBE">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根据法定条件和程序，需要对申请材料的实质内容进行核实的，行政机关应当指派两名以上工作人员进行核查。</w:t>
            </w:r>
          </w:p>
          <w:p w14:paraId="3669D1C4">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37114C32">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1—2.【行政法规】《社会救助暂行办法》（2014年国务院令第649号，2019年国务院令第709号修订）第四十八条： 申请临时救助的，应当向乡镇人民政府、街道办事处提出，经审核、公示后，由县级人民政府民政部门审批。救助金额较小的，县级人民政府民政部门可以委托乡镇人民政府、街道办事处审批。情况紧急的，可以按照规定简化审批程序。”</w:t>
            </w:r>
          </w:p>
          <w:p w14:paraId="3E7D44C4">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48EF5EE7">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2—2.同1—2。</w:t>
            </w:r>
          </w:p>
          <w:p w14:paraId="6970CDE3">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w:t>
            </w:r>
          </w:p>
          <w:p w14:paraId="5F75AABE">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103DC969">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3—2.同1—2。</w:t>
            </w:r>
          </w:p>
          <w:p w14:paraId="514F72C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4.同1—2。</w:t>
            </w:r>
          </w:p>
        </w:tc>
        <w:tc>
          <w:tcPr>
            <w:tcW w:w="1670" w:type="dxa"/>
            <w:vAlign w:val="center"/>
          </w:tcPr>
          <w:p w14:paraId="5CC0477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57EC5813">
            <w:pPr>
              <w:widowControl/>
              <w:adjustRightInd w:val="0"/>
              <w:snapToGrid w:val="0"/>
              <w:spacing w:line="300"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6A758FA0">
            <w:pPr>
              <w:widowControl/>
              <w:adjustRightInd w:val="0"/>
              <w:snapToGrid w:val="0"/>
              <w:spacing w:line="300"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2E9F1393">
            <w:pPr>
              <w:widowControl/>
              <w:adjustRightInd w:val="0"/>
              <w:snapToGrid w:val="0"/>
              <w:spacing w:line="300"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4D98E0CF">
            <w:pPr>
              <w:widowControl/>
              <w:adjustRightInd w:val="0"/>
              <w:snapToGrid w:val="0"/>
              <w:spacing w:line="300" w:lineRule="exact"/>
              <w:ind w:firstLine="200" w:firstLineChars="100"/>
              <w:rPr>
                <w:rFonts w:hint="default" w:ascii="Times New Roman" w:hAnsi="Times New Roman" w:eastAsia="仿宋_GB2312" w:cs="Times New Roman"/>
                <w:snapToGrid w:val="0"/>
                <w:sz w:val="20"/>
                <w:szCs w:val="20"/>
                <w:highlight w:val="none"/>
              </w:rPr>
            </w:pPr>
          </w:p>
          <w:p w14:paraId="7E5511DD">
            <w:pPr>
              <w:widowControl/>
              <w:adjustRightInd w:val="0"/>
              <w:snapToGrid w:val="0"/>
              <w:spacing w:line="300"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5600" w:type="dxa"/>
            <w:vAlign w:val="center"/>
          </w:tcPr>
          <w:p w14:paraId="0070F65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22EA126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740FEA9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4E0778B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2DAC0D1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330B283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073BAB56">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1AB342D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08FB846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0FEF615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3443013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53FDC0AF">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46" w:type="dxa"/>
            <w:vAlign w:val="center"/>
          </w:tcPr>
          <w:p w14:paraId="2970AEC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320" w:type="dxa"/>
            <w:vAlign w:val="center"/>
          </w:tcPr>
          <w:p w14:paraId="0DD420C7">
            <w:pPr>
              <w:widowControl/>
              <w:adjustRightInd w:val="0"/>
              <w:snapToGrid w:val="0"/>
              <w:spacing w:line="300" w:lineRule="exac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临时救助”与《自治区党委编办关于印发广西赋予乡镇（街道）部分县级管理权限清单（第一批）的通知》（桂编办发〔2019〕195号）中的“临时救助资金发放”为同一事项，根据桂编办发〔2019〕195号文件精神，该行政给付赋权乡镇人民政府（街道办事处）实施。</w:t>
            </w:r>
          </w:p>
          <w:p w14:paraId="40D9533E">
            <w:pPr>
              <w:widowControl/>
              <w:adjustRightInd w:val="0"/>
              <w:snapToGrid w:val="0"/>
              <w:spacing w:line="300" w:lineRule="exac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p w14:paraId="5683C9D2">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3.根据自治区党委办公厅 自治区人民政府办公厅印发《关于改革完善社会救助制度的若干措施》的通知（桂办发〔2020〕23号），临时救助金额在当地城市低保标准年度总额的0.5倍以内的，委托乡镇（街道）负责审核认定。</w:t>
            </w:r>
          </w:p>
        </w:tc>
      </w:tr>
    </w:tbl>
    <w:p w14:paraId="097227E2"/>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04"/>
        <w:gridCol w:w="1457"/>
        <w:gridCol w:w="7243"/>
        <w:gridCol w:w="1522"/>
        <w:gridCol w:w="4024"/>
        <w:gridCol w:w="650"/>
        <w:gridCol w:w="916"/>
      </w:tblGrid>
      <w:tr w14:paraId="31C08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3DDC7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E28AB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354" w:type="dxa"/>
            <w:gridSpan w:val="5"/>
            <w:vAlign w:val="center"/>
          </w:tcPr>
          <w:p w14:paraId="7F6326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96" w:type="dxa"/>
            <w:gridSpan w:val="5"/>
            <w:vAlign w:val="center"/>
          </w:tcPr>
          <w:p w14:paraId="1FA137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6" w:type="dxa"/>
            <w:vMerge w:val="restart"/>
            <w:vAlign w:val="center"/>
          </w:tcPr>
          <w:p w14:paraId="77F9E5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3618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402957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B1F342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95CEF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C2565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08E60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06DE7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D19F2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04" w:type="dxa"/>
            <w:vAlign w:val="center"/>
          </w:tcPr>
          <w:p w14:paraId="76BAD0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7" w:type="dxa"/>
            <w:vAlign w:val="center"/>
          </w:tcPr>
          <w:p w14:paraId="423D06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60866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43" w:type="dxa"/>
            <w:vAlign w:val="center"/>
          </w:tcPr>
          <w:p w14:paraId="31F1D5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2" w:type="dxa"/>
            <w:vAlign w:val="center"/>
          </w:tcPr>
          <w:p w14:paraId="5869F0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24" w:type="dxa"/>
            <w:vAlign w:val="center"/>
          </w:tcPr>
          <w:p w14:paraId="7AE933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218E4A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8AE0A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6" w:type="dxa"/>
            <w:vMerge w:val="continue"/>
            <w:vAlign w:val="center"/>
          </w:tcPr>
          <w:p w14:paraId="540A936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ADAF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18" w:hRule="atLeast"/>
          <w:jc w:val="center"/>
        </w:trPr>
        <w:tc>
          <w:tcPr>
            <w:tcW w:w="406" w:type="dxa"/>
            <w:vAlign w:val="center"/>
          </w:tcPr>
          <w:p w14:paraId="11AEA56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4</w:t>
            </w:r>
          </w:p>
        </w:tc>
        <w:tc>
          <w:tcPr>
            <w:tcW w:w="476" w:type="dxa"/>
            <w:vAlign w:val="center"/>
          </w:tcPr>
          <w:p w14:paraId="48372B84">
            <w:pPr>
              <w:widowControl/>
              <w:adjustRightInd w:val="0"/>
              <w:snapToGrid w:val="0"/>
              <w:spacing w:line="25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5339A4D2">
            <w:pPr>
              <w:widowControl/>
              <w:adjustRightInd w:val="0"/>
              <w:snapToGrid w:val="0"/>
              <w:spacing w:line="25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特困人员救助供养</w:t>
            </w:r>
          </w:p>
        </w:tc>
        <w:tc>
          <w:tcPr>
            <w:tcW w:w="650" w:type="dxa"/>
            <w:vAlign w:val="center"/>
          </w:tcPr>
          <w:p w14:paraId="38ED873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429629C">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百寿</w:t>
            </w:r>
            <w:r>
              <w:rPr>
                <w:rFonts w:hint="default" w:ascii="Times New Roman" w:hAnsi="Times New Roman" w:eastAsia="仿宋_GB2312" w:cs="Times New Roman"/>
                <w:snapToGrid w:val="0"/>
                <w:color w:val="000000"/>
                <w:sz w:val="20"/>
                <w:szCs w:val="20"/>
                <w:highlight w:val="none"/>
                <w:lang w:val="en-US" w:eastAsia="zh-CN"/>
              </w:rPr>
              <w:t>镇人民政府</w:t>
            </w:r>
          </w:p>
        </w:tc>
        <w:tc>
          <w:tcPr>
            <w:tcW w:w="933" w:type="dxa"/>
            <w:vAlign w:val="center"/>
          </w:tcPr>
          <w:p w14:paraId="0E86711B">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百寿镇党群服务中心</w:t>
            </w:r>
          </w:p>
        </w:tc>
        <w:tc>
          <w:tcPr>
            <w:tcW w:w="2304" w:type="dxa"/>
            <w:vAlign w:val="center"/>
          </w:tcPr>
          <w:p w14:paraId="7925901A">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法规】《社会救助暂行办法》（2014年国务院令649号发布，2019年国务院令709号修订）第三条：……县级以上地方人民政府民政、应急管理、卫生健康、教育、住房城乡建设、人力资源社会保障、医疗保障等部门，按照各自职责负责本行政区域内享有的社会救助管理工作。</w:t>
            </w:r>
          </w:p>
          <w:p w14:paraId="13D361A4">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第十四条：国家对无劳动能力、无生活来源且无法定赡养、抚养、扶养义务人</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其法定赡养、抚养、扶养义务人无赡养、抚养、扶养能力的老年人、残疾人以及未满16周岁的未成年人，给予特困人员供养。</w:t>
            </w:r>
          </w:p>
          <w:p w14:paraId="1DB7F7FC">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779CC176">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特困人员供养标准，由省、自治区、直辖市或者设区的市级人民政府确定、公布。</w:t>
            </w:r>
          </w:p>
          <w:p w14:paraId="2C5EFC99">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特困人员供养应当与城乡居民基本养老保险、基本医疗保障、最低生活保障、孤儿基本生活保障等制度相衔接。</w:t>
            </w:r>
          </w:p>
          <w:p w14:paraId="43FDCFC8">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第十六条：申请特困人员供养，由本人向户籍所在地的乡镇人民政府、街道办事处提出书面申请；本人申请有困难的，可以委托村民委员会、居民委员会代为提出申请。</w:t>
            </w:r>
          </w:p>
        </w:tc>
        <w:tc>
          <w:tcPr>
            <w:tcW w:w="1457" w:type="dxa"/>
            <w:vAlign w:val="center"/>
          </w:tcPr>
          <w:p w14:paraId="02E76D13">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1.审查责任：材料审核（申请特困的书面证明材料等）。</w:t>
            </w:r>
          </w:p>
          <w:p w14:paraId="6BCFAF0D">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2.审批责任：进行审批，按时办结（予以批准，发放证书，进行公布；不予批准，书面说明理由）。</w:t>
            </w:r>
          </w:p>
          <w:p w14:paraId="3619CF18">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3.监管责任：建立监督管理机制，定期核查，针对不同情况采取管理措施。</w:t>
            </w:r>
          </w:p>
          <w:p w14:paraId="40A3C3CB">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4.给付责任：给予城乡特困人员供养。</w:t>
            </w:r>
          </w:p>
          <w:p w14:paraId="32F4C6F8">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6EF9DC4F">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72874711">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百寿镇党群服务中心</w:t>
            </w:r>
            <w:r>
              <w:rPr>
                <w:rFonts w:hint="eastAsia" w:eastAsia="仿宋_GB2312" w:cs="Times New Roman"/>
                <w:snapToGrid w:val="0"/>
                <w:color w:val="000000"/>
                <w:sz w:val="20"/>
                <w:szCs w:val="20"/>
                <w:highlight w:val="none"/>
                <w:lang w:eastAsia="zh-CN"/>
              </w:rPr>
              <w:t>）</w:t>
            </w:r>
          </w:p>
        </w:tc>
        <w:tc>
          <w:tcPr>
            <w:tcW w:w="7243" w:type="dxa"/>
            <w:vAlign w:val="center"/>
          </w:tcPr>
          <w:p w14:paraId="7C5F38E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1.【法律】《中华人民共和国行政许可法》第三十四条：行政机关应当对申请人提交的申请材料进行审查。</w:t>
            </w:r>
          </w:p>
          <w:p w14:paraId="181E27F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申请人提交的申请材料齐全、符合法定形式，行政机关能够当场作出决定的，应当当场作出书面的行政许可决定。</w:t>
            </w:r>
          </w:p>
          <w:p w14:paraId="1FF228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根据法定条件和程序，需要对申请材料的实质内容进行核实的，行政机关应当指派两名以上工作人员进行核查。</w:t>
            </w:r>
          </w:p>
          <w:p w14:paraId="08F6D41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2—1.【法律】《中华人民共和国行政许可法》第三十七条：行政机关对行政许可申请进行审查后，除当场作出行政许可决定的外，应当在法定期限内按照规定程序作出行政许可决定。</w:t>
            </w:r>
          </w:p>
          <w:p w14:paraId="3240B17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第三十八条：申请人的申请符合法定条件、标准的，行政机关应当依法作出准予行政许可的书面决定。</w:t>
            </w:r>
          </w:p>
          <w:p w14:paraId="739025F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50A5435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第四十条：行政机关作出的准予行政许可决定，应当予以公开，公众有权查阅。</w:t>
            </w:r>
          </w:p>
          <w:p w14:paraId="48256BB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2—2.【行政法规】《农村五保供养工作条例》（1994年国务院令第141号发布，2006年国</w:t>
            </w:r>
            <w:r>
              <w:rPr>
                <w:rFonts w:hint="default" w:ascii="Times New Roman" w:hAnsi="Times New Roman" w:eastAsia="仿宋_GB2312" w:cs="Times New Roman"/>
                <w:snapToGrid w:val="0"/>
                <w:color w:val="000000"/>
                <w:spacing w:val="-2"/>
                <w:sz w:val="20"/>
                <w:szCs w:val="20"/>
                <w:highlight w:val="none"/>
              </w:rPr>
              <w:t>务院令第456号发布）第七条： 第二款 乡、民族乡、镇人民政府应当自收到评议意见之日起20日内提出审核意见，并将审核意见和有关材料报送县级人民政府民政部门审批。县级人民政府民政部门应当自收到审核意见和有关材料之日起20日内作出审批决定。对批准给予农村五保供养待遇的，发给《农村五保供养证书》；对不符合条件不予批准的，应当书面说明理由。</w:t>
            </w:r>
          </w:p>
          <w:p w14:paraId="3F434EA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3.【地方政府规章】《广西壮族自治区实施〈农村五保供养工作条例〉办法》（2010年广西壮族自治区人民政府令第62号）第六条：农村居民符合农村五保供养条件的，由本人或者村民小组、其他村民代为向村（居）民委员会提出申请，经村（居）民委员会民主评议、乡镇人民政府或街道办事处审核、县级人民政府民政部门审批，取得《农村五保供养证书》，从批准当月起享受农村五保供养待遇。</w:t>
            </w:r>
          </w:p>
          <w:p w14:paraId="3C9D45C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3—1.【法律】《中华人民共和国行政许可法》第六十一条：行政机关应当建立健全监督制度，通过核查反映被许可人从事行政许可事项活动情况的有关材料，履行监督责任。</w:t>
            </w:r>
          </w:p>
          <w:p w14:paraId="6DBF21C6">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snapToGrid w:val="0"/>
                <w:color w:val="000000"/>
                <w:spacing w:val="-4"/>
                <w:sz w:val="20"/>
                <w:szCs w:val="20"/>
                <w:highlight w:val="none"/>
              </w:rPr>
            </w:pPr>
            <w:r>
              <w:rPr>
                <w:rFonts w:hint="default" w:ascii="Times New Roman" w:hAnsi="Times New Roman" w:eastAsia="仿宋_GB2312" w:cs="Times New Roman"/>
                <w:snapToGrid w:val="0"/>
                <w:color w:val="000000"/>
                <w:spacing w:val="-4"/>
                <w:sz w:val="20"/>
                <w:szCs w:val="20"/>
                <w:highlight w:val="none"/>
              </w:rPr>
              <w:t>行政机关依法对被许可人从事行政许可事项的活动进行监督检查时，应当将监督检查的情况和处理结果予以记录，由监督检查人员签字后归档。公众有权查阅行政机关监督检查记录。</w:t>
            </w:r>
          </w:p>
          <w:p w14:paraId="079D179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行政法规】《农村五保供养工作条例》（1994年国务院令第141号发布，2006年国务院令第456号发布）第八条：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w:t>
            </w:r>
          </w:p>
          <w:p w14:paraId="2D95C9B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农村五保供养对象死亡，丧葬事宜办理完毕后，村民委员会或者农村五保供养服务机构应当向乡、民族乡、镇人民政府报告，由乡、民族乡、镇人民政府报县级人民政府民政部门核准后，核销其《农村五保供养证书》。</w:t>
            </w:r>
          </w:p>
          <w:p w14:paraId="6533139C">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jc w:val="left"/>
              <w:textAlignment w:val="auto"/>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【地方政府规章】《广西壮族自治区实施〈农村五保供养工作条例〉办法》（2010年广西壮族自治区人民政府令第62号）第二十一条： 县级人民政府民政部门和乡镇人民政府、街道办事处对符合农村五保供养条件的农村居民应当及时给予农村五保供养；对不再符合条件或死亡的农村五保供养对象，应当及时核销其《农村五保供养证书》，并从次月起停止农村五保供养。</w:t>
            </w:r>
          </w:p>
          <w:p w14:paraId="341E5F8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4.【行政法规】《社会救助暂行办法》（2014年国务院令第649号，2019年国务院令第709号修订）第十四条：国家对无劳动能力、无生活来源且无法定赡养、抚养、扶养义务人</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其法定赡养、抚养、扶养义务人无赡养、抚养、扶养能力的老年人、残疾人以及未满16周岁的未成年人，给予特困人员供养。</w:t>
            </w:r>
          </w:p>
          <w:p w14:paraId="5C8A42F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4AC2420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特困人员供养标准，由省、自治区、直辖市或者设区的市级人民政府确定、公布。</w:t>
            </w:r>
          </w:p>
          <w:p w14:paraId="3C35DB57">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特困人员供养应当与城乡居民基本养老保险、基本医疗保障、最低生活保障、孤儿基本生活保障等制度相衔接。</w:t>
            </w:r>
          </w:p>
        </w:tc>
        <w:tc>
          <w:tcPr>
            <w:tcW w:w="1522" w:type="dxa"/>
            <w:vAlign w:val="center"/>
          </w:tcPr>
          <w:p w14:paraId="0B646864">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1752E022">
            <w:pPr>
              <w:widowControl/>
              <w:adjustRightInd w:val="0"/>
              <w:snapToGrid w:val="0"/>
              <w:spacing w:line="257"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3B734565">
            <w:pPr>
              <w:widowControl/>
              <w:adjustRightInd w:val="0"/>
              <w:snapToGrid w:val="0"/>
              <w:spacing w:line="257"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1E85A80D">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3CFD7638">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rPr>
            </w:pPr>
          </w:p>
          <w:p w14:paraId="41E11872">
            <w:pPr>
              <w:widowControl/>
              <w:adjustRightInd w:val="0"/>
              <w:snapToGrid w:val="0"/>
              <w:spacing w:line="257"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4024" w:type="dxa"/>
            <w:vAlign w:val="center"/>
          </w:tcPr>
          <w:p w14:paraId="6D3C966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372284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2ACEC5C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184AAB6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17C7319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45234FF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45ECFD8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154D3BB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069A61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17980C7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0064C28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01F9899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650" w:type="dxa"/>
            <w:vAlign w:val="center"/>
          </w:tcPr>
          <w:p w14:paraId="3080518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6" w:type="dxa"/>
            <w:vAlign w:val="center"/>
          </w:tcPr>
          <w:p w14:paraId="677DC41A">
            <w:pPr>
              <w:widowControl/>
              <w:adjustRightInd w:val="0"/>
              <w:snapToGrid w:val="0"/>
              <w:spacing w:line="257" w:lineRule="exact"/>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特困人员救助供养”与《自治区党委编办关于印发广西赋予乡镇（街道）部分县级管理权限清单（第一批）的通知》（桂编办发〔2019〕195号）中的“城乡特困（城市“三无”、农村五保）人员供养”为同一事项，根据桂编办发〔2019〕195号文件精神，该行政给付赋权乡镇人民政府（街道办事处）实施。</w:t>
            </w:r>
          </w:p>
          <w:p w14:paraId="5BC1DB48">
            <w:pPr>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tc>
      </w:tr>
    </w:tbl>
    <w:p w14:paraId="4F0D4AE9">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3332"/>
        <w:gridCol w:w="2062"/>
        <w:gridCol w:w="5258"/>
        <w:gridCol w:w="950"/>
        <w:gridCol w:w="1110"/>
      </w:tblGrid>
      <w:tr w14:paraId="294EE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D7D13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EA213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6FB979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02" w:type="dxa"/>
            <w:gridSpan w:val="5"/>
            <w:vAlign w:val="center"/>
          </w:tcPr>
          <w:p w14:paraId="18E796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10" w:type="dxa"/>
            <w:vMerge w:val="restart"/>
            <w:vAlign w:val="center"/>
          </w:tcPr>
          <w:p w14:paraId="43BC17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B1F9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C45DD4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2B90BC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0EAD5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2B144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BCDD9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21247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661B9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638856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3B36C9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6C35E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32" w:type="dxa"/>
            <w:vAlign w:val="center"/>
          </w:tcPr>
          <w:p w14:paraId="458174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062" w:type="dxa"/>
            <w:vAlign w:val="center"/>
          </w:tcPr>
          <w:p w14:paraId="3FC245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3C57FA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5258" w:type="dxa"/>
            <w:vAlign w:val="center"/>
          </w:tcPr>
          <w:p w14:paraId="62301E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5DABA0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CEEDC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10" w:type="dxa"/>
            <w:vMerge w:val="continue"/>
            <w:vAlign w:val="center"/>
          </w:tcPr>
          <w:p w14:paraId="1E0E709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0CA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0" w:hRule="atLeast"/>
          <w:jc w:val="center"/>
        </w:trPr>
        <w:tc>
          <w:tcPr>
            <w:tcW w:w="406" w:type="dxa"/>
            <w:vAlign w:val="center"/>
          </w:tcPr>
          <w:p w14:paraId="6BBC332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5</w:t>
            </w:r>
          </w:p>
        </w:tc>
        <w:tc>
          <w:tcPr>
            <w:tcW w:w="476" w:type="dxa"/>
            <w:vAlign w:val="center"/>
          </w:tcPr>
          <w:p w14:paraId="0D221C14">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3304356F">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困难残疾人生活补贴和重度残疾人护理补贴</w:t>
            </w:r>
          </w:p>
        </w:tc>
        <w:tc>
          <w:tcPr>
            <w:tcW w:w="650" w:type="dxa"/>
            <w:vAlign w:val="center"/>
          </w:tcPr>
          <w:p w14:paraId="51F884E5">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1.困难残疾人生活补贴给付</w:t>
            </w:r>
          </w:p>
        </w:tc>
        <w:tc>
          <w:tcPr>
            <w:tcW w:w="917" w:type="dxa"/>
            <w:vAlign w:val="center"/>
          </w:tcPr>
          <w:p w14:paraId="290B13E8">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百寿</w:t>
            </w:r>
            <w:r>
              <w:rPr>
                <w:rFonts w:hint="default" w:ascii="Times New Roman" w:hAnsi="Times New Roman" w:eastAsia="仿宋_GB2312" w:cs="Times New Roman"/>
                <w:snapToGrid w:val="0"/>
                <w:color w:val="000000"/>
                <w:sz w:val="20"/>
                <w:szCs w:val="20"/>
                <w:highlight w:val="none"/>
                <w:lang w:val="en-US" w:eastAsia="zh-CN"/>
              </w:rPr>
              <w:t>镇人民政府</w:t>
            </w:r>
          </w:p>
        </w:tc>
        <w:tc>
          <w:tcPr>
            <w:tcW w:w="933" w:type="dxa"/>
            <w:vAlign w:val="center"/>
          </w:tcPr>
          <w:p w14:paraId="68B4C9DA">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百寿镇党群服务中心</w:t>
            </w:r>
          </w:p>
        </w:tc>
        <w:tc>
          <w:tcPr>
            <w:tcW w:w="2815" w:type="dxa"/>
            <w:vAlign w:val="center"/>
          </w:tcPr>
          <w:p w14:paraId="47AFD456">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w:t>
            </w:r>
          </w:p>
          <w:p w14:paraId="700B4DB0">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县级以上地方人民政府对享受最低生活保障待遇后生活仍有特别困难的残疾人家庭，应当采取其他措施保障其基本生活。</w:t>
            </w:r>
          </w:p>
          <w:p w14:paraId="53C29B42">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59F768EF">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5A2579C4">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5EF2E96C">
            <w:pPr>
              <w:keepNext w:val="0"/>
              <w:keepLines w:val="0"/>
              <w:pageBreakBefore w:val="0"/>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tc>
        <w:tc>
          <w:tcPr>
            <w:tcW w:w="2100" w:type="dxa"/>
            <w:vAlign w:val="center"/>
          </w:tcPr>
          <w:p w14:paraId="2D53D8D9">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1.审核责任：审核申请人是否符合获得补贴的资格，并发放残疾人补贴。</w:t>
            </w:r>
          </w:p>
          <w:p w14:paraId="35C503EA">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2.监督管理责任：监督管理各地方的补贴发放情况。</w:t>
            </w:r>
          </w:p>
          <w:p w14:paraId="36EBA719">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3.评定责任：困难残疾人生活补贴对象为户籍在广西壮族自治区的最低生活保障家庭中的残疾人。</w:t>
            </w:r>
          </w:p>
          <w:p w14:paraId="17073EE9">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4.给付责任：对符合条件的残疾人，地方各级人民政府根据情况给予相应补贴。</w:t>
            </w:r>
          </w:p>
          <w:p w14:paraId="66BB7560">
            <w:pPr>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44003DE7">
            <w:pPr>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p>
          <w:p w14:paraId="442CBD75">
            <w:pPr>
              <w:adjustRightInd w:val="0"/>
              <w:snapToGrid w:val="0"/>
              <w:spacing w:line="300" w:lineRule="exact"/>
              <w:ind w:left="0" w:leftChars="0" w:firstLine="0" w:firstLineChars="0"/>
              <w:jc w:val="both"/>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百寿镇党群服务中心</w:t>
            </w:r>
            <w:r>
              <w:rPr>
                <w:rFonts w:hint="eastAsia" w:eastAsia="仿宋_GB2312" w:cs="Times New Roman"/>
                <w:snapToGrid w:val="0"/>
                <w:color w:val="000000"/>
                <w:sz w:val="20"/>
                <w:szCs w:val="20"/>
                <w:highlight w:val="none"/>
                <w:lang w:eastAsia="zh-CN"/>
              </w:rPr>
              <w:t>）</w:t>
            </w:r>
          </w:p>
        </w:tc>
        <w:tc>
          <w:tcPr>
            <w:tcW w:w="3332" w:type="dxa"/>
            <w:vAlign w:val="center"/>
          </w:tcPr>
          <w:p w14:paraId="37E75418">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28494DB7">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2.同1。</w:t>
            </w:r>
          </w:p>
          <w:p w14:paraId="4301EB0B">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p w14:paraId="3B111F67">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35D1B32B">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2F8C1D4A">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251A9655">
            <w:pPr>
              <w:adjustRightInd w:val="0"/>
              <w:snapToGrid w:val="0"/>
              <w:spacing w:line="300" w:lineRule="exact"/>
              <w:ind w:firstLine="400" w:firstLineChars="20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4—2.同3。</w:t>
            </w:r>
          </w:p>
        </w:tc>
        <w:tc>
          <w:tcPr>
            <w:tcW w:w="2062" w:type="dxa"/>
            <w:vAlign w:val="center"/>
          </w:tcPr>
          <w:p w14:paraId="33B5DEB2">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329C4936">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30725F48">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6442A774">
            <w:pPr>
              <w:adjustRightInd w:val="0"/>
              <w:snapToGrid w:val="0"/>
              <w:spacing w:line="28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0D682BF2">
            <w:pPr>
              <w:adjustRightInd w:val="0"/>
              <w:snapToGrid w:val="0"/>
              <w:spacing w:line="280" w:lineRule="exact"/>
              <w:ind w:firstLine="400" w:firstLineChars="200"/>
              <w:rPr>
                <w:rFonts w:hint="default" w:ascii="Times New Roman" w:hAnsi="Times New Roman" w:eastAsia="仿宋_GB2312" w:cs="Times New Roman"/>
                <w:snapToGrid w:val="0"/>
                <w:sz w:val="20"/>
                <w:szCs w:val="20"/>
                <w:highlight w:val="none"/>
              </w:rPr>
            </w:pPr>
          </w:p>
          <w:p w14:paraId="30F83762">
            <w:pPr>
              <w:adjustRightInd w:val="0"/>
              <w:snapToGrid w:val="0"/>
              <w:spacing w:line="28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镇纪律检查委员会</w:t>
            </w:r>
            <w:r>
              <w:rPr>
                <w:rFonts w:hint="default" w:ascii="Times New Roman" w:hAnsi="Times New Roman" w:eastAsia="仿宋_GB2312" w:cs="Times New Roman"/>
                <w:kern w:val="0"/>
                <w:sz w:val="20"/>
                <w:szCs w:val="20"/>
                <w:highlight w:val="none"/>
                <w:lang w:eastAsia="zh-CN"/>
              </w:rPr>
              <w:t>）</w:t>
            </w:r>
          </w:p>
        </w:tc>
        <w:tc>
          <w:tcPr>
            <w:tcW w:w="5258" w:type="dxa"/>
            <w:vAlign w:val="center"/>
          </w:tcPr>
          <w:p w14:paraId="6FA7D8DD">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1237E297">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4A85C17C">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7CDEB6EF">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5830404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067D53E3">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517F32D7">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4EAAB2E2">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41A91141">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44A0A87A">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0D00CD3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2DA7B84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950" w:type="dxa"/>
            <w:vAlign w:val="center"/>
          </w:tcPr>
          <w:p w14:paraId="3CCAE4B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110" w:type="dxa"/>
            <w:vAlign w:val="center"/>
          </w:tcPr>
          <w:p w14:paraId="40BC1C5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2B2CC73A"/>
    <w:tbl>
      <w:tblPr>
        <w:tblStyle w:val="4"/>
        <w:tblW w:w="21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446"/>
        <w:gridCol w:w="1631"/>
        <w:gridCol w:w="4256"/>
        <w:gridCol w:w="1594"/>
        <w:gridCol w:w="4573"/>
        <w:gridCol w:w="1069"/>
        <w:gridCol w:w="1223"/>
      </w:tblGrid>
      <w:tr w14:paraId="03224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C9E29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83948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496" w:type="dxa"/>
            <w:gridSpan w:val="5"/>
            <w:vAlign w:val="center"/>
          </w:tcPr>
          <w:p w14:paraId="2EFFE3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123" w:type="dxa"/>
            <w:gridSpan w:val="5"/>
            <w:vAlign w:val="center"/>
          </w:tcPr>
          <w:p w14:paraId="184E6D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223" w:type="dxa"/>
            <w:vMerge w:val="restart"/>
            <w:vAlign w:val="center"/>
          </w:tcPr>
          <w:p w14:paraId="52BFCA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5635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A54F37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4438C5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A09C8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786E2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FFB96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D1BBF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0F38F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446" w:type="dxa"/>
            <w:vAlign w:val="center"/>
          </w:tcPr>
          <w:p w14:paraId="127F6D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31" w:type="dxa"/>
            <w:vAlign w:val="center"/>
          </w:tcPr>
          <w:p w14:paraId="323722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4E9C2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256" w:type="dxa"/>
            <w:vAlign w:val="center"/>
          </w:tcPr>
          <w:p w14:paraId="2F66DF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94" w:type="dxa"/>
            <w:vAlign w:val="center"/>
          </w:tcPr>
          <w:p w14:paraId="7D4595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573" w:type="dxa"/>
            <w:vAlign w:val="center"/>
          </w:tcPr>
          <w:p w14:paraId="6E2E58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69" w:type="dxa"/>
            <w:vAlign w:val="center"/>
          </w:tcPr>
          <w:p w14:paraId="50AA48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A58D1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223" w:type="dxa"/>
            <w:vMerge w:val="continue"/>
            <w:vAlign w:val="center"/>
          </w:tcPr>
          <w:p w14:paraId="46D5C74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8D1D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054B97E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5</w:t>
            </w:r>
          </w:p>
        </w:tc>
        <w:tc>
          <w:tcPr>
            <w:tcW w:w="476" w:type="dxa"/>
            <w:vAlign w:val="center"/>
          </w:tcPr>
          <w:p w14:paraId="1934D120">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3DA10A3E">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困难残疾人生活补贴和重度残疾人护理补贴</w:t>
            </w:r>
          </w:p>
        </w:tc>
        <w:tc>
          <w:tcPr>
            <w:tcW w:w="650" w:type="dxa"/>
            <w:vAlign w:val="center"/>
          </w:tcPr>
          <w:p w14:paraId="34724967">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2.重度残疾人护理补贴给付</w:t>
            </w:r>
          </w:p>
        </w:tc>
        <w:tc>
          <w:tcPr>
            <w:tcW w:w="917" w:type="dxa"/>
            <w:vAlign w:val="center"/>
          </w:tcPr>
          <w:p w14:paraId="2C37421B">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百寿</w:t>
            </w:r>
            <w:r>
              <w:rPr>
                <w:rFonts w:hint="default" w:ascii="Times New Roman" w:hAnsi="Times New Roman" w:eastAsia="仿宋_GB2312" w:cs="Times New Roman"/>
                <w:snapToGrid w:val="0"/>
                <w:color w:val="000000"/>
                <w:sz w:val="20"/>
                <w:szCs w:val="20"/>
                <w:highlight w:val="none"/>
                <w:lang w:val="en-US" w:eastAsia="zh-CN"/>
              </w:rPr>
              <w:t>镇人民政府</w:t>
            </w:r>
          </w:p>
        </w:tc>
        <w:tc>
          <w:tcPr>
            <w:tcW w:w="933" w:type="dxa"/>
            <w:vAlign w:val="center"/>
          </w:tcPr>
          <w:p w14:paraId="5A448A74">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百寿镇党群服务中心</w:t>
            </w:r>
          </w:p>
        </w:tc>
        <w:tc>
          <w:tcPr>
            <w:tcW w:w="3446" w:type="dxa"/>
            <w:vAlign w:val="center"/>
          </w:tcPr>
          <w:p w14:paraId="0EE7F57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县级以上地方人民政府对享受最低生活保障待遇后生活仍有特别困难的残疾人家庭，应当采取其他措施保障其基本生活。各级人民政府对贫困残疾人的基本医疗、康复服务、必要的辅助器具的配置和更换，应当按照规定给予救助。对生活不能自理的残疾人，地方各级人民政府应当根据情况给予护理补贴。</w:t>
            </w:r>
          </w:p>
          <w:p w14:paraId="68A7AA7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346B494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四条：困难残疾人生活补贴对象为户籍在广西壮族自治区的最低生活保障家庭中的残疾人。有条件的地方，可逐步将困难残疾人生活补贴对象扩大到低收入残疾人及其他困难残疾人。低收入残疾人及其他困难残疾人的认定标准，由当地人民政府参照相关规定结合实际情况制定。</w:t>
            </w:r>
          </w:p>
          <w:p w14:paraId="29D3CD3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1667F134">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tc>
        <w:tc>
          <w:tcPr>
            <w:tcW w:w="1631" w:type="dxa"/>
            <w:vAlign w:val="center"/>
          </w:tcPr>
          <w:p w14:paraId="36BA3ACC">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1.审核责任：审核申请人是否符合获得补贴的资格，并发放残疾人补贴。</w:t>
            </w:r>
          </w:p>
          <w:p w14:paraId="151023B8">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2.监督管理责任：监督管理各地方的补贴发放情况。</w:t>
            </w:r>
          </w:p>
          <w:p w14:paraId="5A319D3E">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3.评定责任：重度残疾人护理补贴对象为户籍在广西壮族自治区的残疾等级被评定为一级、二级且需要长期照护的重度残疾人及三级、四级精神残疾的残疾人。</w:t>
            </w:r>
          </w:p>
          <w:p w14:paraId="5982BE3A">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4.给付责任：对符合条件的残疾人，地方各级人民政府根据情况给予相应补贴。</w:t>
            </w:r>
          </w:p>
          <w:p w14:paraId="38BB811A">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13E9BFA8">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58D339ED">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百寿镇党群服务中心</w:t>
            </w:r>
            <w:r>
              <w:rPr>
                <w:rFonts w:hint="eastAsia" w:eastAsia="仿宋_GB2312" w:cs="Times New Roman"/>
                <w:snapToGrid w:val="0"/>
                <w:color w:val="000000"/>
                <w:sz w:val="20"/>
                <w:szCs w:val="20"/>
                <w:highlight w:val="none"/>
                <w:lang w:eastAsia="zh-CN"/>
              </w:rPr>
              <w:t>）</w:t>
            </w:r>
          </w:p>
        </w:tc>
        <w:tc>
          <w:tcPr>
            <w:tcW w:w="4256" w:type="dxa"/>
            <w:vAlign w:val="center"/>
          </w:tcPr>
          <w:p w14:paraId="470A0F2E">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52E99657">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2.同1。</w:t>
            </w:r>
          </w:p>
          <w:p w14:paraId="25F8EE89">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规范性文件】《广西壮族自治区人民政府办公厅关于印发广西壮族自治区困难残疾人生活补贴和重度残疾人护理补贴实施办法的通知》（桂政办发〔2015〕120号）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44F05484">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p w14:paraId="72BB04E9">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6B7F81C6">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51278DA0">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19E4AF0C">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4—2.同3。</w:t>
            </w:r>
          </w:p>
        </w:tc>
        <w:tc>
          <w:tcPr>
            <w:tcW w:w="1594" w:type="dxa"/>
            <w:vAlign w:val="center"/>
          </w:tcPr>
          <w:p w14:paraId="113660BD">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794CEB22">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1DFDF917">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2120590F">
            <w:pPr>
              <w:adjustRightInd w:val="0"/>
              <w:snapToGrid w:val="0"/>
              <w:spacing w:line="280"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53E73879">
            <w:pPr>
              <w:adjustRightInd w:val="0"/>
              <w:snapToGrid w:val="0"/>
              <w:spacing w:line="280" w:lineRule="exact"/>
              <w:ind w:firstLine="200" w:firstLineChars="100"/>
              <w:rPr>
                <w:rFonts w:hint="default" w:ascii="Times New Roman" w:hAnsi="Times New Roman" w:eastAsia="仿宋_GB2312" w:cs="Times New Roman"/>
                <w:snapToGrid w:val="0"/>
                <w:sz w:val="20"/>
                <w:szCs w:val="20"/>
                <w:highlight w:val="none"/>
              </w:rPr>
            </w:pPr>
          </w:p>
          <w:p w14:paraId="32154EDE">
            <w:pPr>
              <w:adjustRightInd w:val="0"/>
              <w:snapToGrid w:val="0"/>
              <w:spacing w:line="28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镇纪律检查委员会</w:t>
            </w:r>
            <w:r>
              <w:rPr>
                <w:rFonts w:hint="default" w:ascii="Times New Roman" w:hAnsi="Times New Roman" w:eastAsia="仿宋_GB2312" w:cs="Times New Roman"/>
                <w:kern w:val="0"/>
                <w:sz w:val="20"/>
                <w:szCs w:val="20"/>
                <w:highlight w:val="none"/>
                <w:lang w:eastAsia="zh-CN"/>
              </w:rPr>
              <w:t>）</w:t>
            </w:r>
          </w:p>
        </w:tc>
        <w:tc>
          <w:tcPr>
            <w:tcW w:w="4573" w:type="dxa"/>
            <w:vAlign w:val="center"/>
          </w:tcPr>
          <w:p w14:paraId="7186C44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6D07A08A">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204A7592">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6A6D2BCF">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59218BF3">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71DA8B23">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5D35C89B">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7B1EBDB7">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0F7F862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0AE29AA7">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10FC9B72">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0EDAD6D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69" w:type="dxa"/>
            <w:vAlign w:val="center"/>
          </w:tcPr>
          <w:p w14:paraId="1713E6F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223" w:type="dxa"/>
            <w:vAlign w:val="center"/>
          </w:tcPr>
          <w:p w14:paraId="32D51DD7">
            <w:pPr>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2972DB22">
      <w:pPr>
        <w:keepNext w:val="0"/>
        <w:keepLines w:val="0"/>
        <w:pageBreakBefore w:val="0"/>
        <w:widowControl w:val="0"/>
        <w:kinsoku/>
        <w:wordWrap/>
        <w:overflowPunct/>
        <w:topLinePunct w:val="0"/>
        <w:autoSpaceDE/>
        <w:autoSpaceDN/>
        <w:bidi w:val="0"/>
        <w:adjustRightInd/>
        <w:snapToGrid/>
        <w:spacing w:line="40" w:lineRule="exact"/>
        <w:textAlignment w:val="auto"/>
      </w:pPr>
    </w:p>
    <w:p w14:paraId="26891034">
      <w:pPr>
        <w:keepNext w:val="0"/>
        <w:keepLines w:val="0"/>
        <w:pageBreakBefore w:val="0"/>
        <w:widowControl w:val="0"/>
        <w:kinsoku/>
        <w:wordWrap/>
        <w:overflowPunct/>
        <w:topLinePunct w:val="0"/>
        <w:autoSpaceDE/>
        <w:autoSpaceDN/>
        <w:bidi w:val="0"/>
        <w:adjustRightInd/>
        <w:snapToGrid/>
        <w:spacing w:line="40" w:lineRule="exact"/>
        <w:textAlignment w:val="auto"/>
      </w:pPr>
    </w:p>
    <w:p w14:paraId="76084014">
      <w:pPr>
        <w:keepNext w:val="0"/>
        <w:keepLines w:val="0"/>
        <w:pageBreakBefore w:val="0"/>
        <w:widowControl w:val="0"/>
        <w:kinsoku/>
        <w:wordWrap/>
        <w:overflowPunct/>
        <w:topLinePunct w:val="0"/>
        <w:autoSpaceDE/>
        <w:autoSpaceDN/>
        <w:bidi w:val="0"/>
        <w:adjustRightInd/>
        <w:snapToGrid/>
        <w:spacing w:line="40" w:lineRule="exact"/>
        <w:textAlignment w:val="auto"/>
      </w:pPr>
    </w:p>
    <w:p w14:paraId="50288536">
      <w:pPr>
        <w:keepNext w:val="0"/>
        <w:keepLines w:val="0"/>
        <w:pageBreakBefore w:val="0"/>
        <w:widowControl w:val="0"/>
        <w:kinsoku/>
        <w:wordWrap/>
        <w:overflowPunct/>
        <w:topLinePunct w:val="0"/>
        <w:autoSpaceDE/>
        <w:autoSpaceDN/>
        <w:bidi w:val="0"/>
        <w:adjustRightInd/>
        <w:snapToGrid/>
        <w:spacing w:line="40" w:lineRule="exact"/>
        <w:textAlignment w:val="auto"/>
      </w:pPr>
    </w:p>
    <w:p w14:paraId="263DB6D2">
      <w:pPr>
        <w:keepNext w:val="0"/>
        <w:keepLines w:val="0"/>
        <w:pageBreakBefore w:val="0"/>
        <w:widowControl w:val="0"/>
        <w:kinsoku/>
        <w:wordWrap/>
        <w:overflowPunct/>
        <w:topLinePunct w:val="0"/>
        <w:autoSpaceDE/>
        <w:autoSpaceDN/>
        <w:bidi w:val="0"/>
        <w:adjustRightInd/>
        <w:snapToGrid/>
        <w:spacing w:line="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336"/>
        <w:gridCol w:w="1680"/>
        <w:gridCol w:w="4410"/>
        <w:gridCol w:w="1651"/>
        <w:gridCol w:w="2663"/>
        <w:gridCol w:w="619"/>
        <w:gridCol w:w="757"/>
      </w:tblGrid>
      <w:tr w14:paraId="2C1FA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2D1E2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0021A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386" w:type="dxa"/>
            <w:gridSpan w:val="5"/>
            <w:vAlign w:val="center"/>
          </w:tcPr>
          <w:p w14:paraId="1BD114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023" w:type="dxa"/>
            <w:gridSpan w:val="5"/>
            <w:vAlign w:val="center"/>
          </w:tcPr>
          <w:p w14:paraId="447724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1A7E63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A25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F3A44A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38A36F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FF0A7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4F226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4D285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53E82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EBFFC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336" w:type="dxa"/>
            <w:vAlign w:val="center"/>
          </w:tcPr>
          <w:p w14:paraId="7D6FED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0" w:type="dxa"/>
            <w:vAlign w:val="center"/>
          </w:tcPr>
          <w:p w14:paraId="24AB8E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DAD50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0" w:type="dxa"/>
            <w:vAlign w:val="center"/>
          </w:tcPr>
          <w:p w14:paraId="3890C8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1" w:type="dxa"/>
            <w:vAlign w:val="center"/>
          </w:tcPr>
          <w:p w14:paraId="1D9167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63" w:type="dxa"/>
            <w:vAlign w:val="center"/>
          </w:tcPr>
          <w:p w14:paraId="5E3075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19" w:type="dxa"/>
            <w:vAlign w:val="center"/>
          </w:tcPr>
          <w:p w14:paraId="6F5AA8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3B177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49764F3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946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9" w:hRule="atLeast"/>
          <w:jc w:val="center"/>
        </w:trPr>
        <w:tc>
          <w:tcPr>
            <w:tcW w:w="406" w:type="dxa"/>
            <w:vAlign w:val="center"/>
          </w:tcPr>
          <w:p w14:paraId="2813935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6</w:t>
            </w:r>
          </w:p>
        </w:tc>
        <w:tc>
          <w:tcPr>
            <w:tcW w:w="476" w:type="dxa"/>
            <w:vAlign w:val="center"/>
          </w:tcPr>
          <w:p w14:paraId="0BCA2EE9">
            <w:pPr>
              <w:widowControl/>
              <w:adjustRightInd w:val="0"/>
              <w:snapToGrid w:val="0"/>
              <w:spacing w:line="299"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行政许可</w:t>
            </w:r>
          </w:p>
        </w:tc>
        <w:tc>
          <w:tcPr>
            <w:tcW w:w="550" w:type="dxa"/>
            <w:vAlign w:val="center"/>
          </w:tcPr>
          <w:p w14:paraId="311A6C52">
            <w:pPr>
              <w:widowControl/>
              <w:adjustRightInd w:val="0"/>
              <w:snapToGrid w:val="0"/>
              <w:spacing w:line="299"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乡村建设规划许可证核发</w:t>
            </w:r>
          </w:p>
        </w:tc>
        <w:tc>
          <w:tcPr>
            <w:tcW w:w="650" w:type="dxa"/>
            <w:vAlign w:val="center"/>
          </w:tcPr>
          <w:p w14:paraId="355FA9F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3A535D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38A7755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6336" w:type="dxa"/>
            <w:vAlign w:val="center"/>
          </w:tcPr>
          <w:p w14:paraId="5E7D96B6">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城乡规划法》第四十一条：在乡、村庄规划区内进行乡镇企业、乡村公共设施和公益事业建设的，建设单位或者个人应当向乡、镇人民政府提出申请，由乡、镇人民政府报城市、县人民政府城乡规划主管部门核发乡村建设规划许可证。在乡、村庄规划区内使用原有宅基地进行农村村民住宅建设的规划管理办法，由省、自治区、直辖市制定。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建设单位或者个人在取得乡村建设规划许可证后，方可办理用地审批手续。</w:t>
            </w:r>
          </w:p>
          <w:p w14:paraId="3C0D74CF">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地方性法规】《广西壮族自治区实施〈中华人民共和国城乡规划法〉办法》（2010年3月31日广西壮族自治区第十一届人民代表大会常务委员会第十四次会议通过，2016年11月30日广西壮族自治区第十二届人民代表大会常务委员会第二十六次会议修正）第三十七条：在乡、村庄规划区内进行乡镇企业、乡村公共设施和公益事业建设，应当办理乡村建设规划许可证。建设单位或者个人应当持经有关部门审批、核准或者备案文件、标明拟建项目用地范围的规定比例尺地形图、建设工程设计方案（包括图纸和说明，下同）、有关村民委员会意见、建设单位或者个人有效证件等材料，向所在地镇或者乡人民政府提出书面申请。镇或者乡人民政府对提交的材料进行初审，对材料齐全的，提出初审意见；对材料不齐全的，告知其应当补正的有关材料。镇或者乡人民政府将初审意见及该建设项目相关材料一并报上一级人民政府城乡规划主管部门。城乡规划主管部门依据乡、村庄规划对建设项目进行核查，对符合乡、村庄规划要求及国家有关规范、标准的，核发乡村建设规划许可证；对不符合要求的，不予核发，并书面说明理由。</w:t>
            </w:r>
          </w:p>
          <w:p w14:paraId="3A4350D4">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第三十八条：村民在乡、村庄规划区范围内进行住宅建设的，应当办理乡村建设规划许可证。</w:t>
            </w:r>
          </w:p>
          <w:p w14:paraId="7848F105">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建房村民须持拟建住房用地的有关证明文件、村民小组和村民委员会意见、四邻关系图、建设工程设计方案或者房屋建筑通用图集、有效身份证件等材料向所在地镇或者乡人民政府提出书面申请。镇或者乡人民政府审核申请人提交的各项文件、资料、图纸等是否完备，并依据经依法批准的乡、村庄规划进行核查，对具备相关文件材料且符合乡、村庄规划及国家有关规范、标准要求，属于使用原有宅基地建造住宅的，由乡、镇人民政府核发乡村建设规划许可证，不属于使用原有宅基地建造住宅的，提出初审意见，报上一级人民政府城乡规划主管部门审定、核发乡村建设规划许可证；对不符合要求的，不予核发，并书面说明理由。</w:t>
            </w:r>
          </w:p>
          <w:p w14:paraId="20ABDDB3">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四十一条：城市、县人民政府城乡规划主管部门可以委托符合下列条件的乡、镇人民政府核发乡村建设规划许可证：（一）乡规划、村庄规划已经依法批准；（二）设有乡镇规划建设管理机构和配备有专职乡镇规划建设管理人员。</w:t>
            </w:r>
          </w:p>
          <w:p w14:paraId="4129D66C">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地方性法规】《广西壮族自治区乡村规划建设管理条例》（2018年11月28日广西壮族自治区第十三届人民代表大会常务委员会第六次会议通过）第二十一条：在乡、村庄规划区内进行乡镇企业、乡村公共设施、公益事业建设以及村民住宅建设，应当取得乡村建设规划许可证，建设单位或者个人应当按照规划许可证的内容进行建设。乡村建设规划许可证的内容应当包括对地块位置、用地范围、用地性质、建筑面积、建筑高度、建筑风格、外观形象、色彩等的要求。</w:t>
            </w:r>
          </w:p>
          <w:p w14:paraId="54B35644">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二十五条：在乡、村庄规划区内进行乡镇企业、乡村公共设施、公益事业建设，以及村民不使用原有宅基地或者扩大原有宅基地面积建设住宅的，乡（镇）人民政府自受理申请之日起十个工作日内将审核意见以及该建设工程相关材料报上一级人民政府城乡规划主管部门；城乡规划主管部门自受理申请之日起二十个工作日内作出决定，对符合本条例第二十二条规定条件的，核发乡村建设规划许可证；对不符合本条例第二十二条规定条件的，不予核发，并书面说明理由。</w:t>
            </w:r>
          </w:p>
          <w:p w14:paraId="6687FB84">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县级人民政府城乡规划主管部门可以委托乡（镇）人民政府核发乡村建设规划许可证。</w:t>
            </w:r>
          </w:p>
          <w:p w14:paraId="201E1BAC">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在乡、村庄规划区内进行本条第一款规定的建设，应当在取得乡村建设规划许可证后，依法办理用地审批手续。</w:t>
            </w:r>
          </w:p>
          <w:p w14:paraId="58FEC534">
            <w:pPr>
              <w:keepNext w:val="0"/>
              <w:keepLines w:val="0"/>
              <w:pageBreakBefore w:val="0"/>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snapToGrid w:val="0"/>
                <w:color w:val="000000"/>
                <w:sz w:val="18"/>
                <w:szCs w:val="18"/>
                <w:highlight w:val="none"/>
              </w:rPr>
              <w:t>第二十六条：在乡、村庄规划区内使用原有宅基地建设住宅的，乡（镇）人民政府自受理申请之日起二十个工作日内作出决定，对符合本条例第二十二条第一款规定条件的，核发乡村建设规划许可证；对不符合本条例第二十二条第一款规定条件的，不予核发，并书面说明理由。</w:t>
            </w:r>
          </w:p>
        </w:tc>
        <w:tc>
          <w:tcPr>
            <w:tcW w:w="1680" w:type="dxa"/>
            <w:vAlign w:val="center"/>
          </w:tcPr>
          <w:p w14:paraId="464B63BB">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1.受理责任：公示应当提交的材料；一次性告知补正材料；依法受理或不予受理（不予受理应当告知理由）。</w:t>
            </w:r>
          </w:p>
          <w:p w14:paraId="00C8FE5B">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2.审查责任：按照政策规定对书面材料进行审查，提出是否同意审批的初步意见，告知申请人、利害相关人享有听证权利；涉及公共利益的重大许可，向社会公告，并举行听证。</w:t>
            </w:r>
          </w:p>
          <w:p w14:paraId="38E33042">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3.决定责任：作出行政许可或者不予行政许可决定,法定告知（不予许可的应当书面告知理由）。</w:t>
            </w:r>
          </w:p>
          <w:p w14:paraId="3CBAE399">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4．送达责任：准予许可的制发送达审批决定。</w:t>
            </w:r>
          </w:p>
          <w:p w14:paraId="548A52CC">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5．事后监管环节责任：分管领导对审批后的相关事宜实施监督管理</w:t>
            </w:r>
          </w:p>
          <w:p w14:paraId="0F8D5B03">
            <w:pPr>
              <w:adjustRightInd w:val="0"/>
              <w:snapToGrid w:val="0"/>
              <w:spacing w:line="30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6．其他法律法规规章文件规定应履行的责任。</w:t>
            </w:r>
          </w:p>
          <w:p w14:paraId="0214637A">
            <w:pPr>
              <w:adjustRightInd w:val="0"/>
              <w:snapToGrid w:val="0"/>
              <w:spacing w:line="300" w:lineRule="exact"/>
              <w:ind w:firstLine="360" w:firstLineChars="200"/>
              <w:rPr>
                <w:rFonts w:hint="default" w:ascii="Times New Roman" w:hAnsi="Times New Roman" w:eastAsia="仿宋_GB2312" w:cs="Times New Roman"/>
                <w:snapToGrid w:val="0"/>
                <w:color w:val="000000"/>
                <w:sz w:val="18"/>
                <w:szCs w:val="18"/>
                <w:highlight w:val="none"/>
              </w:rPr>
            </w:pPr>
          </w:p>
          <w:p w14:paraId="6F0390C7">
            <w:pPr>
              <w:adjustRightInd w:val="0"/>
              <w:snapToGrid w:val="0"/>
              <w:spacing w:line="300" w:lineRule="exact"/>
              <w:ind w:left="0" w:leftChars="0" w:firstLine="0" w:firstLineChars="0"/>
              <w:jc w:val="both"/>
              <w:rPr>
                <w:rFonts w:hint="eastAsia" w:ascii="Times New Roman" w:hAnsi="Times New Roman" w:eastAsia="仿宋_GB2312" w:cs="Times New Roman"/>
                <w:snapToGrid w:val="0"/>
                <w:color w:val="000000"/>
                <w:sz w:val="18"/>
                <w:szCs w:val="18"/>
                <w:highlight w:val="none"/>
                <w:lang w:eastAsia="zh-CN"/>
              </w:rPr>
            </w:pPr>
            <w:r>
              <w:rPr>
                <w:rFonts w:hint="eastAsia" w:eastAsia="仿宋_GB2312" w:cs="Times New Roman"/>
                <w:snapToGrid w:val="0"/>
                <w:color w:val="000000"/>
                <w:sz w:val="18"/>
                <w:szCs w:val="18"/>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snapToGrid w:val="0"/>
                <w:color w:val="000000"/>
                <w:sz w:val="18"/>
                <w:szCs w:val="18"/>
                <w:highlight w:val="none"/>
                <w:lang w:eastAsia="zh-CN"/>
              </w:rPr>
              <w:t>）</w:t>
            </w:r>
          </w:p>
        </w:tc>
        <w:tc>
          <w:tcPr>
            <w:tcW w:w="4410" w:type="dxa"/>
            <w:vAlign w:val="center"/>
          </w:tcPr>
          <w:p w14:paraId="194EAB9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740974C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申请人按照本行政机关的要求提交全部补正申请材料的，应当受理行政许可申请。</w:t>
            </w:r>
          </w:p>
          <w:p w14:paraId="0678232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75CB2A0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2—3.【法律】《中华人民共和国行政许可法》第四十六条：法律、法规、规章规定实施行政许可应当听证的事项</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行政机关认为需要听证的其他涉及公共利益的重大行政许可事项，行政机关应当向社会公告，并举行听证。</w:t>
            </w:r>
          </w:p>
          <w:p w14:paraId="7F1E718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3—1.【法律】《中华人民共和国行政许可法》第三十七条：行政机关对行政许可申请进行审.查后，除了当场作出行政许可决定的，应在法定期限内按照规定程序作出行政许可决定。</w:t>
            </w:r>
          </w:p>
          <w:p w14:paraId="57F26D8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2.【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3EC2BC5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4—1.【法律】《中华人民共和国行政许可法》第四十条：行政机关作出的准予行政许可决定，应当予以公开，公众有权查阅。</w:t>
            </w:r>
          </w:p>
          <w:p w14:paraId="6EF25D2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4-2【法律】《中华人民共和国行政许可法》第四十四条：行政机关作出准予行政许可的决定，应当自作出决定之日起十日内向申请人颁发、送达行政许可证件</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加贴标签、加盖检验、检测、检疫印章。</w:t>
            </w:r>
          </w:p>
          <w:p w14:paraId="7789FC8D">
            <w:pPr>
              <w:keepNext w:val="0"/>
              <w:keepLines w:val="0"/>
              <w:pageBreakBefore w:val="0"/>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snapToGrid w:val="0"/>
                <w:color w:val="000000"/>
                <w:sz w:val="18"/>
                <w:szCs w:val="18"/>
                <w:highlight w:val="none"/>
              </w:rPr>
              <w:t>5．【法律】《中华人民共和国行政许可法》第六十一条：行政机关应当建立健全监督制度，通过核查反映被许可人从事行政许可事项活动情况的有关材料，履行监督责任。</w:t>
            </w:r>
          </w:p>
        </w:tc>
        <w:tc>
          <w:tcPr>
            <w:tcW w:w="1651" w:type="dxa"/>
            <w:vAlign w:val="center"/>
          </w:tcPr>
          <w:p w14:paraId="1800EBF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因不履行或不正确履行行政职责，有下列情形的行政机关及相关工作人员应承担相应的责任：</w:t>
            </w:r>
          </w:p>
          <w:p w14:paraId="47C882C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1.超越职权或者对不符合法定条件的申请人核发乡村建设规划许可证的；</w:t>
            </w:r>
          </w:p>
          <w:p w14:paraId="07C9277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2.对符合法定条件的申请人未在法定期限内核发乡村建设规划许可证的；</w:t>
            </w:r>
          </w:p>
          <w:p w14:paraId="17DF869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3.除以上追责情形外，其他违反法律法规规章的行为依法追究相应责任。</w:t>
            </w:r>
          </w:p>
          <w:p w14:paraId="5118B2E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p>
          <w:p w14:paraId="026A836E">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仿宋_GB2312" w:cs="Times New Roman"/>
                <w:snapToGrid w:val="0"/>
                <w:color w:val="000000"/>
                <w:sz w:val="18"/>
                <w:szCs w:val="18"/>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2663" w:type="dxa"/>
            <w:vAlign w:val="center"/>
          </w:tcPr>
          <w:p w14:paraId="78FC06C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城乡规划法》第六十条规定镇人民政府或者县级以上人民政府城乡规划主管部门有下列行为之一的，由本级人民政府、上级人民政府城乡规划主管部门或者监察机关依据职权责令改正，通报批评；对直接负责的主管人员和其他直接责任人员依法给予处分：</w:t>
            </w:r>
          </w:p>
          <w:p w14:paraId="7CD3F06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（二）超越职权或者对不符合法定条件的申请人核发选址意见书、建设用地规划许可证、建设工程规划许可证、乡村建设规划许可证的；</w:t>
            </w:r>
          </w:p>
          <w:p w14:paraId="519A1CA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（三）对符合法定条件的申请人未在法定期限内核发选址意见书、建设用地规划许可证、建设工程规划许可证、乡村建设规划许可证的；</w:t>
            </w:r>
          </w:p>
          <w:p w14:paraId="63A0077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法规】《广西壮族自治区实施〈中华人民共和国城乡规划法〉办法》（2010年3月31日广西壮族自治区第十一届人民代表大会常务委员会第十四次会议通过，根据2016年11月30日广西壮族自治区第十二届人民代表大会常务委员会第二十六次会议《关于废止和修改部分地方性法规的决定》修正）第五十七条 各级人民政府和城乡规划主管部门以及其他相关行政主管部门有下列行为之一的，由上级行政机关或者监察机关依法责令改正、通报批评，对直接负责的主管人员和其他直接责任人员依法给予处分；构成犯罪的，依法追究刑事责任：</w:t>
            </w:r>
          </w:p>
          <w:p w14:paraId="22BAE22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（二）超越职权或者对不符合法定条件的申请人核发选址意见书、建设用地规划许可证、建设工程规划许可证、乡村建设规划许可证、临时建设规划许可证的；</w:t>
            </w:r>
          </w:p>
          <w:p w14:paraId="45504DE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（三）对符合法定条件的申请人未在法定期限内核发选址意见书、建设用地规划许可证、建设工程规划许可证、乡村建设规划许可证、临时建设规划许可证的。</w:t>
            </w:r>
          </w:p>
        </w:tc>
        <w:tc>
          <w:tcPr>
            <w:tcW w:w="619" w:type="dxa"/>
            <w:vAlign w:val="center"/>
          </w:tcPr>
          <w:p w14:paraId="32BF1EB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eastAsia" w:ascii="Times New Roman" w:hAnsi="Times New Roman" w:eastAsia="仿宋_GB2312" w:cs="Times New Roman"/>
                <w:snapToGrid w:val="0"/>
                <w:color w:val="000000"/>
                <w:sz w:val="18"/>
                <w:szCs w:val="18"/>
                <w:highlight w:val="none"/>
              </w:rPr>
              <w:t>法律法规规定的免责情形及有关文件中明确的免责情形</w:t>
            </w:r>
          </w:p>
        </w:tc>
        <w:tc>
          <w:tcPr>
            <w:tcW w:w="757" w:type="dxa"/>
            <w:vAlign w:val="center"/>
          </w:tcPr>
          <w:p w14:paraId="6462B13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2A21BE2">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0"/>
        <w:gridCol w:w="905"/>
        <w:gridCol w:w="1845"/>
        <w:gridCol w:w="255"/>
        <w:gridCol w:w="7307"/>
        <w:gridCol w:w="882"/>
        <w:gridCol w:w="600"/>
        <w:gridCol w:w="1736"/>
        <w:gridCol w:w="1071"/>
        <w:gridCol w:w="267"/>
        <w:gridCol w:w="419"/>
        <w:gridCol w:w="162"/>
        <w:gridCol w:w="757"/>
      </w:tblGrid>
      <w:tr w14:paraId="0A79A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5820E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2BF2A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6"/>
            <w:vAlign w:val="center"/>
          </w:tcPr>
          <w:p w14:paraId="47DF19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544" w:type="dxa"/>
            <w:gridSpan w:val="10"/>
            <w:vAlign w:val="center"/>
          </w:tcPr>
          <w:p w14:paraId="575C74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093099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FE0F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CF01E7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31BB73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89F30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864C0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006A2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91116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8EF27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gridSpan w:val="2"/>
            <w:vAlign w:val="center"/>
          </w:tcPr>
          <w:p w14:paraId="3501DE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gridSpan w:val="2"/>
            <w:vAlign w:val="center"/>
          </w:tcPr>
          <w:p w14:paraId="5C863E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55C20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307" w:type="dxa"/>
            <w:vAlign w:val="center"/>
          </w:tcPr>
          <w:p w14:paraId="660422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82" w:type="dxa"/>
            <w:gridSpan w:val="2"/>
            <w:vAlign w:val="center"/>
          </w:tcPr>
          <w:p w14:paraId="2E4C8A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74" w:type="dxa"/>
            <w:gridSpan w:val="3"/>
            <w:vAlign w:val="center"/>
          </w:tcPr>
          <w:p w14:paraId="35A466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81" w:type="dxa"/>
            <w:gridSpan w:val="2"/>
            <w:vAlign w:val="center"/>
          </w:tcPr>
          <w:p w14:paraId="3269D9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7E359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1D584C7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85FC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7439A10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7</w:t>
            </w:r>
          </w:p>
        </w:tc>
        <w:tc>
          <w:tcPr>
            <w:tcW w:w="476" w:type="dxa"/>
            <w:vAlign w:val="center"/>
          </w:tcPr>
          <w:p w14:paraId="3BFDABFA">
            <w:pPr>
              <w:adjustRightInd w:val="0"/>
              <w:snapToGrid w:val="0"/>
              <w:spacing w:line="262"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行政处罚</w:t>
            </w:r>
          </w:p>
        </w:tc>
        <w:tc>
          <w:tcPr>
            <w:tcW w:w="550" w:type="dxa"/>
            <w:vAlign w:val="center"/>
          </w:tcPr>
          <w:p w14:paraId="61A673CC">
            <w:pPr>
              <w:adjustRightInd w:val="0"/>
              <w:snapToGrid w:val="0"/>
              <w:spacing w:line="262"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违反乡村清洁规定行为的处罚</w:t>
            </w:r>
          </w:p>
        </w:tc>
        <w:tc>
          <w:tcPr>
            <w:tcW w:w="650" w:type="dxa"/>
            <w:vAlign w:val="center"/>
          </w:tcPr>
          <w:p w14:paraId="09AE5D4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7263EF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2297F8B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gridSpan w:val="2"/>
            <w:vAlign w:val="center"/>
          </w:tcPr>
          <w:p w14:paraId="1B917E47">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【地方性法规】《广西壮族自治区乡村清洁</w:t>
            </w:r>
            <w:r>
              <w:rPr>
                <w:rStyle w:val="8"/>
                <w:rFonts w:hint="default" w:ascii="Times New Roman" w:hAnsi="Times New Roman" w:eastAsia="仿宋_GB2312" w:cs="Times New Roman"/>
                <w:snapToGrid w:val="0"/>
                <w:highlight w:val="none"/>
              </w:rPr>
              <w:t>条例》（201</w:t>
            </w:r>
            <w:r>
              <w:rPr>
                <w:rStyle w:val="7"/>
                <w:rFonts w:hint="default" w:ascii="Times New Roman" w:hAnsi="Times New Roman" w:eastAsia="仿宋_GB2312" w:cs="Times New Roman"/>
                <w:snapToGrid w:val="0"/>
                <w:highlight w:val="none"/>
              </w:rPr>
              <w:t>6年广西壮族自治区第十二届人民代表大</w:t>
            </w:r>
            <w:r>
              <w:rPr>
                <w:rStyle w:val="8"/>
                <w:rFonts w:hint="default" w:ascii="Times New Roman" w:hAnsi="Times New Roman" w:eastAsia="仿宋_GB2312" w:cs="Times New Roman"/>
                <w:snapToGrid w:val="0"/>
                <w:highlight w:val="none"/>
              </w:rPr>
              <w:t>会公</w:t>
            </w:r>
            <w:r>
              <w:rPr>
                <w:rStyle w:val="7"/>
                <w:rFonts w:hint="default" w:ascii="Times New Roman" w:hAnsi="Times New Roman" w:eastAsia="仿宋_GB2312" w:cs="Times New Roman"/>
                <w:snapToGrid w:val="0"/>
                <w:highlight w:val="none"/>
              </w:rPr>
              <w:t>告第13号</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第十二条：任何单位和个人不得侵占、损坏、擅自拆除、擅自关闭乡村卫生公厕、垃圾和污水处理等乡村清洁设施</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擅自改变</w:t>
            </w:r>
            <w:r>
              <w:rPr>
                <w:rStyle w:val="8"/>
                <w:rFonts w:hint="default" w:ascii="Times New Roman" w:hAnsi="Times New Roman" w:eastAsia="仿宋_GB2312" w:cs="Times New Roman"/>
                <w:snapToGrid w:val="0"/>
                <w:highlight w:val="none"/>
              </w:rPr>
              <w:t>其用途。</w:t>
            </w:r>
          </w:p>
          <w:p w14:paraId="17990727">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十七条：单位和个人应当自觉维护乡村环境卫生，不得有下列行为：（一）在公共场所、公路、乡村道路、田间倾倒渣土、垃圾，排放污水，堆放杂物，丢弃农药、化肥包装物和农业废弃物、畜禽尸体；（二）在公共场所、公路、乡村道路堆存粪便；（三）在公路、乡村道路晾晒谷物、秸秆等物品；（六）其他影响乡村环境卫生</w:t>
            </w:r>
            <w:r>
              <w:rPr>
                <w:rStyle w:val="8"/>
                <w:rFonts w:hint="default" w:ascii="Times New Roman" w:hAnsi="Times New Roman" w:eastAsia="仿宋_GB2312" w:cs="Times New Roman"/>
                <w:snapToGrid w:val="0"/>
                <w:highlight w:val="none"/>
              </w:rPr>
              <w:t>的行为。</w:t>
            </w:r>
          </w:p>
          <w:p w14:paraId="2FB7F642">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第十九</w:t>
            </w:r>
            <w:r>
              <w:rPr>
                <w:rStyle w:val="8"/>
                <w:rFonts w:hint="default" w:ascii="Times New Roman" w:hAnsi="Times New Roman" w:eastAsia="仿宋_GB2312" w:cs="Times New Roman"/>
                <w:snapToGrid w:val="0"/>
                <w:highlight w:val="none"/>
              </w:rPr>
              <w:t>条第</w:t>
            </w:r>
            <w:r>
              <w:rPr>
                <w:rStyle w:val="7"/>
                <w:rFonts w:hint="default" w:ascii="Times New Roman" w:hAnsi="Times New Roman" w:eastAsia="仿宋_GB2312" w:cs="Times New Roman"/>
                <w:snapToGrid w:val="0"/>
                <w:highlight w:val="none"/>
              </w:rPr>
              <w:t>三款：任何单位和个人不得在非指定地点倾倒、抛撒或者堆放建</w:t>
            </w:r>
            <w:r>
              <w:rPr>
                <w:rStyle w:val="8"/>
                <w:rFonts w:hint="default" w:ascii="Times New Roman" w:hAnsi="Times New Roman" w:eastAsia="仿宋_GB2312" w:cs="Times New Roman"/>
                <w:snapToGrid w:val="0"/>
                <w:highlight w:val="none"/>
              </w:rPr>
              <w:t>筑垃圾。</w:t>
            </w:r>
          </w:p>
          <w:p w14:paraId="3507CBB3">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三十九条：违反本条例第十二条规定，侵占、损坏、擅自拆除、擅自关闭乡村卫生公厕、垃圾和污水处理等乡村清洁设施或者擅自改变其用途的，由乡镇人民政府或者其委托的乡镇综合执法机构责令恢复原状，对单位可以并处一千元以上一万元以下罚款，对个人可以并处十元以上一百元以</w:t>
            </w:r>
            <w:r>
              <w:rPr>
                <w:rStyle w:val="8"/>
                <w:rFonts w:hint="default" w:ascii="Times New Roman" w:hAnsi="Times New Roman" w:eastAsia="仿宋_GB2312" w:cs="Times New Roman"/>
                <w:snapToGrid w:val="0"/>
                <w:highlight w:val="none"/>
              </w:rPr>
              <w:t>下罚款。</w:t>
            </w:r>
          </w:p>
          <w:p w14:paraId="6C8D8A68">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四十条：违反本条例第十七条第一项、第二项、第三项、第六项规定，有下列行为之一的，由乡镇人民政府或者其委托的乡镇综合执法机构给予警告，并责令限期改正；逾期未改正的，对单位处五十元以上五百元以下罚款，对个人处五十元以下罚款；多次有下列行为之一的，对单位处五百元以上五千元以下罚款，对个人处五十元以上二百元</w:t>
            </w:r>
            <w:r>
              <w:rPr>
                <w:rStyle w:val="8"/>
                <w:rFonts w:hint="default" w:ascii="Times New Roman" w:hAnsi="Times New Roman" w:eastAsia="仿宋_GB2312" w:cs="Times New Roman"/>
                <w:snapToGrid w:val="0"/>
                <w:highlight w:val="none"/>
              </w:rPr>
              <w:t>以</w:t>
            </w:r>
            <w:r>
              <w:rPr>
                <w:rStyle w:val="7"/>
                <w:rFonts w:hint="default" w:ascii="Times New Roman" w:hAnsi="Times New Roman" w:eastAsia="仿宋_GB2312" w:cs="Times New Roman"/>
                <w:snapToGrid w:val="0"/>
                <w:highlight w:val="none"/>
              </w:rPr>
              <w:t>下罚款：（一）在公共场所、公路、乡村道路、田间倾倒渣土、垃圾，排放污水，堆放杂物，丢弃农药、化肥包装物和农业废弃物、畜禽尸体的；（二）在公共场所、公路、乡村道路堆存粪便的；（三）在公路、乡村道路晾晒谷物、秸秆等物品的；（四）有其他影响乡村环境卫生</w:t>
            </w:r>
            <w:r>
              <w:rPr>
                <w:rStyle w:val="8"/>
                <w:rFonts w:hint="default" w:ascii="Times New Roman" w:hAnsi="Times New Roman" w:eastAsia="仿宋_GB2312" w:cs="Times New Roman"/>
                <w:snapToGrid w:val="0"/>
                <w:highlight w:val="none"/>
              </w:rPr>
              <w:t>行为的。</w:t>
            </w:r>
          </w:p>
          <w:p w14:paraId="24201873">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四十一条：违反本条例第十九条第三款规定，在非指定地点倾倒、抛撒或者堆放建筑垃圾的，由乡镇人民政府或者其委托的乡镇综合执法机构责令限期改正；逾期未改正的，对单位处一千元以上一万元以下罚款，对个人处二十元以上二百元以下罚款；情节严重的，对单位处一万元以上五万元以下罚款，对个人处二百元以上一千元以下罚款。</w:t>
            </w:r>
          </w:p>
        </w:tc>
        <w:tc>
          <w:tcPr>
            <w:tcW w:w="2100" w:type="dxa"/>
            <w:gridSpan w:val="2"/>
            <w:vAlign w:val="center"/>
          </w:tcPr>
          <w:p w14:paraId="1CB91BBF">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1.立案责任：根据日常监管和投诉情况，进行相关监督检查和核实，决定是</w:t>
            </w:r>
            <w:r>
              <w:rPr>
                <w:rStyle w:val="8"/>
                <w:rFonts w:hint="default" w:ascii="Times New Roman" w:hAnsi="Times New Roman" w:eastAsia="仿宋_GB2312" w:cs="Times New Roman"/>
                <w:snapToGrid w:val="0"/>
                <w:highlight w:val="none"/>
              </w:rPr>
              <w:t>否立案受理。</w:t>
            </w:r>
          </w:p>
          <w:p w14:paraId="025DD833">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仿宋_GB2312" w:cs="Times New Roman"/>
                <w:snapToGrid w:val="0"/>
                <w:highlight w:val="none"/>
              </w:rPr>
              <w:t>取</w:t>
            </w:r>
            <w:r>
              <w:rPr>
                <w:rStyle w:val="7"/>
                <w:rFonts w:hint="default" w:ascii="Times New Roman" w:hAnsi="Times New Roman" w:eastAsia="仿宋_GB2312" w:cs="Times New Roman"/>
                <w:snapToGrid w:val="0"/>
                <w:highlight w:val="none"/>
              </w:rPr>
              <w:t>证时，应由2名以上执法人员参加，并向当事人出示有效的行政执法证件，允许当事</w:t>
            </w:r>
            <w:r>
              <w:rPr>
                <w:rStyle w:val="8"/>
                <w:rFonts w:hint="default" w:ascii="Times New Roman" w:hAnsi="Times New Roman" w:eastAsia="仿宋_GB2312" w:cs="Times New Roman"/>
                <w:snapToGrid w:val="0"/>
                <w:highlight w:val="none"/>
              </w:rPr>
              <w:t>人辩解陈述。</w:t>
            </w:r>
          </w:p>
          <w:p w14:paraId="50CD6551">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仿宋_GB2312" w:cs="Times New Roman"/>
                <w:snapToGrid w:val="0"/>
                <w:highlight w:val="none"/>
              </w:rPr>
              <w:t>补充调查）。</w:t>
            </w:r>
          </w:p>
          <w:p w14:paraId="60552703">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仿宋_GB2312" w:cs="Times New Roman"/>
                <w:snapToGrid w:val="0"/>
                <w:highlight w:val="none"/>
              </w:rPr>
              <w:t>证告知书》。</w:t>
            </w:r>
          </w:p>
          <w:p w14:paraId="25BCEE9C">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5.决定责任：作出行政处罚决定，制作行政</w:t>
            </w:r>
            <w:r>
              <w:rPr>
                <w:rStyle w:val="8"/>
                <w:rFonts w:hint="default" w:ascii="Times New Roman" w:hAnsi="Times New Roman" w:eastAsia="仿宋_GB2312" w:cs="Times New Roman"/>
                <w:snapToGrid w:val="0"/>
                <w:highlight w:val="none"/>
              </w:rPr>
              <w:t>处罚决定书。</w:t>
            </w:r>
          </w:p>
          <w:p w14:paraId="7E414289">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仿宋_GB2312" w:cs="Times New Roman"/>
                <w:snapToGrid w:val="0"/>
                <w:highlight w:val="none"/>
              </w:rPr>
              <w:t>送达当事人。</w:t>
            </w:r>
          </w:p>
          <w:p w14:paraId="646C5B9C">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仿宋_GB2312" w:cs="Times New Roman"/>
                <w:snapToGrid w:val="0"/>
                <w:highlight w:val="none"/>
              </w:rPr>
              <w:t>院强制执行。</w:t>
            </w:r>
          </w:p>
          <w:p w14:paraId="2C3225FD">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8.监督责任：对行政处罚决定执行情况进</w:t>
            </w:r>
            <w:r>
              <w:rPr>
                <w:rStyle w:val="8"/>
                <w:rFonts w:hint="default" w:ascii="Times New Roman" w:hAnsi="Times New Roman" w:eastAsia="仿宋_GB2312" w:cs="Times New Roman"/>
                <w:snapToGrid w:val="0"/>
                <w:highlight w:val="none"/>
              </w:rPr>
              <w:t>行监督检查。</w:t>
            </w:r>
          </w:p>
          <w:p w14:paraId="1FD08535">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9.其他法律法规规章文件规定应履行的责任。</w:t>
            </w:r>
          </w:p>
          <w:p w14:paraId="57AC289B">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仿宋_GB2312" w:cs="Times New Roman"/>
                <w:snapToGrid w:val="0"/>
                <w:highlight w:val="none"/>
              </w:rPr>
            </w:pPr>
          </w:p>
          <w:p w14:paraId="2A426C57">
            <w:pPr>
              <w:keepNext w:val="0"/>
              <w:keepLines w:val="0"/>
              <w:pageBreakBefore w:val="0"/>
              <w:widowControl w:val="0"/>
              <w:kinsoku/>
              <w:wordWrap/>
              <w:overflowPunct/>
              <w:topLinePunct w:val="0"/>
              <w:autoSpaceDE/>
              <w:autoSpaceDN/>
              <w:bidi w:val="0"/>
              <w:adjustRightInd w:val="0"/>
              <w:snapToGrid w:val="0"/>
              <w:spacing w:line="220" w:lineRule="exact"/>
              <w:ind w:left="0" w:leftChars="0" w:firstLine="0" w:firstLineChars="0"/>
              <w:jc w:val="center"/>
              <w:textAlignment w:val="auto"/>
              <w:rPr>
                <w:rStyle w:val="7"/>
                <w:rFonts w:hint="eastAsia" w:ascii="Times New Roman" w:hAnsi="Times New Roman" w:eastAsia="仿宋_GB2312" w:cs="Times New Roman"/>
                <w:snapToGrid w:val="0"/>
                <w:highlight w:val="none"/>
                <w:lang w:eastAsia="zh-CN"/>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r>
              <w:rPr>
                <w:rStyle w:val="7"/>
                <w:rFonts w:hint="eastAsia" w:eastAsia="仿宋_GB2312" w:cs="Times New Roman"/>
                <w:snapToGrid w:val="0"/>
                <w:highlight w:val="none"/>
                <w:lang w:eastAsia="zh-CN"/>
              </w:rPr>
              <w:t>）</w:t>
            </w:r>
          </w:p>
        </w:tc>
        <w:tc>
          <w:tcPr>
            <w:tcW w:w="7307" w:type="dxa"/>
            <w:vAlign w:val="center"/>
          </w:tcPr>
          <w:p w14:paraId="03620CF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1—1.【法律】《中华人民共和国行政处罚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》第三十条：公民、法人或者其他组织违反行政管理秩序的行为，依法应当给予行政处罚的，行政机关必须查明事实；违法事实不清的，不得给予行政处罚。</w:t>
            </w:r>
          </w:p>
          <w:p w14:paraId="76190BD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6号）第七条：执法机关依据职权</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仿宋_GB2312" w:cs="Times New Roman"/>
                <w:snapToGrid w:val="0"/>
                <w:highlight w:val="none"/>
              </w:rPr>
              <w:t>管领导批准。</w:t>
            </w:r>
          </w:p>
          <w:p w14:paraId="5DBFAE3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2D11CAA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2—2.【法律】《中华人民共和国行政处罚法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仿宋_GB2312" w:cs="Times New Roman"/>
                <w:snapToGrid w:val="0"/>
                <w:highlight w:val="none"/>
              </w:rPr>
              <w:t>，应当回避。</w:t>
            </w:r>
          </w:p>
          <w:p w14:paraId="0273183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2—3.【部门规章】《建设行政处罚程序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仿宋_GB2312" w:cs="Times New Roman"/>
                <w:snapToGrid w:val="0"/>
                <w:highlight w:val="none"/>
              </w:rPr>
              <w:t>证</w:t>
            </w:r>
            <w:r>
              <w:rPr>
                <w:rStyle w:val="7"/>
                <w:rFonts w:hint="default" w:ascii="Times New Roman" w:hAnsi="Times New Roman" w:eastAsia="仿宋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仿宋_GB2312" w:cs="Times New Roman"/>
                <w:snapToGrid w:val="0"/>
                <w:highlight w:val="none"/>
              </w:rPr>
              <w:t>录</w:t>
            </w:r>
            <w:r>
              <w:rPr>
                <w:rStyle w:val="7"/>
                <w:rFonts w:hint="default" w:ascii="Times New Roman" w:hAnsi="Times New Roman" w:eastAsia="仿宋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仿宋_GB2312" w:cs="Times New Roman"/>
                <w:snapToGrid w:val="0"/>
                <w:highlight w:val="none"/>
              </w:rPr>
              <w:t>处罚建议等。</w:t>
            </w:r>
          </w:p>
          <w:p w14:paraId="73E683D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7610F51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w:t>
            </w:r>
            <w:r>
              <w:rPr>
                <w:rStyle w:val="8"/>
                <w:rFonts w:hint="default" w:ascii="Times New Roman" w:hAnsi="Times New Roman" w:eastAsia="仿宋_GB2312" w:cs="Times New Roman"/>
                <w:snapToGrid w:val="0"/>
                <w:highlight w:val="none"/>
              </w:rPr>
              <w:t>号</w:t>
            </w:r>
            <w:r>
              <w:rPr>
                <w:rStyle w:val="7"/>
                <w:rFonts w:hint="default" w:ascii="Times New Roman" w:hAnsi="Times New Roman" w:eastAsia="仿宋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仿宋_GB2312" w:cs="Times New Roman"/>
                <w:snapToGrid w:val="0"/>
                <w:highlight w:val="none"/>
              </w:rPr>
              <w:t>行书面核审。</w:t>
            </w:r>
          </w:p>
          <w:p w14:paraId="79B1475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4.【法律】《中华人民共和国行政处</w:t>
            </w:r>
            <w:r>
              <w:rPr>
                <w:rStyle w:val="8"/>
                <w:rFonts w:hint="default" w:ascii="Times New Roman" w:hAnsi="Times New Roman" w:eastAsia="仿宋_GB2312" w:cs="Times New Roman"/>
                <w:snapToGrid w:val="0"/>
                <w:highlight w:val="none"/>
              </w:rPr>
              <w:t>罚</w:t>
            </w:r>
            <w:r>
              <w:rPr>
                <w:rStyle w:val="7"/>
                <w:rFonts w:hint="default" w:ascii="Times New Roman" w:hAnsi="Times New Roman" w:eastAsia="仿宋_GB2312" w:cs="Times New Roman"/>
                <w:snapToGrid w:val="0"/>
                <w:highlight w:val="none"/>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仿宋_GB2312" w:cs="Times New Roman"/>
                <w:snapToGrid w:val="0"/>
                <w:highlight w:val="none"/>
              </w:rPr>
              <w:t>享有的权利。</w:t>
            </w:r>
          </w:p>
          <w:p w14:paraId="3E50643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2B30B4B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77B0478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仿宋_GB2312" w:cs="Times New Roman"/>
                <w:snapToGrid w:val="0"/>
                <w:highlight w:val="none"/>
              </w:rPr>
              <w:t>院强制执行。</w:t>
            </w:r>
          </w:p>
          <w:p w14:paraId="595978B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8.【法律】《中华人民共和国行政处罚法》第五十四条：行政机关应当建立健全对行政处罚的监督制度。县级以上人民政府应当加强对行政处罚的监督检查。</w:t>
            </w:r>
          </w:p>
        </w:tc>
        <w:tc>
          <w:tcPr>
            <w:tcW w:w="1482" w:type="dxa"/>
            <w:gridSpan w:val="2"/>
            <w:vAlign w:val="center"/>
          </w:tcPr>
          <w:p w14:paraId="5C97E4B7">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Style w:val="8"/>
                <w:rFonts w:hint="default" w:ascii="Times New Roman" w:hAnsi="Times New Roman" w:eastAsia="仿宋_GB2312" w:cs="Times New Roman"/>
                <w:color w:val="auto"/>
                <w:sz w:val="18"/>
                <w:szCs w:val="18"/>
                <w:highlight w:val="none"/>
              </w:rPr>
            </w:pPr>
            <w:r>
              <w:rPr>
                <w:rStyle w:val="8"/>
                <w:rFonts w:hint="default" w:ascii="Times New Roman" w:hAnsi="Times New Roman" w:eastAsia="仿宋_GB2312" w:cs="Times New Roman"/>
                <w:color w:val="auto"/>
                <w:sz w:val="18"/>
                <w:szCs w:val="18"/>
                <w:highlight w:val="none"/>
              </w:rPr>
              <w:t>因不履行或不正确履行行政职责，有下列情形的，行政机关及相关工作人员应承担相应责任：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1.对应当予以制止和处罚的违法行为不予制止、处罚的；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2.没有法律和事实依据实施行政处罚的；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3.因处罚不当给当事人造成损失的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5.不具备行政执法资格实施行政处罚的；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6.擅自改变行政处罚种类、幅度的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7.违反法定的行政处罚程序的；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8.符合听证条件、行政管理相对人要求听证，应予组织听证而不组织听证的；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9.在行政处罚过程中发生腐败行为的；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10.其他违反法律法规政策规定的行为。</w:t>
            </w:r>
            <w:r>
              <w:rPr>
                <w:rStyle w:val="8"/>
                <w:rFonts w:hint="default" w:ascii="Times New Roman" w:hAnsi="Times New Roman" w:eastAsia="仿宋_GB2312" w:cs="Times New Roman"/>
                <w:color w:val="auto"/>
                <w:sz w:val="18"/>
                <w:szCs w:val="18"/>
                <w:highlight w:val="none"/>
              </w:rPr>
              <w:br w:type="textWrapping"/>
            </w:r>
          </w:p>
          <w:p w14:paraId="3DF0844B">
            <w:pPr>
              <w:keepNext w:val="0"/>
              <w:keepLines w:val="0"/>
              <w:pageBreakBefore w:val="0"/>
              <w:widowControl w:val="0"/>
              <w:kinsoku/>
              <w:wordWrap/>
              <w:overflowPunct/>
              <w:topLinePunct w:val="0"/>
              <w:autoSpaceDE/>
              <w:autoSpaceDN/>
              <w:bidi w:val="0"/>
              <w:adjustRightInd w:val="0"/>
              <w:snapToGrid w:val="0"/>
              <w:spacing w:line="200" w:lineRule="exact"/>
              <w:ind w:left="0" w:leftChars="0" w:firstLine="0" w:firstLineChars="0"/>
              <w:jc w:val="center"/>
              <w:textAlignment w:val="auto"/>
              <w:rPr>
                <w:rStyle w:val="8"/>
                <w:rFonts w:hint="default" w:ascii="Times New Roman" w:hAnsi="Times New Roman" w:eastAsia="仿宋_GB2312" w:cs="Times New Roman"/>
                <w:color w:val="auto"/>
                <w:sz w:val="18"/>
                <w:szCs w:val="18"/>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3074" w:type="dxa"/>
            <w:gridSpan w:val="3"/>
            <w:vAlign w:val="center"/>
          </w:tcPr>
          <w:p w14:paraId="6EC15873">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Fonts w:hint="default" w:ascii="Times New Roman" w:hAnsi="Times New Roman" w:eastAsia="仿宋_GB2312" w:cs="Times New Roman"/>
                <w:kern w:val="0"/>
                <w:sz w:val="18"/>
                <w:szCs w:val="18"/>
                <w:highlight w:val="none"/>
              </w:rPr>
            </w:pPr>
            <w:r>
              <w:rPr>
                <w:rStyle w:val="8"/>
                <w:rFonts w:hint="default" w:ascii="Times New Roman" w:hAnsi="Times New Roman" w:eastAsia="仿宋_GB2312" w:cs="Times New Roman"/>
                <w:color w:val="auto"/>
                <w:sz w:val="18"/>
                <w:szCs w:val="18"/>
                <w:highlight w:val="none"/>
              </w:rPr>
              <w:t>【法律】《行政处罚法》（1996年中华人民共和国主席令第63号公布，2009年中华人民共和国主席令第18号修改后公布）</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执法人员利用职务上的便利，索取或者收受他人财物、收缴罚款据为己有，构成犯罪的，依法追究刑事责任；情节轻微不构成犯罪的，依法给予行政处分。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第五十九条 行政机关使用或者损毁扣押的财物，对当事人造成损失的，应当依法予以赔偿，对直接负责的主管人员和其他直接责任人员依法给予行政处分。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1" w:type="dxa"/>
            <w:gridSpan w:val="2"/>
            <w:vAlign w:val="center"/>
          </w:tcPr>
          <w:p w14:paraId="67B7BC8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ascii="仿宋_GB2312" w:hAnsi="仿宋_GB2312" w:eastAsia="仿宋_GB2312" w:cs="仿宋_GB2312"/>
                <w:kern w:val="0"/>
                <w:sz w:val="20"/>
                <w:szCs w:val="20"/>
                <w:highlight w:val="none"/>
              </w:rPr>
              <w:t>法律法规规定的免责情形及有关文件中明确的免责情形</w:t>
            </w:r>
          </w:p>
        </w:tc>
        <w:tc>
          <w:tcPr>
            <w:tcW w:w="757" w:type="dxa"/>
            <w:vAlign w:val="center"/>
          </w:tcPr>
          <w:p w14:paraId="67865F99">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r w14:paraId="38679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15B92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0C394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0" w:type="dxa"/>
            <w:gridSpan w:val="5"/>
            <w:vAlign w:val="center"/>
          </w:tcPr>
          <w:p w14:paraId="694976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287" w:type="dxa"/>
            <w:gridSpan w:val="10"/>
            <w:vAlign w:val="center"/>
          </w:tcPr>
          <w:p w14:paraId="1D129C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9" w:type="dxa"/>
            <w:gridSpan w:val="2"/>
            <w:vMerge w:val="restart"/>
            <w:vAlign w:val="center"/>
          </w:tcPr>
          <w:p w14:paraId="4DD344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AE99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540D31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599811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F9454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1FB30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4F4DF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4A447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CC377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0" w:type="dxa"/>
            <w:vAlign w:val="center"/>
          </w:tcPr>
          <w:p w14:paraId="2F0E9D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50" w:type="dxa"/>
            <w:gridSpan w:val="2"/>
            <w:vAlign w:val="center"/>
          </w:tcPr>
          <w:p w14:paraId="146205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11168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8444" w:type="dxa"/>
            <w:gridSpan w:val="3"/>
            <w:vAlign w:val="center"/>
          </w:tcPr>
          <w:p w14:paraId="7256D2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36" w:type="dxa"/>
            <w:gridSpan w:val="2"/>
            <w:vAlign w:val="center"/>
          </w:tcPr>
          <w:p w14:paraId="0ABB13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071" w:type="dxa"/>
            <w:vAlign w:val="center"/>
          </w:tcPr>
          <w:p w14:paraId="7FFE94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86" w:type="dxa"/>
            <w:gridSpan w:val="2"/>
            <w:vAlign w:val="center"/>
          </w:tcPr>
          <w:p w14:paraId="4B0B60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5BF05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9" w:type="dxa"/>
            <w:gridSpan w:val="2"/>
            <w:vMerge w:val="continue"/>
            <w:vAlign w:val="center"/>
          </w:tcPr>
          <w:p w14:paraId="628DE26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431B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9" w:hRule="atLeast"/>
          <w:jc w:val="center"/>
        </w:trPr>
        <w:tc>
          <w:tcPr>
            <w:tcW w:w="406" w:type="dxa"/>
            <w:vAlign w:val="center"/>
          </w:tcPr>
          <w:p w14:paraId="40FEE4A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8</w:t>
            </w:r>
          </w:p>
        </w:tc>
        <w:tc>
          <w:tcPr>
            <w:tcW w:w="476" w:type="dxa"/>
            <w:vAlign w:val="center"/>
          </w:tcPr>
          <w:p w14:paraId="2D04D101">
            <w:pPr>
              <w:adjustRightInd w:val="0"/>
              <w:snapToGrid w:val="0"/>
              <w:spacing w:line="26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行政处罚</w:t>
            </w:r>
          </w:p>
        </w:tc>
        <w:tc>
          <w:tcPr>
            <w:tcW w:w="550" w:type="dxa"/>
            <w:vAlign w:val="center"/>
          </w:tcPr>
          <w:p w14:paraId="50668731">
            <w:pPr>
              <w:adjustRightInd w:val="0"/>
              <w:snapToGrid w:val="0"/>
              <w:spacing w:line="26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对违反规定擅自占用和损坏乡村公共设施行为的处罚</w:t>
            </w:r>
          </w:p>
        </w:tc>
        <w:tc>
          <w:tcPr>
            <w:tcW w:w="650" w:type="dxa"/>
            <w:vAlign w:val="center"/>
          </w:tcPr>
          <w:p w14:paraId="7AE6847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BE6595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镇人民政府</w:t>
            </w:r>
          </w:p>
        </w:tc>
        <w:tc>
          <w:tcPr>
            <w:tcW w:w="933" w:type="dxa"/>
            <w:vAlign w:val="center"/>
          </w:tcPr>
          <w:p w14:paraId="7459C7E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1910" w:type="dxa"/>
            <w:vAlign w:val="center"/>
          </w:tcPr>
          <w:p w14:paraId="6231F6EB">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【地方性法规】《广西壮族自治区乡村规划建设管理条例》（2018年广西壮族自治区第十三届人民代表大会常务委员会公告第13号）第五十条第二款：任何单位和个人不得擅自占用和损坏乡村公</w:t>
            </w:r>
            <w:r>
              <w:rPr>
                <w:rStyle w:val="8"/>
                <w:rFonts w:hint="default" w:ascii="Times New Roman" w:hAnsi="Times New Roman" w:eastAsia="仿宋_GB2312" w:cs="Times New Roman"/>
                <w:snapToGrid w:val="0"/>
                <w:highlight w:val="none"/>
              </w:rPr>
              <w:t>共设施。</w:t>
            </w:r>
          </w:p>
          <w:p w14:paraId="61B24E70">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w:t>
            </w:r>
            <w:r>
              <w:rPr>
                <w:rStyle w:val="8"/>
                <w:rFonts w:hint="default" w:ascii="Times New Roman" w:hAnsi="Times New Roman" w:eastAsia="仿宋_GB2312" w:cs="Times New Roman"/>
                <w:snapToGrid w:val="0"/>
                <w:highlight w:val="none"/>
              </w:rPr>
              <w:t>六十</w:t>
            </w:r>
            <w:r>
              <w:rPr>
                <w:rStyle w:val="7"/>
                <w:rFonts w:hint="default" w:ascii="Times New Roman" w:hAnsi="Times New Roman" w:eastAsia="仿宋_GB2312" w:cs="Times New Roman"/>
                <w:snapToGrid w:val="0"/>
                <w:highlight w:val="none"/>
              </w:rPr>
              <w:t>二条： 违反本条例第五十条第二款规定，擅自占用和损坏乡村公共设施的，由乡（镇）人民政府或者其委托的乡（镇）综合执法机构责令恢复原状，对单位可以处一千元以上一万元以下罚款，对个人可以处十元以上一百元以下罚款；造成损失的，应当依法承担赔</w:t>
            </w:r>
            <w:r>
              <w:rPr>
                <w:rStyle w:val="8"/>
                <w:rFonts w:hint="default" w:ascii="Times New Roman" w:hAnsi="Times New Roman" w:eastAsia="仿宋_GB2312" w:cs="Times New Roman"/>
                <w:snapToGrid w:val="0"/>
                <w:highlight w:val="none"/>
              </w:rPr>
              <w:t>偿责任。</w:t>
            </w:r>
          </w:p>
        </w:tc>
        <w:tc>
          <w:tcPr>
            <w:tcW w:w="2750" w:type="dxa"/>
            <w:gridSpan w:val="2"/>
            <w:vAlign w:val="center"/>
          </w:tcPr>
          <w:p w14:paraId="37AFBAA2">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1.立案责任：根据日常监管和投诉情况，进行相关监督检查和核实，决定是</w:t>
            </w:r>
            <w:r>
              <w:rPr>
                <w:rStyle w:val="8"/>
                <w:rFonts w:hint="default" w:ascii="Times New Roman" w:hAnsi="Times New Roman" w:eastAsia="仿宋_GB2312" w:cs="Times New Roman"/>
                <w:snapToGrid w:val="0"/>
                <w:highlight w:val="none"/>
              </w:rPr>
              <w:t>否立案受理。</w:t>
            </w:r>
          </w:p>
          <w:p w14:paraId="0006FBEA">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仿宋_GB2312" w:cs="Times New Roman"/>
                <w:snapToGrid w:val="0"/>
                <w:highlight w:val="none"/>
              </w:rPr>
              <w:t>取</w:t>
            </w:r>
            <w:r>
              <w:rPr>
                <w:rStyle w:val="7"/>
                <w:rFonts w:hint="default" w:ascii="Times New Roman" w:hAnsi="Times New Roman" w:eastAsia="仿宋_GB2312" w:cs="Times New Roman"/>
                <w:snapToGrid w:val="0"/>
                <w:highlight w:val="none"/>
              </w:rPr>
              <w:t>证时，应由2名以上执法人员参加，并向当事人出示有效的行政执法证件，允许当事</w:t>
            </w:r>
            <w:r>
              <w:rPr>
                <w:rStyle w:val="8"/>
                <w:rFonts w:hint="default" w:ascii="Times New Roman" w:hAnsi="Times New Roman" w:eastAsia="仿宋_GB2312" w:cs="Times New Roman"/>
                <w:snapToGrid w:val="0"/>
                <w:highlight w:val="none"/>
              </w:rPr>
              <w:t>人辩解陈述。</w:t>
            </w:r>
          </w:p>
          <w:p w14:paraId="4E190E6D">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仿宋_GB2312" w:cs="Times New Roman"/>
                <w:snapToGrid w:val="0"/>
                <w:highlight w:val="none"/>
              </w:rPr>
              <w:t>补充调查）。</w:t>
            </w:r>
          </w:p>
          <w:p w14:paraId="02921F68">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仿宋_GB2312" w:cs="Times New Roman"/>
                <w:snapToGrid w:val="0"/>
                <w:highlight w:val="none"/>
              </w:rPr>
              <w:t>证告知书》。</w:t>
            </w:r>
          </w:p>
          <w:p w14:paraId="0C815983">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5.决定责任：作出行政处罚决定，制作行政</w:t>
            </w:r>
            <w:r>
              <w:rPr>
                <w:rStyle w:val="8"/>
                <w:rFonts w:hint="default" w:ascii="Times New Roman" w:hAnsi="Times New Roman" w:eastAsia="仿宋_GB2312" w:cs="Times New Roman"/>
                <w:snapToGrid w:val="0"/>
                <w:highlight w:val="none"/>
              </w:rPr>
              <w:t>处罚决定书。</w:t>
            </w:r>
          </w:p>
          <w:p w14:paraId="3F97822C">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仿宋_GB2312" w:cs="Times New Roman"/>
                <w:snapToGrid w:val="0"/>
                <w:highlight w:val="none"/>
              </w:rPr>
              <w:t>送达当事人。</w:t>
            </w:r>
          </w:p>
          <w:p w14:paraId="68BBD03F">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仿宋_GB2312" w:cs="Times New Roman"/>
                <w:snapToGrid w:val="0"/>
                <w:highlight w:val="none"/>
              </w:rPr>
              <w:t>院强制执行。</w:t>
            </w:r>
          </w:p>
          <w:p w14:paraId="4ACA2C1E">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8.监督责任：对行政处罚决定执行情况进</w:t>
            </w:r>
            <w:r>
              <w:rPr>
                <w:rStyle w:val="8"/>
                <w:rFonts w:hint="default" w:ascii="Times New Roman" w:hAnsi="Times New Roman" w:eastAsia="仿宋_GB2312" w:cs="Times New Roman"/>
                <w:snapToGrid w:val="0"/>
                <w:highlight w:val="none"/>
              </w:rPr>
              <w:t>行监督检查。</w:t>
            </w:r>
          </w:p>
          <w:p w14:paraId="073EAFC2">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9.其他法律法规规章文件规定应</w:t>
            </w:r>
            <w:r>
              <w:rPr>
                <w:rStyle w:val="8"/>
                <w:rFonts w:hint="default" w:ascii="Times New Roman" w:hAnsi="Times New Roman" w:eastAsia="仿宋_GB2312" w:cs="Times New Roman"/>
                <w:snapToGrid w:val="0"/>
                <w:highlight w:val="none"/>
              </w:rPr>
              <w:t>履行的责任。</w:t>
            </w:r>
          </w:p>
          <w:p w14:paraId="70411A2F">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p>
          <w:p w14:paraId="43AFDD68">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lang w:val="en-US" w:eastAsia="zh-CN"/>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w:t>
            </w:r>
          </w:p>
          <w:p w14:paraId="401641CB">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Fonts w:hint="default" w:ascii="Times New Roman" w:hAnsi="Times New Roman" w:eastAsia="仿宋_GB2312" w:cs="Times New Roman"/>
                <w:kern w:val="0"/>
                <w:sz w:val="20"/>
                <w:szCs w:val="20"/>
                <w:highlight w:val="none"/>
                <w:lang w:val="en-US" w:eastAsia="zh-CN"/>
              </w:rPr>
              <w:t>服务中心</w:t>
            </w:r>
            <w:r>
              <w:rPr>
                <w:rStyle w:val="7"/>
                <w:rFonts w:hint="eastAsia" w:eastAsia="仿宋_GB2312" w:cs="Times New Roman"/>
                <w:snapToGrid w:val="0"/>
                <w:highlight w:val="none"/>
                <w:lang w:eastAsia="zh-CN"/>
              </w:rPr>
              <w:t>）</w:t>
            </w:r>
          </w:p>
        </w:tc>
        <w:tc>
          <w:tcPr>
            <w:tcW w:w="8444" w:type="dxa"/>
            <w:gridSpan w:val="3"/>
            <w:vAlign w:val="center"/>
          </w:tcPr>
          <w:p w14:paraId="11F6429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1—1.【法律】《中华人民共和国行政处罚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》第三十条：公民、法人或者其他组织违反行政管理秩序的行为，依法应当给予行政处罚的，行政机关必须查明事实；违法事实不清的，不得给予行政处罚。</w:t>
            </w:r>
          </w:p>
          <w:p w14:paraId="20AC39C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6号）第七条：执法机关依据职权</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仿宋_GB2312" w:cs="Times New Roman"/>
                <w:snapToGrid w:val="0"/>
                <w:highlight w:val="none"/>
              </w:rPr>
              <w:t>管领导批准。</w:t>
            </w:r>
          </w:p>
          <w:p w14:paraId="7B598F7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4C28FCA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2—2.【法律】《中华人民共和国行政处罚法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仿宋_GB2312" w:cs="Times New Roman"/>
                <w:snapToGrid w:val="0"/>
                <w:highlight w:val="none"/>
              </w:rPr>
              <w:t>，应当回避。</w:t>
            </w:r>
          </w:p>
          <w:p w14:paraId="17E12E5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2—3.【部门规章】《建设行政处罚程序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仿宋_GB2312" w:cs="Times New Roman"/>
                <w:snapToGrid w:val="0"/>
                <w:highlight w:val="none"/>
              </w:rPr>
              <w:t>证</w:t>
            </w:r>
            <w:r>
              <w:rPr>
                <w:rStyle w:val="7"/>
                <w:rFonts w:hint="default" w:ascii="Times New Roman" w:hAnsi="Times New Roman" w:eastAsia="仿宋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仿宋_GB2312" w:cs="Times New Roman"/>
                <w:snapToGrid w:val="0"/>
                <w:highlight w:val="none"/>
              </w:rPr>
              <w:t>录</w:t>
            </w:r>
            <w:r>
              <w:rPr>
                <w:rStyle w:val="7"/>
                <w:rFonts w:hint="default" w:ascii="Times New Roman" w:hAnsi="Times New Roman" w:eastAsia="仿宋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仿宋_GB2312" w:cs="Times New Roman"/>
                <w:snapToGrid w:val="0"/>
                <w:highlight w:val="none"/>
              </w:rPr>
              <w:t>处罚建议等。</w:t>
            </w:r>
          </w:p>
          <w:p w14:paraId="0EDC76E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41DD647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w:t>
            </w:r>
            <w:r>
              <w:rPr>
                <w:rStyle w:val="8"/>
                <w:rFonts w:hint="default" w:ascii="Times New Roman" w:hAnsi="Times New Roman" w:eastAsia="仿宋_GB2312" w:cs="Times New Roman"/>
                <w:snapToGrid w:val="0"/>
                <w:highlight w:val="none"/>
              </w:rPr>
              <w:t>号</w:t>
            </w:r>
            <w:r>
              <w:rPr>
                <w:rStyle w:val="7"/>
                <w:rFonts w:hint="default" w:ascii="Times New Roman" w:hAnsi="Times New Roman" w:eastAsia="仿宋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仿宋_GB2312" w:cs="Times New Roman"/>
                <w:snapToGrid w:val="0"/>
                <w:highlight w:val="none"/>
              </w:rPr>
              <w:t>行书面核审。</w:t>
            </w:r>
          </w:p>
          <w:p w14:paraId="61089E4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4.【法律】《中华人民共和国行政处</w:t>
            </w:r>
            <w:r>
              <w:rPr>
                <w:rStyle w:val="8"/>
                <w:rFonts w:hint="default" w:ascii="Times New Roman" w:hAnsi="Times New Roman" w:eastAsia="仿宋_GB2312" w:cs="Times New Roman"/>
                <w:snapToGrid w:val="0"/>
                <w:highlight w:val="none"/>
              </w:rPr>
              <w:t>罚</w:t>
            </w:r>
            <w:r>
              <w:rPr>
                <w:rStyle w:val="7"/>
                <w:rFonts w:hint="default" w:ascii="Times New Roman" w:hAnsi="Times New Roman" w:eastAsia="仿宋_GB2312" w:cs="Times New Roman"/>
                <w:snapToGrid w:val="0"/>
                <w:highlight w:val="none"/>
              </w:rPr>
              <w:t>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720CFB1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仿宋_GB2312" w:cs="Times New Roman"/>
                <w:snapToGrid w:val="0"/>
                <w:highlight w:val="none"/>
              </w:rPr>
              <w:t>享有的权利。</w:t>
            </w:r>
          </w:p>
          <w:p w14:paraId="56DBCE5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65D97E1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0747C00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仿宋_GB2312" w:cs="Times New Roman"/>
                <w:snapToGrid w:val="0"/>
                <w:highlight w:val="none"/>
              </w:rPr>
              <w:t>院强制执行。</w:t>
            </w:r>
          </w:p>
          <w:p w14:paraId="676426F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8.【法律】《中华人民共和国行政处罚法》第五十四条：行政机关应当建立健全对行政处罚的监督制度。县级以上人民政府应当加强对行政处罚</w:t>
            </w:r>
            <w:r>
              <w:rPr>
                <w:rStyle w:val="8"/>
                <w:rFonts w:hint="default" w:ascii="Times New Roman" w:hAnsi="Times New Roman" w:eastAsia="仿宋_GB2312" w:cs="Times New Roman"/>
                <w:snapToGrid w:val="0"/>
                <w:highlight w:val="none"/>
              </w:rPr>
              <w:t>的监督检查。</w:t>
            </w:r>
          </w:p>
        </w:tc>
        <w:tc>
          <w:tcPr>
            <w:tcW w:w="2336" w:type="dxa"/>
            <w:gridSpan w:val="2"/>
            <w:vAlign w:val="center"/>
          </w:tcPr>
          <w:p w14:paraId="188E8475">
            <w:pPr>
              <w:adjustRightInd w:val="0"/>
              <w:snapToGrid w:val="0"/>
              <w:spacing w:line="280" w:lineRule="exact"/>
              <w:ind w:firstLine="400" w:firstLineChars="200"/>
              <w:rPr>
                <w:rStyle w:val="8"/>
                <w:rFonts w:hint="default" w:ascii="Times New Roman" w:hAnsi="Times New Roman" w:eastAsia="仿宋_GB2312" w:cs="Times New Roman"/>
                <w:snapToGrid w:val="0"/>
                <w:color w:val="auto"/>
                <w:szCs w:val="20"/>
                <w:highlight w:val="none"/>
              </w:rPr>
            </w:pPr>
            <w:r>
              <w:rPr>
                <w:rStyle w:val="8"/>
                <w:rFonts w:hint="default" w:ascii="Times New Roman" w:hAnsi="Times New Roman" w:eastAsia="仿宋_GB2312" w:cs="Times New Roman"/>
                <w:snapToGrid w:val="0"/>
                <w:color w:val="auto"/>
                <w:szCs w:val="20"/>
                <w:highlight w:val="none"/>
              </w:rPr>
              <w:t>因不履行或不正确履行行政职责，有下列情形的，行政机关及相关工作人员应承担相应责任：</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1.对应当予以制止和处罚的违法行为不予制止、处罚的；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2.没有法律和事实依据实施行政处罚的；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3.因处罚不当给当事人造成损失的；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5.不具备行政执法资格实施行政处罚的；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6.擅自改变行政处罚种类、幅度的；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7.违反法定的行政处罚程序的；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8.符合听证条件、行政管理相对人要求听证，应予组织听证而不组织听证的；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9.在行政处罚过程中发生腐败行为的；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10.其他违反法律法规政策规定的行为。</w:t>
            </w:r>
          </w:p>
          <w:p w14:paraId="65EC5292">
            <w:pPr>
              <w:adjustRightInd w:val="0"/>
              <w:snapToGrid w:val="0"/>
              <w:spacing w:line="280" w:lineRule="exact"/>
              <w:ind w:firstLine="400" w:firstLineChars="200"/>
              <w:rPr>
                <w:rStyle w:val="8"/>
                <w:rFonts w:hint="default" w:ascii="Times New Roman" w:hAnsi="Times New Roman" w:eastAsia="仿宋_GB2312" w:cs="Times New Roman"/>
                <w:snapToGrid w:val="0"/>
                <w:color w:val="auto"/>
                <w:szCs w:val="20"/>
                <w:highlight w:val="none"/>
              </w:rPr>
            </w:pPr>
          </w:p>
          <w:p w14:paraId="761E201C">
            <w:pPr>
              <w:adjustRightInd w:val="0"/>
              <w:snapToGrid w:val="0"/>
              <w:spacing w:line="280" w:lineRule="exact"/>
              <w:ind w:left="0" w:leftChars="0" w:firstLine="0" w:firstLineChars="0"/>
              <w:jc w:val="center"/>
              <w:rPr>
                <w:rFonts w:hint="eastAsia" w:ascii="Times New Roman" w:hAnsi="Times New Roman" w:eastAsia="仿宋_GB2312" w:cs="Times New Roman"/>
                <w:kern w:val="0"/>
                <w:sz w:val="20"/>
                <w:szCs w:val="20"/>
                <w:highlight w:val="none"/>
                <w:lang w:val="en-US"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w:t>
            </w:r>
          </w:p>
          <w:p w14:paraId="2E5B7C37">
            <w:pPr>
              <w:adjustRightInd w:val="0"/>
              <w:snapToGrid w:val="0"/>
              <w:spacing w:line="280" w:lineRule="exact"/>
              <w:ind w:left="0" w:leftChars="0" w:firstLine="0" w:firstLineChars="0"/>
              <w:jc w:val="center"/>
              <w:rPr>
                <w:rStyle w:val="8"/>
                <w:rFonts w:hint="default" w:ascii="Times New Roman" w:hAnsi="Times New Roman" w:eastAsia="仿宋_GB2312" w:cs="Times New Roman"/>
                <w:snapToGrid w:val="0"/>
                <w:color w:val="auto"/>
                <w:szCs w:val="20"/>
                <w:highlight w:val="none"/>
              </w:rPr>
            </w:pPr>
            <w:r>
              <w:rPr>
                <w:rFonts w:hint="eastAsia" w:ascii="Times New Roman" w:hAnsi="Times New Roman" w:eastAsia="仿宋_GB2312" w:cs="Times New Roman"/>
                <w:kern w:val="0"/>
                <w:sz w:val="20"/>
                <w:szCs w:val="20"/>
                <w:highlight w:val="none"/>
                <w:lang w:val="en-US" w:eastAsia="zh-CN"/>
              </w:rPr>
              <w:t>委员会</w:t>
            </w:r>
            <w:r>
              <w:rPr>
                <w:rFonts w:hint="eastAsia" w:ascii="Times New Roman" w:hAnsi="Times New Roman" w:eastAsia="仿宋_GB2312" w:cs="Times New Roman"/>
                <w:kern w:val="0"/>
                <w:sz w:val="20"/>
                <w:szCs w:val="20"/>
                <w:highlight w:val="none"/>
                <w:lang w:eastAsia="zh-CN"/>
              </w:rPr>
              <w:t>）</w:t>
            </w:r>
          </w:p>
        </w:tc>
        <w:tc>
          <w:tcPr>
            <w:tcW w:w="1071" w:type="dxa"/>
            <w:vAlign w:val="center"/>
          </w:tcPr>
          <w:p w14:paraId="627C1AF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color w:val="auto"/>
                <w:szCs w:val="20"/>
                <w:highlight w:val="none"/>
              </w:rPr>
              <w:t xml:space="preserve">    【法规】《村庄和集镇规划建设管理条例》（1993年中华人民共和国国务院令 第116号发布）</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686" w:type="dxa"/>
            <w:gridSpan w:val="2"/>
            <w:vAlign w:val="center"/>
          </w:tcPr>
          <w:p w14:paraId="2DA2FB6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9" w:type="dxa"/>
            <w:gridSpan w:val="2"/>
            <w:vAlign w:val="center"/>
          </w:tcPr>
          <w:p w14:paraId="1E50B49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EB46C9B"/>
    <w:tbl>
      <w:tblPr>
        <w:tblStyle w:val="4"/>
        <w:tblW w:w="21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3214"/>
        <w:gridCol w:w="2872"/>
        <w:gridCol w:w="3639"/>
        <w:gridCol w:w="989"/>
        <w:gridCol w:w="796"/>
      </w:tblGrid>
      <w:tr w14:paraId="5764D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9D96F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46A19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0D8D30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5" w:type="dxa"/>
            <w:gridSpan w:val="5"/>
            <w:vAlign w:val="center"/>
          </w:tcPr>
          <w:p w14:paraId="0A0917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6" w:type="dxa"/>
            <w:vMerge w:val="restart"/>
            <w:vAlign w:val="center"/>
          </w:tcPr>
          <w:p w14:paraId="2A24EA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A437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A7C4D9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94A419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CEAA5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0ED7E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049D5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36DCE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53E8C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3EE2F9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6C8127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06EEB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214" w:type="dxa"/>
            <w:vAlign w:val="center"/>
          </w:tcPr>
          <w:p w14:paraId="6B6550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872" w:type="dxa"/>
            <w:vAlign w:val="center"/>
          </w:tcPr>
          <w:p w14:paraId="11E0EB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39" w:type="dxa"/>
            <w:vAlign w:val="center"/>
          </w:tcPr>
          <w:p w14:paraId="6CB618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9" w:type="dxa"/>
            <w:vAlign w:val="center"/>
          </w:tcPr>
          <w:p w14:paraId="58CA67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459E5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6" w:type="dxa"/>
            <w:vMerge w:val="continue"/>
            <w:vAlign w:val="center"/>
          </w:tcPr>
          <w:p w14:paraId="3289C35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09CC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10" w:hRule="atLeast"/>
          <w:jc w:val="center"/>
        </w:trPr>
        <w:tc>
          <w:tcPr>
            <w:tcW w:w="406" w:type="dxa"/>
            <w:vAlign w:val="center"/>
          </w:tcPr>
          <w:p w14:paraId="2BB87AB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9</w:t>
            </w:r>
          </w:p>
        </w:tc>
        <w:tc>
          <w:tcPr>
            <w:tcW w:w="476" w:type="dxa"/>
            <w:vAlign w:val="center"/>
          </w:tcPr>
          <w:p w14:paraId="0F862AFF">
            <w:pPr>
              <w:adjustRightInd w:val="0"/>
              <w:snapToGrid w:val="0"/>
              <w:spacing w:line="288"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其他行政权力</w:t>
            </w:r>
          </w:p>
        </w:tc>
        <w:tc>
          <w:tcPr>
            <w:tcW w:w="550" w:type="dxa"/>
            <w:vAlign w:val="center"/>
          </w:tcPr>
          <w:p w14:paraId="25315AA8">
            <w:pPr>
              <w:adjustRightInd w:val="0"/>
              <w:snapToGrid w:val="0"/>
              <w:spacing w:line="288"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业主委员会成立备案</w:t>
            </w:r>
          </w:p>
        </w:tc>
        <w:tc>
          <w:tcPr>
            <w:tcW w:w="650" w:type="dxa"/>
            <w:vAlign w:val="center"/>
          </w:tcPr>
          <w:p w14:paraId="76BE277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EE32BB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37A0ADB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百寿镇乡村建设综合服务中心</w:t>
            </w:r>
          </w:p>
        </w:tc>
        <w:tc>
          <w:tcPr>
            <w:tcW w:w="4339" w:type="dxa"/>
            <w:vAlign w:val="center"/>
          </w:tcPr>
          <w:p w14:paraId="4E1829DD">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1.【行政法规】《物业管</w:t>
            </w:r>
            <w:r>
              <w:rPr>
                <w:rStyle w:val="8"/>
                <w:rFonts w:hint="default" w:ascii="Times New Roman" w:hAnsi="Times New Roman" w:eastAsia="仿宋_GB2312" w:cs="Times New Roman"/>
                <w:snapToGrid w:val="0"/>
                <w:highlight w:val="none"/>
              </w:rPr>
              <w:t>理条例》（</w:t>
            </w:r>
            <w:r>
              <w:rPr>
                <w:rStyle w:val="7"/>
                <w:rFonts w:hint="default" w:ascii="Times New Roman" w:hAnsi="Times New Roman" w:eastAsia="仿宋_GB2312" w:cs="Times New Roman"/>
                <w:snapToGrid w:val="0"/>
                <w:highlight w:val="none"/>
              </w:rPr>
              <w:t>2003年国</w:t>
            </w:r>
            <w:r>
              <w:rPr>
                <w:rStyle w:val="8"/>
                <w:rFonts w:hint="default" w:ascii="Times New Roman" w:hAnsi="Times New Roman" w:eastAsia="仿宋_GB2312" w:cs="Times New Roman"/>
                <w:snapToGrid w:val="0"/>
                <w:highlight w:val="none"/>
              </w:rPr>
              <w:t>务院令</w:t>
            </w:r>
            <w:r>
              <w:rPr>
                <w:rStyle w:val="7"/>
                <w:rFonts w:hint="default" w:ascii="Times New Roman" w:hAnsi="Times New Roman" w:eastAsia="仿宋_GB2312" w:cs="Times New Roman"/>
                <w:snapToGrid w:val="0"/>
                <w:highlight w:val="none"/>
              </w:rPr>
              <w:t>第379</w:t>
            </w:r>
            <w:r>
              <w:rPr>
                <w:rStyle w:val="8"/>
                <w:rFonts w:hint="default" w:ascii="Times New Roman" w:hAnsi="Times New Roman" w:eastAsia="仿宋_GB2312" w:cs="Times New Roman"/>
                <w:snapToGrid w:val="0"/>
                <w:highlight w:val="none"/>
              </w:rPr>
              <w:t>号公布，</w:t>
            </w:r>
            <w:r>
              <w:rPr>
                <w:rStyle w:val="7"/>
                <w:rFonts w:hint="default" w:ascii="Times New Roman" w:hAnsi="Times New Roman" w:eastAsia="仿宋_GB2312" w:cs="Times New Roman"/>
                <w:snapToGrid w:val="0"/>
                <w:highlight w:val="none"/>
              </w:rPr>
              <w:t>2018年国</w:t>
            </w:r>
            <w:r>
              <w:rPr>
                <w:rStyle w:val="8"/>
                <w:rFonts w:hint="default" w:ascii="Times New Roman" w:hAnsi="Times New Roman" w:eastAsia="仿宋_GB2312" w:cs="Times New Roman"/>
                <w:snapToGrid w:val="0"/>
                <w:highlight w:val="none"/>
              </w:rPr>
              <w:t>务院令第6</w:t>
            </w:r>
            <w:r>
              <w:rPr>
                <w:rStyle w:val="7"/>
                <w:rFonts w:hint="default" w:ascii="Times New Roman" w:hAnsi="Times New Roman" w:eastAsia="仿宋_GB2312" w:cs="Times New Roman"/>
                <w:snapToGrid w:val="0"/>
                <w:highlight w:val="none"/>
              </w:rPr>
              <w:t>9</w:t>
            </w:r>
            <w:r>
              <w:rPr>
                <w:rStyle w:val="8"/>
                <w:rFonts w:hint="default" w:ascii="Times New Roman" w:hAnsi="Times New Roman" w:eastAsia="仿宋_GB2312" w:cs="Times New Roman"/>
                <w:snapToGrid w:val="0"/>
                <w:highlight w:val="none"/>
              </w:rPr>
              <w:t>8</w:t>
            </w:r>
            <w:r>
              <w:rPr>
                <w:rStyle w:val="7"/>
                <w:rFonts w:hint="default" w:ascii="Times New Roman" w:hAnsi="Times New Roman" w:eastAsia="仿宋_GB2312" w:cs="Times New Roman"/>
                <w:snapToGrid w:val="0"/>
                <w:highlight w:val="none"/>
              </w:rPr>
              <w:t>号修</w:t>
            </w:r>
            <w:r>
              <w:rPr>
                <w:rStyle w:val="7"/>
                <w:rFonts w:hint="default" w:ascii="Times New Roman" w:hAnsi="Times New Roman" w:eastAsia="仿宋_GB2312" w:cs="Times New Roman"/>
                <w:snapToGrid w:val="0"/>
                <w:spacing w:val="-4"/>
                <w:highlight w:val="none"/>
              </w:rPr>
              <w:t>订）</w:t>
            </w:r>
            <w:r>
              <w:rPr>
                <w:rStyle w:val="8"/>
                <w:rFonts w:hint="default" w:ascii="Times New Roman" w:hAnsi="Times New Roman" w:eastAsia="仿宋_GB2312" w:cs="Times New Roman"/>
                <w:snapToGrid w:val="0"/>
                <w:spacing w:val="-4"/>
                <w:highlight w:val="none"/>
              </w:rPr>
              <w:t>第</w:t>
            </w:r>
            <w:r>
              <w:rPr>
                <w:rStyle w:val="7"/>
                <w:rFonts w:hint="default" w:ascii="Times New Roman" w:hAnsi="Times New Roman" w:eastAsia="仿宋_GB2312" w:cs="Times New Roman"/>
                <w:snapToGrid w:val="0"/>
                <w:spacing w:val="-4"/>
                <w:highlight w:val="none"/>
              </w:rPr>
              <w:t>十六条：业主委员会应当自选举产</w:t>
            </w:r>
            <w:r>
              <w:rPr>
                <w:rStyle w:val="8"/>
                <w:rFonts w:hint="default" w:ascii="Times New Roman" w:hAnsi="Times New Roman" w:eastAsia="仿宋_GB2312" w:cs="Times New Roman"/>
                <w:snapToGrid w:val="0"/>
                <w:spacing w:val="-4"/>
                <w:highlight w:val="none"/>
              </w:rPr>
              <w:t>生之</w:t>
            </w:r>
            <w:r>
              <w:rPr>
                <w:rStyle w:val="7"/>
                <w:rFonts w:hint="default" w:ascii="Times New Roman" w:hAnsi="Times New Roman" w:eastAsia="仿宋_GB2312" w:cs="Times New Roman"/>
                <w:snapToGrid w:val="0"/>
                <w:spacing w:val="-4"/>
                <w:highlight w:val="none"/>
              </w:rPr>
              <w:t>日起30日内，向物业所在地的区、县人民政府房地产行政主管</w:t>
            </w:r>
            <w:r>
              <w:rPr>
                <w:rStyle w:val="7"/>
                <w:rFonts w:hint="default" w:ascii="Times New Roman" w:hAnsi="Times New Roman" w:eastAsia="仿宋_GB2312" w:cs="Times New Roman"/>
                <w:snapToGrid w:val="0"/>
                <w:highlight w:val="none"/>
              </w:rPr>
              <w:t>部门和街道办事处、乡镇人民政</w:t>
            </w:r>
            <w:r>
              <w:rPr>
                <w:rStyle w:val="8"/>
                <w:rFonts w:hint="default" w:ascii="Times New Roman" w:hAnsi="Times New Roman" w:eastAsia="仿宋_GB2312" w:cs="Times New Roman"/>
                <w:snapToGrid w:val="0"/>
                <w:highlight w:val="none"/>
              </w:rPr>
              <w:t>府备案。</w:t>
            </w:r>
          </w:p>
          <w:p w14:paraId="66B3DE56">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2.【地方性法规】《广西壮族自治区物业管理</w:t>
            </w:r>
            <w:r>
              <w:rPr>
                <w:rStyle w:val="8"/>
                <w:rFonts w:hint="default" w:ascii="Times New Roman" w:hAnsi="Times New Roman" w:eastAsia="仿宋_GB2312" w:cs="Times New Roman"/>
                <w:snapToGrid w:val="0"/>
                <w:highlight w:val="none"/>
              </w:rPr>
              <w:t>条例》（</w:t>
            </w:r>
            <w:r>
              <w:rPr>
                <w:rStyle w:val="7"/>
                <w:rFonts w:hint="default" w:ascii="Times New Roman" w:hAnsi="Times New Roman" w:eastAsia="仿宋_GB2312" w:cs="Times New Roman"/>
                <w:snapToGrid w:val="0"/>
                <w:highlight w:val="none"/>
              </w:rPr>
              <w:t>2001年广西壮族自治区第九届人民代表大会常务委员会第二十四次会</w:t>
            </w:r>
            <w:r>
              <w:rPr>
                <w:rStyle w:val="8"/>
                <w:rFonts w:hint="default" w:ascii="Times New Roman" w:hAnsi="Times New Roman" w:eastAsia="仿宋_GB2312" w:cs="Times New Roman"/>
                <w:snapToGrid w:val="0"/>
                <w:highlight w:val="none"/>
              </w:rPr>
              <w:t>议通过，</w:t>
            </w:r>
            <w:r>
              <w:rPr>
                <w:rStyle w:val="7"/>
                <w:rFonts w:hint="default" w:ascii="Times New Roman" w:hAnsi="Times New Roman" w:eastAsia="仿宋_GB2312" w:cs="Times New Roman"/>
                <w:snapToGrid w:val="0"/>
                <w:highlight w:val="none"/>
              </w:rPr>
              <w:t>2020年广西壮族自治区人大常委会公告（</w:t>
            </w:r>
            <w:r>
              <w:rPr>
                <w:rStyle w:val="8"/>
                <w:rFonts w:hint="default" w:ascii="Times New Roman" w:hAnsi="Times New Roman" w:eastAsia="仿宋_GB2312" w:cs="Times New Roman"/>
                <w:snapToGrid w:val="0"/>
                <w:highlight w:val="none"/>
              </w:rPr>
              <w:t>十三</w:t>
            </w:r>
            <w:r>
              <w:rPr>
                <w:rStyle w:val="7"/>
                <w:rFonts w:hint="default" w:ascii="Times New Roman" w:hAnsi="Times New Roman" w:eastAsia="仿宋_GB2312" w:cs="Times New Roman"/>
                <w:snapToGrid w:val="0"/>
                <w:highlight w:val="none"/>
              </w:rPr>
              <w:t>届第33号）修订）第三十三条：业主委员会自选举产生之日起</w:t>
            </w:r>
            <w:r>
              <w:rPr>
                <w:rStyle w:val="8"/>
                <w:rFonts w:hint="default" w:ascii="Times New Roman" w:hAnsi="Times New Roman" w:eastAsia="仿宋_GB2312" w:cs="Times New Roman"/>
                <w:snapToGrid w:val="0"/>
                <w:highlight w:val="none"/>
              </w:rPr>
              <w:t>三十</w:t>
            </w:r>
            <w:r>
              <w:rPr>
                <w:rStyle w:val="7"/>
                <w:rFonts w:hint="default" w:ascii="Times New Roman" w:hAnsi="Times New Roman" w:eastAsia="仿宋_GB2312" w:cs="Times New Roman"/>
                <w:snapToGrid w:val="0"/>
                <w:highlight w:val="none"/>
              </w:rPr>
              <w:t>日内，持下列资料向街道办事处或者乡镇人民</w:t>
            </w:r>
            <w:r>
              <w:rPr>
                <w:rStyle w:val="8"/>
                <w:rFonts w:hint="default" w:ascii="Times New Roman" w:hAnsi="Times New Roman" w:eastAsia="仿宋_GB2312" w:cs="Times New Roman"/>
                <w:snapToGrid w:val="0"/>
                <w:highlight w:val="none"/>
              </w:rPr>
              <w:t>政府备</w:t>
            </w:r>
            <w:r>
              <w:rPr>
                <w:rStyle w:val="7"/>
                <w:rFonts w:hint="default" w:ascii="Times New Roman" w:hAnsi="Times New Roman" w:eastAsia="仿宋_GB2312" w:cs="Times New Roman"/>
                <w:snapToGrid w:val="0"/>
                <w:highlight w:val="none"/>
              </w:rPr>
              <w:t>案</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一） 业主大会成立和业主委员会</w:t>
            </w:r>
            <w:r>
              <w:rPr>
                <w:rStyle w:val="8"/>
                <w:rFonts w:hint="default" w:ascii="Times New Roman" w:hAnsi="Times New Roman" w:eastAsia="仿宋_GB2312" w:cs="Times New Roman"/>
                <w:snapToGrid w:val="0"/>
                <w:highlight w:val="none"/>
              </w:rPr>
              <w:t>选举情</w:t>
            </w:r>
            <w:r>
              <w:rPr>
                <w:rStyle w:val="7"/>
                <w:rFonts w:hint="default" w:ascii="Times New Roman" w:hAnsi="Times New Roman" w:eastAsia="仿宋_GB2312" w:cs="Times New Roman"/>
                <w:snapToGrid w:val="0"/>
                <w:highlight w:val="none"/>
              </w:rPr>
              <w:t>况</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二）业主大会议事规则、管理规约以及业主大会议事规则、管理规约内容与示范文本内容不一</w:t>
            </w:r>
            <w:r>
              <w:rPr>
                <w:rStyle w:val="8"/>
                <w:rFonts w:hint="default" w:ascii="Times New Roman" w:hAnsi="Times New Roman" w:eastAsia="仿宋_GB2312" w:cs="Times New Roman"/>
                <w:snapToGrid w:val="0"/>
                <w:highlight w:val="none"/>
              </w:rPr>
              <w:t>致的说</w:t>
            </w:r>
            <w:r>
              <w:rPr>
                <w:rStyle w:val="7"/>
                <w:rFonts w:hint="default" w:ascii="Times New Roman" w:hAnsi="Times New Roman" w:eastAsia="仿宋_GB2312" w:cs="Times New Roman"/>
                <w:snapToGrid w:val="0"/>
                <w:highlight w:val="none"/>
              </w:rPr>
              <w:t>明</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三）业主委员会委员、候补委员的名单、基本情况和书面承诺。前款所列资</w:t>
            </w:r>
            <w:r>
              <w:rPr>
                <w:rStyle w:val="8"/>
                <w:rFonts w:hint="default" w:ascii="Times New Roman" w:hAnsi="Times New Roman" w:eastAsia="仿宋_GB2312" w:cs="Times New Roman"/>
                <w:snapToGrid w:val="0"/>
                <w:highlight w:val="none"/>
              </w:rPr>
              <w:t>料齐</w:t>
            </w:r>
            <w:r>
              <w:rPr>
                <w:rStyle w:val="7"/>
                <w:rFonts w:hint="default" w:ascii="Times New Roman" w:hAnsi="Times New Roman" w:eastAsia="仿宋_GB2312" w:cs="Times New Roman"/>
                <w:snapToGrid w:val="0"/>
                <w:highlight w:val="none"/>
              </w:rPr>
              <w:t>全的，街道办事处或者乡镇人民政府应当自收到资料起五个工作日内出具业主大会、业主委员会</w:t>
            </w:r>
            <w:r>
              <w:rPr>
                <w:rStyle w:val="8"/>
                <w:rFonts w:hint="default" w:ascii="Times New Roman" w:hAnsi="Times New Roman" w:eastAsia="仿宋_GB2312" w:cs="Times New Roman"/>
                <w:snapToGrid w:val="0"/>
                <w:highlight w:val="none"/>
              </w:rPr>
              <w:t>备</w:t>
            </w:r>
            <w:r>
              <w:rPr>
                <w:rStyle w:val="7"/>
                <w:rFonts w:hint="default" w:ascii="Times New Roman" w:hAnsi="Times New Roman" w:eastAsia="仿宋_GB2312" w:cs="Times New Roman"/>
                <w:snapToGrid w:val="0"/>
                <w:highlight w:val="none"/>
              </w:rPr>
              <w:t>案文书，并将备案资料抄送县级人民政府住房城乡建设主管部门。备案文书应当载明业主</w:t>
            </w:r>
            <w:r>
              <w:rPr>
                <w:rStyle w:val="8"/>
                <w:rFonts w:hint="default" w:ascii="Times New Roman" w:hAnsi="Times New Roman" w:eastAsia="仿宋_GB2312" w:cs="Times New Roman"/>
                <w:snapToGrid w:val="0"/>
                <w:highlight w:val="none"/>
              </w:rPr>
              <w:t>大会</w:t>
            </w:r>
            <w:r>
              <w:rPr>
                <w:rStyle w:val="7"/>
                <w:rFonts w:hint="default" w:ascii="Times New Roman" w:hAnsi="Times New Roman" w:eastAsia="仿宋_GB2312" w:cs="Times New Roman"/>
                <w:snapToGrid w:val="0"/>
                <w:highlight w:val="none"/>
              </w:rPr>
              <w:t>名称，业主委</w:t>
            </w:r>
            <w:r>
              <w:rPr>
                <w:rStyle w:val="8"/>
                <w:rFonts w:hint="default" w:ascii="Times New Roman" w:hAnsi="Times New Roman" w:eastAsia="仿宋_GB2312" w:cs="Times New Roman"/>
                <w:snapToGrid w:val="0"/>
                <w:highlight w:val="none"/>
              </w:rPr>
              <w:t>员会</w:t>
            </w:r>
            <w:r>
              <w:rPr>
                <w:rStyle w:val="7"/>
                <w:rFonts w:hint="default" w:ascii="Times New Roman" w:hAnsi="Times New Roman" w:eastAsia="仿宋_GB2312" w:cs="Times New Roman"/>
                <w:snapToGrid w:val="0"/>
                <w:highlight w:val="none"/>
              </w:rPr>
              <w:t>名称，委员、候补</w:t>
            </w:r>
            <w:r>
              <w:rPr>
                <w:rStyle w:val="8"/>
                <w:rFonts w:hint="default" w:ascii="Times New Roman" w:hAnsi="Times New Roman" w:eastAsia="仿宋_GB2312" w:cs="Times New Roman"/>
                <w:snapToGrid w:val="0"/>
                <w:highlight w:val="none"/>
              </w:rPr>
              <w:t>委员</w:t>
            </w:r>
            <w:r>
              <w:rPr>
                <w:rStyle w:val="7"/>
                <w:rFonts w:hint="default" w:ascii="Times New Roman" w:hAnsi="Times New Roman" w:eastAsia="仿宋_GB2312" w:cs="Times New Roman"/>
                <w:snapToGrid w:val="0"/>
                <w:highlight w:val="none"/>
              </w:rPr>
              <w:t>名单，届别、任期、负责人和办公地址。业主大会议事规则、管理规约、业主委员会委员发</w:t>
            </w:r>
            <w:r>
              <w:rPr>
                <w:rStyle w:val="8"/>
                <w:rFonts w:hint="default" w:ascii="Times New Roman" w:hAnsi="Times New Roman" w:eastAsia="仿宋_GB2312" w:cs="Times New Roman"/>
                <w:snapToGrid w:val="0"/>
                <w:highlight w:val="none"/>
              </w:rPr>
              <w:t>生</w:t>
            </w:r>
            <w:r>
              <w:rPr>
                <w:rStyle w:val="7"/>
                <w:rFonts w:hint="default" w:ascii="Times New Roman" w:hAnsi="Times New Roman" w:eastAsia="仿宋_GB2312" w:cs="Times New Roman"/>
                <w:snapToGrid w:val="0"/>
                <w:highlight w:val="none"/>
              </w:rPr>
              <w:t>变更的，业主委员会应当自变更之日起十五日内将变更后有关情况按照本条第一款的规定进行备案。因物业管理区域调整、物业灭失或者其他原因致使业主委员会无</w:t>
            </w:r>
            <w:r>
              <w:rPr>
                <w:rStyle w:val="8"/>
                <w:rFonts w:hint="default" w:ascii="Times New Roman" w:hAnsi="Times New Roman" w:eastAsia="仿宋_GB2312" w:cs="Times New Roman"/>
                <w:snapToGrid w:val="0"/>
                <w:highlight w:val="none"/>
              </w:rPr>
              <w:t>法存</w:t>
            </w:r>
            <w:r>
              <w:rPr>
                <w:rStyle w:val="7"/>
                <w:rFonts w:hint="default" w:ascii="Times New Roman" w:hAnsi="Times New Roman" w:eastAsia="仿宋_GB2312" w:cs="Times New Roman"/>
                <w:snapToGrid w:val="0"/>
                <w:highlight w:val="none"/>
              </w:rPr>
              <w:t>续的，业主委员会应当在三十日内向街道办事处或者乡镇人民政府办理注销备案手续。</w:t>
            </w:r>
          </w:p>
          <w:p w14:paraId="491BFFAE">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p>
          <w:p w14:paraId="4C83884F">
            <w:pPr>
              <w:adjustRightInd w:val="0"/>
              <w:snapToGrid w:val="0"/>
              <w:spacing w:line="300" w:lineRule="exact"/>
              <w:ind w:left="0" w:leftChars="0" w:firstLine="0" w:firstLineChars="0"/>
              <w:jc w:val="center"/>
              <w:rPr>
                <w:rStyle w:val="7"/>
                <w:rFonts w:hint="default" w:ascii="Times New Roman" w:hAnsi="Times New Roman" w:eastAsia="仿宋_GB2312" w:cs="Times New Roman"/>
                <w:snapToGrid w:val="0"/>
                <w:highlight w:val="none"/>
              </w:rPr>
            </w:pPr>
          </w:p>
        </w:tc>
        <w:tc>
          <w:tcPr>
            <w:tcW w:w="1951" w:type="dxa"/>
            <w:vAlign w:val="center"/>
          </w:tcPr>
          <w:p w14:paraId="4B428A56">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1.受理责任：受理备案申请，并告知申请人办理备案</w:t>
            </w:r>
            <w:r>
              <w:rPr>
                <w:rStyle w:val="8"/>
                <w:rFonts w:hint="default" w:ascii="Times New Roman" w:hAnsi="Times New Roman" w:eastAsia="仿宋_GB2312" w:cs="Times New Roman"/>
                <w:snapToGrid w:val="0"/>
                <w:highlight w:val="none"/>
              </w:rPr>
              <w:t>的相关事项。</w:t>
            </w:r>
          </w:p>
          <w:p w14:paraId="4C18C876">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2.审查责任：审查备案资料，材料不齐全的一次性告知，不符合法</w:t>
            </w:r>
            <w:r>
              <w:rPr>
                <w:rStyle w:val="8"/>
                <w:rFonts w:hint="default" w:ascii="Times New Roman" w:hAnsi="Times New Roman" w:eastAsia="仿宋_GB2312" w:cs="Times New Roman"/>
                <w:snapToGrid w:val="0"/>
                <w:highlight w:val="none"/>
              </w:rPr>
              <w:t>定条件的退回.</w:t>
            </w:r>
          </w:p>
          <w:p w14:paraId="09B1E85D">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3.决定阶段：建设行政主管部门作出同意或不同意的决定，不同意的告知不予许可的理由，按时办结</w:t>
            </w:r>
            <w:r>
              <w:rPr>
                <w:rStyle w:val="8"/>
                <w:rFonts w:hint="default" w:ascii="Times New Roman" w:hAnsi="Times New Roman" w:eastAsia="仿宋_GB2312" w:cs="Times New Roman"/>
                <w:snapToGrid w:val="0"/>
                <w:highlight w:val="none"/>
              </w:rPr>
              <w:t>，依法告知。</w:t>
            </w:r>
          </w:p>
          <w:p w14:paraId="12887685">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4.事后监督：加强后</w:t>
            </w:r>
            <w:r>
              <w:rPr>
                <w:rStyle w:val="8"/>
                <w:rFonts w:hint="default" w:ascii="Times New Roman" w:hAnsi="Times New Roman" w:eastAsia="仿宋_GB2312" w:cs="Times New Roman"/>
                <w:snapToGrid w:val="0"/>
                <w:highlight w:val="none"/>
              </w:rPr>
              <w:t>续监督检查。</w:t>
            </w:r>
          </w:p>
          <w:p w14:paraId="674BE057">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5.其他法律法规规章文件规定应</w:t>
            </w:r>
            <w:r>
              <w:rPr>
                <w:rStyle w:val="8"/>
                <w:rFonts w:hint="default" w:ascii="Times New Roman" w:hAnsi="Times New Roman" w:eastAsia="仿宋_GB2312" w:cs="Times New Roman"/>
                <w:snapToGrid w:val="0"/>
                <w:highlight w:val="none"/>
              </w:rPr>
              <w:t>履行的责任。</w:t>
            </w:r>
          </w:p>
          <w:p w14:paraId="08D90F0B">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p>
          <w:p w14:paraId="216DECD9">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百寿镇乡村建设综合服务中心</w:t>
            </w:r>
            <w:r>
              <w:rPr>
                <w:rStyle w:val="7"/>
                <w:rFonts w:hint="eastAsia" w:eastAsia="仿宋_GB2312" w:cs="Times New Roman"/>
                <w:snapToGrid w:val="0"/>
                <w:highlight w:val="none"/>
                <w:lang w:eastAsia="zh-CN"/>
              </w:rPr>
              <w:t>）</w:t>
            </w:r>
          </w:p>
        </w:tc>
        <w:tc>
          <w:tcPr>
            <w:tcW w:w="3214" w:type="dxa"/>
            <w:vAlign w:val="center"/>
          </w:tcPr>
          <w:p w14:paraId="0A3916F1">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1.【行政法规】《物业管</w:t>
            </w:r>
            <w:r>
              <w:rPr>
                <w:rStyle w:val="8"/>
                <w:rFonts w:hint="default" w:ascii="Times New Roman" w:hAnsi="Times New Roman" w:eastAsia="仿宋_GB2312" w:cs="Times New Roman"/>
                <w:snapToGrid w:val="0"/>
                <w:highlight w:val="none"/>
              </w:rPr>
              <w:t>理条例》（</w:t>
            </w:r>
            <w:r>
              <w:rPr>
                <w:rStyle w:val="7"/>
                <w:rFonts w:hint="default" w:ascii="Times New Roman" w:hAnsi="Times New Roman" w:eastAsia="仿宋_GB2312" w:cs="Times New Roman"/>
                <w:snapToGrid w:val="0"/>
                <w:highlight w:val="none"/>
              </w:rPr>
              <w:t>2003年国</w:t>
            </w:r>
            <w:r>
              <w:rPr>
                <w:rStyle w:val="8"/>
                <w:rFonts w:hint="default" w:ascii="Times New Roman" w:hAnsi="Times New Roman" w:eastAsia="仿宋_GB2312" w:cs="Times New Roman"/>
                <w:snapToGrid w:val="0"/>
                <w:highlight w:val="none"/>
              </w:rPr>
              <w:t>务院令</w:t>
            </w:r>
            <w:r>
              <w:rPr>
                <w:rStyle w:val="7"/>
                <w:rFonts w:hint="default" w:ascii="Times New Roman" w:hAnsi="Times New Roman" w:eastAsia="仿宋_GB2312" w:cs="Times New Roman"/>
                <w:snapToGrid w:val="0"/>
                <w:highlight w:val="none"/>
              </w:rPr>
              <w:t>第379</w:t>
            </w:r>
            <w:r>
              <w:rPr>
                <w:rStyle w:val="8"/>
                <w:rFonts w:hint="default" w:ascii="Times New Roman" w:hAnsi="Times New Roman" w:eastAsia="仿宋_GB2312" w:cs="Times New Roman"/>
                <w:snapToGrid w:val="0"/>
                <w:highlight w:val="none"/>
              </w:rPr>
              <w:t>号公布，</w:t>
            </w:r>
            <w:r>
              <w:rPr>
                <w:rStyle w:val="7"/>
                <w:rFonts w:hint="default" w:ascii="Times New Roman" w:hAnsi="Times New Roman" w:eastAsia="仿宋_GB2312" w:cs="Times New Roman"/>
                <w:snapToGrid w:val="0"/>
                <w:highlight w:val="none"/>
              </w:rPr>
              <w:t>2018年国</w:t>
            </w:r>
            <w:r>
              <w:rPr>
                <w:rStyle w:val="8"/>
                <w:rFonts w:hint="default" w:ascii="Times New Roman" w:hAnsi="Times New Roman" w:eastAsia="仿宋_GB2312" w:cs="Times New Roman"/>
                <w:snapToGrid w:val="0"/>
                <w:highlight w:val="none"/>
              </w:rPr>
              <w:t>务院令第6</w:t>
            </w:r>
            <w:r>
              <w:rPr>
                <w:rStyle w:val="7"/>
                <w:rFonts w:hint="default" w:ascii="Times New Roman" w:hAnsi="Times New Roman" w:eastAsia="仿宋_GB2312" w:cs="Times New Roman"/>
                <w:snapToGrid w:val="0"/>
                <w:highlight w:val="none"/>
              </w:rPr>
              <w:t>9</w:t>
            </w:r>
            <w:r>
              <w:rPr>
                <w:rStyle w:val="8"/>
                <w:rFonts w:hint="default" w:ascii="Times New Roman" w:hAnsi="Times New Roman" w:eastAsia="仿宋_GB2312" w:cs="Times New Roman"/>
                <w:snapToGrid w:val="0"/>
                <w:highlight w:val="none"/>
              </w:rPr>
              <w:t>8</w:t>
            </w:r>
            <w:r>
              <w:rPr>
                <w:rStyle w:val="7"/>
                <w:rFonts w:hint="default" w:ascii="Times New Roman" w:hAnsi="Times New Roman" w:eastAsia="仿宋_GB2312" w:cs="Times New Roman"/>
                <w:snapToGrid w:val="0"/>
                <w:highlight w:val="none"/>
              </w:rPr>
              <w:t>号修</w:t>
            </w:r>
            <w:r>
              <w:rPr>
                <w:rStyle w:val="7"/>
                <w:rFonts w:hint="default" w:ascii="Times New Roman" w:hAnsi="Times New Roman" w:eastAsia="仿宋_GB2312" w:cs="Times New Roman"/>
                <w:snapToGrid w:val="0"/>
                <w:spacing w:val="-4"/>
                <w:highlight w:val="none"/>
              </w:rPr>
              <w:t>订）</w:t>
            </w:r>
            <w:r>
              <w:rPr>
                <w:rStyle w:val="7"/>
                <w:rFonts w:hint="default" w:ascii="Times New Roman" w:hAnsi="Times New Roman" w:eastAsia="仿宋_GB2312" w:cs="Times New Roman"/>
                <w:snapToGrid w:val="0"/>
                <w:highlight w:val="none"/>
              </w:rPr>
              <w:t>第十六条：业主委员会应当自选</w:t>
            </w:r>
            <w:r>
              <w:rPr>
                <w:rStyle w:val="8"/>
                <w:rFonts w:hint="default" w:ascii="Times New Roman" w:hAnsi="Times New Roman" w:eastAsia="仿宋_GB2312" w:cs="Times New Roman"/>
                <w:snapToGrid w:val="0"/>
                <w:highlight w:val="none"/>
              </w:rPr>
              <w:t>举产</w:t>
            </w:r>
            <w:r>
              <w:rPr>
                <w:rStyle w:val="7"/>
                <w:rFonts w:hint="default" w:ascii="Times New Roman" w:hAnsi="Times New Roman" w:eastAsia="仿宋_GB2312" w:cs="Times New Roman"/>
                <w:snapToGrid w:val="0"/>
                <w:highlight w:val="none"/>
              </w:rPr>
              <w:t>生之日起30日内，向物业所在地的区、县人民政府房地产行政主管部门和街道办事处、乡镇人</w:t>
            </w:r>
            <w:r>
              <w:rPr>
                <w:rStyle w:val="8"/>
                <w:rFonts w:hint="default" w:ascii="Times New Roman" w:hAnsi="Times New Roman" w:eastAsia="仿宋_GB2312" w:cs="Times New Roman"/>
                <w:snapToGrid w:val="0"/>
                <w:highlight w:val="none"/>
              </w:rPr>
              <w:t>民政府备案。</w:t>
            </w:r>
          </w:p>
          <w:p w14:paraId="06E70246">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仿宋_GB2312" w:cs="Times New Roman"/>
                <w:snapToGrid w:val="0"/>
                <w:highlight w:val="none"/>
              </w:rPr>
              <w:t>第</w:t>
            </w:r>
            <w:r>
              <w:rPr>
                <w:rStyle w:val="9"/>
                <w:rFonts w:hint="default" w:ascii="Times New Roman" w:hAnsi="Times New Roman" w:eastAsia="仿宋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仿宋_GB2312" w:cs="Times New Roman"/>
                <w:snapToGrid w:val="0"/>
                <w:highlight w:val="none"/>
              </w:rPr>
              <w:t>的途径和期限……</w:t>
            </w:r>
          </w:p>
          <w:p w14:paraId="225DD158">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8"/>
                <w:rFonts w:hint="default" w:ascii="Times New Roman" w:hAnsi="Times New Roman" w:eastAsia="仿宋_GB2312" w:cs="Times New Roman"/>
                <w:snapToGrid w:val="0"/>
                <w:highlight w:val="none"/>
              </w:rPr>
              <w:t>3.同2.</w:t>
            </w:r>
          </w:p>
          <w:p w14:paraId="746EEA38">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highlight w:val="none"/>
              </w:rPr>
              <w:t>4.同1.</w:t>
            </w:r>
          </w:p>
        </w:tc>
        <w:tc>
          <w:tcPr>
            <w:tcW w:w="2872" w:type="dxa"/>
            <w:vAlign w:val="center"/>
          </w:tcPr>
          <w:p w14:paraId="577545BF">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因不履行或不正确履行行政职责，有下列情形的，行政机关及相关工作人员应承担相应责任：</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1.对符合受理条件而不予受理的；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2.对不符合受理条件予以备案的；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3.擅自增设备案程序或条件的；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4.在备案过程中玩忽职守、滥用职权，贻误工作或导致侵害相关组织合法权益的；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5.在备案过程中发生腐败行为的；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6.其他违反法律法规规章文件规定的行为。</w:t>
            </w:r>
          </w:p>
          <w:p w14:paraId="594D7580">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p>
          <w:p w14:paraId="0E7C8E7F">
            <w:pPr>
              <w:adjustRightInd w:val="0"/>
              <w:snapToGrid w:val="0"/>
              <w:spacing w:line="300" w:lineRule="exact"/>
              <w:ind w:left="0" w:leftChars="0" w:firstLine="0" w:firstLineChars="0"/>
              <w:jc w:val="center"/>
              <w:rPr>
                <w:rStyle w:val="7"/>
                <w:rFonts w:hint="default" w:ascii="Times New Roman" w:hAnsi="Times New Roman" w:eastAsia="仿宋_GB2312" w:cs="Times New Roman"/>
                <w:snapToGrid w:val="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3639" w:type="dxa"/>
            <w:vAlign w:val="center"/>
          </w:tcPr>
          <w:p w14:paraId="56B9C62A">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1.【法规】《物业管理条例》（2003年6月8日中华人民共和国国务院令第379号公布 根据2007年8月26日《国务院关于修改〈物业管理条例〉的决定》修订）</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第六十七条　违反本条例的规定，国务院建设行政主管部门、县级以上地方人民政府房地产行政主管部门或者其他有关行政管理部门的工作人员利用职务上的便利，收受他人财物或者其他好处，不依法履行监督管理职责</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发现违法行为不予查处，构成犯罪的，依法追究刑事责任；尚不构成犯罪的，依法给予行政处分。</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2.【法规】《广西壮族自治区物业管理条例》（2012年11月30日广西壮族自治区第十一届人民代表大会常务委员会第31次会议修订）</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第六十条  县级以上人民政府房产行政主管部门、乡镇人民政府、街道办事处的工作人员违反本条例，有下列情形之一的，由上级行政机关或者主管部门责令改正，并依法给予处分:（一）未按照本条例规定筹备、组织成立业主大会的；（二）未按照本条例规定履行监督检查职责的；（三）违反物业管理投诉处理规定的；（四）发现违法行为或者接到违法行为报告不及时作出处理的；（五）其他玩忽职守、滥用职权、徇私舞弊的情形。</w:t>
            </w:r>
          </w:p>
        </w:tc>
        <w:tc>
          <w:tcPr>
            <w:tcW w:w="989" w:type="dxa"/>
            <w:vAlign w:val="center"/>
          </w:tcPr>
          <w:p w14:paraId="5A4D8955">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Style w:val="7"/>
                <w:rFonts w:hint="default" w:ascii="Times New Roman" w:hAnsi="Times New Roman" w:eastAsia="仿宋_GB2312" w:cs="Times New Roman"/>
                <w:snapToGrid w:val="0"/>
                <w:highlight w:val="none"/>
              </w:rPr>
            </w:pPr>
            <w:r>
              <w:rPr>
                <w:rStyle w:val="7"/>
                <w:rFonts w:hint="eastAsia" w:ascii="Times New Roman" w:hAnsi="Times New Roman" w:eastAsia="仿宋_GB2312" w:cs="Times New Roman"/>
                <w:snapToGrid w:val="0"/>
                <w:highlight w:val="none"/>
              </w:rPr>
              <w:t>法律法规规定的免责情形及有关文件中明确的免责情形</w:t>
            </w:r>
          </w:p>
        </w:tc>
        <w:tc>
          <w:tcPr>
            <w:tcW w:w="796" w:type="dxa"/>
            <w:vAlign w:val="center"/>
          </w:tcPr>
          <w:p w14:paraId="60B32412">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3DD95782"/>
    <w:p w14:paraId="42C33E29"/>
    <w:tbl>
      <w:tblPr>
        <w:tblStyle w:val="4"/>
        <w:tblW w:w="2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4778"/>
        <w:gridCol w:w="2782"/>
        <w:gridCol w:w="2165"/>
        <w:gridCol w:w="987"/>
        <w:gridCol w:w="775"/>
      </w:tblGrid>
      <w:tr w14:paraId="1110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278D8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15E3D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1D1382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3" w:type="dxa"/>
            <w:gridSpan w:val="5"/>
            <w:vAlign w:val="center"/>
          </w:tcPr>
          <w:p w14:paraId="1B819B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75" w:type="dxa"/>
            <w:vMerge w:val="restart"/>
            <w:vAlign w:val="center"/>
          </w:tcPr>
          <w:p w14:paraId="7D6E10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50ED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B5CFED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B41EF5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560F8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16145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22AA6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58561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1A4AC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74A7A9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1DBB5C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59AAF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778" w:type="dxa"/>
            <w:vAlign w:val="center"/>
          </w:tcPr>
          <w:p w14:paraId="77AE35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82" w:type="dxa"/>
            <w:vAlign w:val="center"/>
          </w:tcPr>
          <w:p w14:paraId="40085F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65" w:type="dxa"/>
            <w:vAlign w:val="center"/>
          </w:tcPr>
          <w:p w14:paraId="1F07F5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7" w:type="dxa"/>
            <w:vAlign w:val="center"/>
          </w:tcPr>
          <w:p w14:paraId="0401B7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CDD68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75" w:type="dxa"/>
            <w:vMerge w:val="continue"/>
            <w:vAlign w:val="center"/>
          </w:tcPr>
          <w:p w14:paraId="7CF5E5F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43B6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93" w:hRule="atLeast"/>
          <w:jc w:val="center"/>
        </w:trPr>
        <w:tc>
          <w:tcPr>
            <w:tcW w:w="406" w:type="dxa"/>
            <w:vAlign w:val="center"/>
          </w:tcPr>
          <w:p w14:paraId="4605898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0</w:t>
            </w:r>
          </w:p>
        </w:tc>
        <w:tc>
          <w:tcPr>
            <w:tcW w:w="476" w:type="dxa"/>
            <w:vAlign w:val="center"/>
          </w:tcPr>
          <w:p w14:paraId="72ECA366">
            <w:pPr>
              <w:adjustRightInd w:val="0"/>
              <w:snapToGrid w:val="0"/>
              <w:spacing w:line="299"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其他行政权力</w:t>
            </w:r>
          </w:p>
        </w:tc>
        <w:tc>
          <w:tcPr>
            <w:tcW w:w="550" w:type="dxa"/>
            <w:vAlign w:val="center"/>
          </w:tcPr>
          <w:p w14:paraId="10B38D7F">
            <w:pPr>
              <w:adjustRightInd w:val="0"/>
              <w:snapToGrid w:val="0"/>
              <w:spacing w:line="299"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村民住宅开工信息备案</w:t>
            </w:r>
          </w:p>
        </w:tc>
        <w:tc>
          <w:tcPr>
            <w:tcW w:w="650" w:type="dxa"/>
            <w:vAlign w:val="center"/>
          </w:tcPr>
          <w:p w14:paraId="2C47F5D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38C328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3558E26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4339" w:type="dxa"/>
            <w:vAlign w:val="center"/>
          </w:tcPr>
          <w:p w14:paraId="1AF76638">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【地方性法规】《广西壮族自治区乡村规划建设管理条例》（2018年广西壮族自治区第十三届人民代表大会常务委员会公告第13号）</w:t>
            </w:r>
          </w:p>
          <w:p w14:paraId="3A40F19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w:t>
            </w:r>
            <w:r>
              <w:rPr>
                <w:rStyle w:val="8"/>
                <w:rFonts w:hint="default" w:ascii="Times New Roman" w:hAnsi="Times New Roman" w:eastAsia="仿宋_GB2312" w:cs="Times New Roman"/>
                <w:snapToGrid w:val="0"/>
                <w:highlight w:val="none"/>
              </w:rPr>
              <w:t>五</w:t>
            </w:r>
            <w:r>
              <w:rPr>
                <w:rStyle w:val="7"/>
                <w:rFonts w:hint="default" w:ascii="Times New Roman" w:hAnsi="Times New Roman" w:eastAsia="仿宋_GB2312" w:cs="Times New Roman"/>
                <w:snapToGrid w:val="0"/>
                <w:highlight w:val="none"/>
              </w:rPr>
              <w:t>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位</w:t>
            </w:r>
            <w:r>
              <w:rPr>
                <w:rStyle w:val="8"/>
                <w:rFonts w:hint="default" w:ascii="Times New Roman" w:hAnsi="Times New Roman" w:eastAsia="仿宋_GB2312" w:cs="Times New Roman"/>
                <w:snapToGrid w:val="0"/>
                <w:highlight w:val="none"/>
              </w:rPr>
              <w:t>置开工。</w:t>
            </w:r>
          </w:p>
        </w:tc>
        <w:tc>
          <w:tcPr>
            <w:tcW w:w="1951" w:type="dxa"/>
            <w:vAlign w:val="center"/>
          </w:tcPr>
          <w:p w14:paraId="6CDA23F0">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1.受理责任：受理备案申请，并告知申请人办理备案</w:t>
            </w:r>
            <w:r>
              <w:rPr>
                <w:rStyle w:val="8"/>
                <w:rFonts w:hint="default" w:ascii="Times New Roman" w:hAnsi="Times New Roman" w:eastAsia="仿宋_GB2312" w:cs="Times New Roman"/>
                <w:snapToGrid w:val="0"/>
                <w:highlight w:val="none"/>
              </w:rPr>
              <w:t>的相关事项。</w:t>
            </w:r>
          </w:p>
          <w:p w14:paraId="427EB0C8">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2.审查责任：审查备案资料，材料不齐全的一次性告知，不符合法</w:t>
            </w:r>
            <w:r>
              <w:rPr>
                <w:rStyle w:val="8"/>
                <w:rFonts w:hint="default" w:ascii="Times New Roman" w:hAnsi="Times New Roman" w:eastAsia="仿宋_GB2312" w:cs="Times New Roman"/>
                <w:snapToGrid w:val="0"/>
                <w:highlight w:val="none"/>
              </w:rPr>
              <w:t>定条件的退回.</w:t>
            </w:r>
          </w:p>
          <w:p w14:paraId="0A425965">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3.决定阶段：乡（镇）人民政府作出同意或不同意的决定，不同意的告知理由，按时办结</w:t>
            </w:r>
            <w:r>
              <w:rPr>
                <w:rStyle w:val="8"/>
                <w:rFonts w:hint="default" w:ascii="Times New Roman" w:hAnsi="Times New Roman" w:eastAsia="仿宋_GB2312" w:cs="Times New Roman"/>
                <w:snapToGrid w:val="0"/>
                <w:highlight w:val="none"/>
              </w:rPr>
              <w:t>，依法告知。</w:t>
            </w:r>
          </w:p>
          <w:p w14:paraId="375A79C8">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4.事后监督：加强后</w:t>
            </w:r>
            <w:r>
              <w:rPr>
                <w:rStyle w:val="8"/>
                <w:rFonts w:hint="default" w:ascii="Times New Roman" w:hAnsi="Times New Roman" w:eastAsia="仿宋_GB2312" w:cs="Times New Roman"/>
                <w:snapToGrid w:val="0"/>
                <w:highlight w:val="none"/>
              </w:rPr>
              <w:t>续监督检查。</w:t>
            </w:r>
          </w:p>
          <w:p w14:paraId="7FDEABBF">
            <w:pPr>
              <w:adjustRightInd w:val="0"/>
              <w:snapToGrid w:val="0"/>
              <w:spacing w:line="300" w:lineRule="exact"/>
              <w:ind w:firstLine="400" w:firstLineChars="200"/>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5.其他法律法规规章文件规定应</w:t>
            </w:r>
            <w:r>
              <w:rPr>
                <w:rStyle w:val="8"/>
                <w:rFonts w:hint="default" w:ascii="Times New Roman" w:hAnsi="Times New Roman" w:eastAsia="仿宋_GB2312" w:cs="Times New Roman"/>
                <w:snapToGrid w:val="0"/>
                <w:highlight w:val="none"/>
              </w:rPr>
              <w:t>履行的责任。</w:t>
            </w:r>
          </w:p>
          <w:p w14:paraId="1AB750B1">
            <w:pPr>
              <w:adjustRightInd w:val="0"/>
              <w:snapToGrid w:val="0"/>
              <w:spacing w:line="300" w:lineRule="exact"/>
              <w:ind w:firstLine="400" w:firstLineChars="200"/>
              <w:rPr>
                <w:rStyle w:val="8"/>
                <w:rFonts w:hint="default" w:ascii="Times New Roman" w:hAnsi="Times New Roman" w:eastAsia="仿宋_GB2312" w:cs="Times New Roman"/>
                <w:snapToGrid w:val="0"/>
                <w:highlight w:val="none"/>
              </w:rPr>
            </w:pPr>
          </w:p>
          <w:p w14:paraId="23427CAC">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百寿镇乡村建设综合服务中心</w:t>
            </w:r>
            <w:r>
              <w:rPr>
                <w:rStyle w:val="7"/>
                <w:rFonts w:hint="eastAsia" w:eastAsia="仿宋_GB2312" w:cs="Times New Roman"/>
                <w:snapToGrid w:val="0"/>
                <w:highlight w:val="none"/>
                <w:lang w:eastAsia="zh-CN"/>
              </w:rPr>
              <w:t>）</w:t>
            </w:r>
          </w:p>
        </w:tc>
        <w:tc>
          <w:tcPr>
            <w:tcW w:w="4778" w:type="dxa"/>
            <w:vAlign w:val="center"/>
          </w:tcPr>
          <w:p w14:paraId="4DD96A17">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地方性法规】《广西壮族自治区乡村规划建设管理条例》（2018年广西壮族自治区第十三届人民代表大会常务委员会公告第13号）第五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w:t>
            </w:r>
            <w:r>
              <w:rPr>
                <w:rStyle w:val="8"/>
                <w:rFonts w:hint="default" w:ascii="Times New Roman" w:hAnsi="Times New Roman" w:eastAsia="仿宋_GB2312" w:cs="Times New Roman"/>
                <w:snapToGrid w:val="0"/>
                <w:highlight w:val="none"/>
              </w:rPr>
              <w:t>、位置开工。</w:t>
            </w:r>
          </w:p>
          <w:p w14:paraId="296DF581">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仿宋_GB2312" w:cs="Times New Roman"/>
                <w:snapToGrid w:val="0"/>
                <w:highlight w:val="none"/>
              </w:rPr>
              <w:t>第</w:t>
            </w:r>
            <w:r>
              <w:rPr>
                <w:rStyle w:val="7"/>
                <w:rFonts w:hint="default" w:ascii="Times New Roman" w:hAnsi="Times New Roman" w:eastAsia="仿宋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仿宋_GB2312" w:cs="Times New Roman"/>
                <w:snapToGrid w:val="0"/>
                <w:highlight w:val="none"/>
              </w:rPr>
              <w:t>的途径和期限……</w:t>
            </w:r>
          </w:p>
          <w:p w14:paraId="2B5F9C39">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8"/>
                <w:rFonts w:hint="default" w:ascii="Times New Roman" w:hAnsi="Times New Roman" w:eastAsia="仿宋_GB2312" w:cs="Times New Roman"/>
                <w:snapToGrid w:val="0"/>
                <w:highlight w:val="none"/>
              </w:rPr>
              <w:t>3.同2.</w:t>
            </w:r>
          </w:p>
          <w:p w14:paraId="6937CE7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highlight w:val="none"/>
              </w:rPr>
              <w:t>4.同1.</w:t>
            </w:r>
          </w:p>
        </w:tc>
        <w:tc>
          <w:tcPr>
            <w:tcW w:w="2782" w:type="dxa"/>
            <w:vAlign w:val="center"/>
          </w:tcPr>
          <w:p w14:paraId="2B008911">
            <w:pPr>
              <w:adjustRightInd w:val="0"/>
              <w:snapToGrid w:val="0"/>
              <w:spacing w:line="280" w:lineRule="exact"/>
              <w:ind w:firstLine="376" w:firstLineChars="200"/>
              <w:rPr>
                <w:rStyle w:val="8"/>
                <w:rFonts w:hint="default" w:ascii="Times New Roman" w:hAnsi="Times New Roman" w:eastAsia="仿宋_GB2312" w:cs="Times New Roman"/>
                <w:color w:val="auto"/>
                <w:spacing w:val="-6"/>
                <w:szCs w:val="20"/>
                <w:highlight w:val="none"/>
              </w:rPr>
            </w:pPr>
            <w:r>
              <w:rPr>
                <w:rStyle w:val="8"/>
                <w:rFonts w:hint="default" w:ascii="Times New Roman" w:hAnsi="Times New Roman" w:eastAsia="仿宋_GB2312" w:cs="Times New Roman"/>
                <w:color w:val="auto"/>
                <w:spacing w:val="-6"/>
                <w:szCs w:val="20"/>
                <w:highlight w:val="none"/>
              </w:rPr>
              <w:t>因不履行或不正确履行行政职责，有下列情形的，行政机关及相关工作人员应承担相应责任：</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1.对符合受理条件而不予受理的；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2.对不符合受理条件予以备案的；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3.擅自增设备案程序或条件的；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4.在备案过程中玩忽职守、滥用职权，贻误工作或导致侵害相关组织合法权益的；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5.在备案过程中发生腐败行为的；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6.其他违反法律法规规章文件规定的行为。</w:t>
            </w:r>
          </w:p>
          <w:p w14:paraId="63AD9A9F">
            <w:pPr>
              <w:adjustRightInd w:val="0"/>
              <w:snapToGrid w:val="0"/>
              <w:spacing w:line="280" w:lineRule="exact"/>
              <w:ind w:firstLine="376" w:firstLineChars="200"/>
              <w:rPr>
                <w:rStyle w:val="8"/>
                <w:rFonts w:hint="default" w:ascii="Times New Roman" w:hAnsi="Times New Roman" w:eastAsia="仿宋_GB2312" w:cs="Times New Roman"/>
                <w:color w:val="auto"/>
                <w:spacing w:val="-6"/>
                <w:szCs w:val="20"/>
                <w:highlight w:val="none"/>
              </w:rPr>
            </w:pPr>
          </w:p>
          <w:p w14:paraId="532B8FDC">
            <w:pPr>
              <w:adjustRightInd w:val="0"/>
              <w:snapToGrid w:val="0"/>
              <w:spacing w:line="280" w:lineRule="exact"/>
              <w:ind w:left="0" w:leftChars="0" w:firstLine="0" w:firstLineChars="0"/>
              <w:jc w:val="center"/>
              <w:rPr>
                <w:rStyle w:val="8"/>
                <w:rFonts w:hint="default" w:ascii="Times New Roman" w:hAnsi="Times New Roman" w:eastAsia="仿宋_GB2312" w:cs="Times New Roman"/>
                <w:color w:val="auto"/>
                <w:spacing w:val="-6"/>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2165" w:type="dxa"/>
            <w:vAlign w:val="center"/>
          </w:tcPr>
          <w:p w14:paraId="0010712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color w:val="auto"/>
                <w:szCs w:val="20"/>
                <w:highlight w:val="none"/>
              </w:rPr>
              <w:t>【法规】《村庄和集镇规划建设管理条例》（1993年中华人民共和国国务院令 第116号发布）</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987" w:type="dxa"/>
            <w:vAlign w:val="center"/>
          </w:tcPr>
          <w:p w14:paraId="46586BF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75" w:type="dxa"/>
            <w:vAlign w:val="center"/>
          </w:tcPr>
          <w:p w14:paraId="5592243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5882CB5"/>
    <w:tbl>
      <w:tblPr>
        <w:tblStyle w:val="4"/>
        <w:tblW w:w="21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5395"/>
        <w:gridCol w:w="1916"/>
        <w:gridCol w:w="4084"/>
        <w:gridCol w:w="788"/>
        <w:gridCol w:w="762"/>
      </w:tblGrid>
      <w:tr w14:paraId="361BE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657A1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E575B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50C8F5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83" w:type="dxa"/>
            <w:gridSpan w:val="5"/>
            <w:vAlign w:val="center"/>
          </w:tcPr>
          <w:p w14:paraId="255E08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5327FD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387B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FAF90E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0F61F3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AD639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3075F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E4411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9F388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48271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3B97C2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309271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59F39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395" w:type="dxa"/>
            <w:vAlign w:val="center"/>
          </w:tcPr>
          <w:p w14:paraId="1D1657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916" w:type="dxa"/>
            <w:vAlign w:val="center"/>
          </w:tcPr>
          <w:p w14:paraId="295F19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84" w:type="dxa"/>
            <w:vAlign w:val="center"/>
          </w:tcPr>
          <w:p w14:paraId="32E0B6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7D1347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E072D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319BFE3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622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222" w:hRule="atLeast"/>
          <w:jc w:val="center"/>
        </w:trPr>
        <w:tc>
          <w:tcPr>
            <w:tcW w:w="406" w:type="dxa"/>
            <w:vAlign w:val="center"/>
          </w:tcPr>
          <w:p w14:paraId="1119AFD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1</w:t>
            </w:r>
          </w:p>
        </w:tc>
        <w:tc>
          <w:tcPr>
            <w:tcW w:w="476" w:type="dxa"/>
            <w:vAlign w:val="center"/>
          </w:tcPr>
          <w:p w14:paraId="5D5A4E1B">
            <w:pPr>
              <w:adjustRightInd w:val="0"/>
              <w:snapToGrid w:val="0"/>
              <w:spacing w:line="300" w:lineRule="exact"/>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bidi="ar"/>
              </w:rPr>
              <w:t>行政许可</w:t>
            </w:r>
          </w:p>
        </w:tc>
        <w:tc>
          <w:tcPr>
            <w:tcW w:w="550" w:type="dxa"/>
            <w:vAlign w:val="center"/>
          </w:tcPr>
          <w:p w14:paraId="15583A2E">
            <w:pPr>
              <w:adjustRightInd w:val="0"/>
              <w:snapToGrid w:val="0"/>
              <w:spacing w:line="300" w:lineRule="exact"/>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bidi="ar"/>
              </w:rPr>
              <w:t>农村村民宅基地审批</w:t>
            </w:r>
          </w:p>
        </w:tc>
        <w:tc>
          <w:tcPr>
            <w:tcW w:w="650" w:type="dxa"/>
            <w:vAlign w:val="center"/>
          </w:tcPr>
          <w:p w14:paraId="404F0C2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6ADD19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289E4782">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vAlign w:val="center"/>
          </w:tcPr>
          <w:p w14:paraId="0F2A8D89">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Fonts w:hint="default" w:ascii="Times New Roman" w:hAnsi="Times New Roman" w:eastAsia="仿宋_GB2312" w:cs="Times New Roman"/>
                <w:kern w:val="0"/>
                <w:sz w:val="20"/>
                <w:szCs w:val="20"/>
                <w:highlight w:val="none"/>
                <w:lang w:bidi="ar"/>
              </w:rPr>
              <w:t>【法律】《中华人民共和国土地管理法》第六十二条：农村村民一户只能拥有一处宅基地，其宅基地的面积不得超过省、自治区、直辖市规</w:t>
            </w:r>
            <w:r>
              <w:rPr>
                <w:rStyle w:val="9"/>
                <w:rFonts w:hint="default" w:ascii="Times New Roman" w:hAnsi="Times New Roman" w:eastAsia="仿宋_GB2312" w:cs="Times New Roman"/>
                <w:color w:val="auto"/>
                <w:highlight w:val="none"/>
                <w:lang w:bidi="ar"/>
              </w:rPr>
              <w:t>定</w:t>
            </w:r>
            <w:r>
              <w:rPr>
                <w:rStyle w:val="10"/>
                <w:rFonts w:hint="default" w:ascii="Times New Roman" w:hAnsi="Times New Roman" w:eastAsia="仿宋_GB2312" w:cs="Times New Roman"/>
                <w:color w:val="auto"/>
                <w:highlight w:val="none"/>
                <w:lang w:bidi="ar"/>
              </w:rPr>
              <w:t>的标准。</w:t>
            </w:r>
          </w:p>
          <w:p w14:paraId="418120AA">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人均土地少、不能保障一户拥有一处宅基地的地区，县级人民政府在充分尊重农村村民意愿的基础上，可以采取措施，按照省、自治区、直辖市规定的标准保障农村村民实现</w:t>
            </w:r>
            <w:r>
              <w:rPr>
                <w:rStyle w:val="9"/>
                <w:rFonts w:hint="default" w:ascii="Times New Roman" w:hAnsi="Times New Roman" w:eastAsia="仿宋_GB2312" w:cs="Times New Roman"/>
                <w:color w:val="auto"/>
                <w:highlight w:val="none"/>
                <w:lang w:bidi="ar"/>
              </w:rPr>
              <w:t>户</w:t>
            </w:r>
            <w:r>
              <w:rPr>
                <w:rStyle w:val="10"/>
                <w:rFonts w:hint="default" w:ascii="Times New Roman" w:hAnsi="Times New Roman" w:eastAsia="仿宋_GB2312" w:cs="Times New Roman"/>
                <w:color w:val="auto"/>
                <w:highlight w:val="none"/>
                <w:lang w:bidi="ar"/>
              </w:rPr>
              <w:t>有所居。</w:t>
            </w:r>
          </w:p>
          <w:p w14:paraId="21F0495A">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建住宅，应当符合乡（镇）土地利用总体规划、村庄规划，不得占用永久基本农田，并尽量使用原有的宅基地和村内空闲地。编制乡（镇）土地利用总体规划、村庄规划应当统筹并合理安排宅基地用地，改善农村村民居住环</w:t>
            </w:r>
            <w:r>
              <w:rPr>
                <w:rStyle w:val="9"/>
                <w:rFonts w:hint="default" w:ascii="Times New Roman" w:hAnsi="Times New Roman" w:eastAsia="仿宋_GB2312" w:cs="Times New Roman"/>
                <w:color w:val="auto"/>
                <w:highlight w:val="none"/>
                <w:lang w:bidi="ar"/>
              </w:rPr>
              <w:t>境</w:t>
            </w:r>
            <w:r>
              <w:rPr>
                <w:rStyle w:val="10"/>
                <w:rFonts w:hint="default" w:ascii="Times New Roman" w:hAnsi="Times New Roman" w:eastAsia="仿宋_GB2312" w:cs="Times New Roman"/>
                <w:color w:val="auto"/>
                <w:highlight w:val="none"/>
                <w:lang w:bidi="ar"/>
              </w:rPr>
              <w:t>和条件。</w:t>
            </w:r>
          </w:p>
          <w:p w14:paraId="0145346A">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农村村民住宅用地，由乡（镇）人民政府审核批准；其中，涉及占用农用地的，依照本法第四十四条的规定办理</w:t>
            </w:r>
            <w:r>
              <w:rPr>
                <w:rStyle w:val="9"/>
                <w:rFonts w:hint="default" w:ascii="Times New Roman" w:hAnsi="Times New Roman" w:eastAsia="仿宋_GB2312" w:cs="Times New Roman"/>
                <w:color w:val="auto"/>
                <w:highlight w:val="none"/>
                <w:lang w:bidi="ar"/>
              </w:rPr>
              <w:t>审</w:t>
            </w:r>
            <w:r>
              <w:rPr>
                <w:rStyle w:val="10"/>
                <w:rFonts w:hint="default" w:ascii="Times New Roman" w:hAnsi="Times New Roman" w:eastAsia="仿宋_GB2312" w:cs="Times New Roman"/>
                <w:color w:val="auto"/>
                <w:highlight w:val="none"/>
                <w:lang w:bidi="ar"/>
              </w:rPr>
              <w:t>批手续。</w:t>
            </w:r>
          </w:p>
          <w:p w14:paraId="4EF9D070">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农村村民出卖、出租、赠与住宅后，再申请宅基地的，</w:t>
            </w:r>
            <w:r>
              <w:rPr>
                <w:rStyle w:val="9"/>
                <w:rFonts w:hint="default" w:ascii="Times New Roman" w:hAnsi="Times New Roman" w:eastAsia="仿宋_GB2312" w:cs="Times New Roman"/>
                <w:color w:val="auto"/>
                <w:highlight w:val="none"/>
                <w:lang w:bidi="ar"/>
              </w:rPr>
              <w:t>不</w:t>
            </w:r>
            <w:r>
              <w:rPr>
                <w:rStyle w:val="10"/>
                <w:rFonts w:hint="default" w:ascii="Times New Roman" w:hAnsi="Times New Roman" w:eastAsia="仿宋_GB2312" w:cs="Times New Roman"/>
                <w:color w:val="auto"/>
                <w:highlight w:val="none"/>
                <w:lang w:bidi="ar"/>
              </w:rPr>
              <w:t>予批准。</w:t>
            </w:r>
          </w:p>
          <w:p w14:paraId="47A85AD5">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国家允许进城落户的农村村民依法自愿有偿退出宅基地，鼓励农村集体经济组织及其成员盘活利用闲置宅基地和</w:t>
            </w:r>
            <w:r>
              <w:rPr>
                <w:rStyle w:val="9"/>
                <w:rFonts w:hint="default" w:ascii="Times New Roman" w:hAnsi="Times New Roman" w:eastAsia="仿宋_GB2312" w:cs="Times New Roman"/>
                <w:color w:val="auto"/>
                <w:highlight w:val="none"/>
                <w:lang w:bidi="ar"/>
              </w:rPr>
              <w:t>闲</w:t>
            </w:r>
            <w:r>
              <w:rPr>
                <w:rStyle w:val="10"/>
                <w:rFonts w:hint="default" w:ascii="Times New Roman" w:hAnsi="Times New Roman" w:eastAsia="仿宋_GB2312" w:cs="Times New Roman"/>
                <w:color w:val="auto"/>
                <w:highlight w:val="none"/>
                <w:lang w:bidi="ar"/>
              </w:rPr>
              <w:t>置住宅。</w:t>
            </w:r>
          </w:p>
          <w:p w14:paraId="1E4080E5">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highlight w:val="none"/>
                <w:lang w:bidi="ar"/>
              </w:rPr>
              <w:t>国务院农业农村主管部门负责全国农村宅基地改革和管理有关工作。</w:t>
            </w:r>
          </w:p>
        </w:tc>
        <w:tc>
          <w:tcPr>
            <w:tcW w:w="2100" w:type="dxa"/>
            <w:vAlign w:val="center"/>
          </w:tcPr>
          <w:p w14:paraId="7ED6DFF3">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1.受理责任：公示应当提交的材料，一次性告知补正材料，依法受理或不予受理（不予受理应当告</w:t>
            </w:r>
            <w:r>
              <w:rPr>
                <w:rStyle w:val="9"/>
                <w:rFonts w:hint="default" w:ascii="Times New Roman" w:hAnsi="Times New Roman" w:eastAsia="仿宋_GB2312" w:cs="Times New Roman"/>
                <w:color w:val="auto"/>
                <w:highlight w:val="none"/>
                <w:lang w:bidi="ar"/>
              </w:rPr>
              <w:t>知理由）。</w:t>
            </w:r>
          </w:p>
          <w:p w14:paraId="2788A4A9">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2.审查责任：审查申请材料，组织</w:t>
            </w:r>
            <w:r>
              <w:rPr>
                <w:rStyle w:val="9"/>
                <w:rFonts w:hint="default" w:ascii="Times New Roman" w:hAnsi="Times New Roman" w:eastAsia="仿宋_GB2312" w:cs="Times New Roman"/>
                <w:color w:val="auto"/>
                <w:highlight w:val="none"/>
                <w:lang w:bidi="ar"/>
              </w:rPr>
              <w:t>现场检查。</w:t>
            </w:r>
          </w:p>
          <w:p w14:paraId="7AC2D83B">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3.决定责任：作出行政许可或者不予行政许可决定，法定告知（不予许可的应当书面告</w:t>
            </w:r>
            <w:r>
              <w:rPr>
                <w:rStyle w:val="9"/>
                <w:rFonts w:hint="default" w:ascii="Times New Roman" w:hAnsi="Times New Roman" w:eastAsia="仿宋_GB2312" w:cs="Times New Roman"/>
                <w:color w:val="auto"/>
                <w:highlight w:val="none"/>
                <w:lang w:bidi="ar"/>
              </w:rPr>
              <w:t>知理由）。</w:t>
            </w:r>
          </w:p>
          <w:p w14:paraId="36CB3E1A">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4.送达责任：准予许可的，制发许可证书或批件，送达并</w:t>
            </w:r>
            <w:r>
              <w:rPr>
                <w:rStyle w:val="9"/>
                <w:rFonts w:hint="default" w:ascii="Times New Roman" w:hAnsi="Times New Roman" w:eastAsia="仿宋_GB2312" w:cs="Times New Roman"/>
                <w:color w:val="auto"/>
                <w:highlight w:val="none"/>
                <w:lang w:bidi="ar"/>
              </w:rPr>
              <w:t>信息公开。</w:t>
            </w:r>
          </w:p>
          <w:p w14:paraId="397E80C2">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5.监管责任：建立实施监督检查的运行机制和管理制度，开展定期和不定期检查，依法采取相关</w:t>
            </w:r>
            <w:r>
              <w:rPr>
                <w:rStyle w:val="9"/>
                <w:rFonts w:hint="default" w:ascii="Times New Roman" w:hAnsi="Times New Roman" w:eastAsia="仿宋_GB2312" w:cs="Times New Roman"/>
                <w:color w:val="auto"/>
                <w:highlight w:val="none"/>
                <w:lang w:bidi="ar"/>
              </w:rPr>
              <w:t>处置措施。</w:t>
            </w:r>
          </w:p>
          <w:p w14:paraId="1442C989">
            <w:pPr>
              <w:adjustRightInd w:val="0"/>
              <w:snapToGrid w:val="0"/>
              <w:spacing w:line="300" w:lineRule="exact"/>
              <w:ind w:firstLine="400" w:firstLineChars="200"/>
              <w:jc w:val="left"/>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6.其他法律法规规章文件规定应履行的责任。</w:t>
            </w:r>
          </w:p>
          <w:p w14:paraId="557CBB56">
            <w:pPr>
              <w:adjustRightInd w:val="0"/>
              <w:snapToGrid w:val="0"/>
              <w:spacing w:line="300" w:lineRule="exact"/>
              <w:ind w:firstLine="400" w:firstLineChars="200"/>
              <w:jc w:val="left"/>
              <w:rPr>
                <w:rStyle w:val="10"/>
                <w:rFonts w:hint="default" w:ascii="Times New Roman" w:hAnsi="Times New Roman" w:eastAsia="仿宋_GB2312" w:cs="Times New Roman"/>
                <w:color w:val="auto"/>
                <w:highlight w:val="none"/>
                <w:lang w:bidi="ar"/>
              </w:rPr>
            </w:pPr>
          </w:p>
          <w:p w14:paraId="0AA222ED">
            <w:pPr>
              <w:adjustRightInd w:val="0"/>
              <w:snapToGrid w:val="0"/>
              <w:spacing w:line="300" w:lineRule="exact"/>
              <w:ind w:left="0" w:leftChars="0" w:firstLine="0" w:firstLineChars="0"/>
              <w:jc w:val="center"/>
              <w:rPr>
                <w:rStyle w:val="10"/>
                <w:rFonts w:hint="default" w:ascii="Times New Roman" w:hAnsi="Times New Roman" w:eastAsia="仿宋_GB2312" w:cs="Times New Roman"/>
                <w:color w:val="auto"/>
                <w:highlight w:val="none"/>
                <w:lang w:bidi="ar"/>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百寿镇乡村建设综合服务中心</w:t>
            </w:r>
            <w:r>
              <w:rPr>
                <w:rStyle w:val="7"/>
                <w:rFonts w:hint="eastAsia" w:eastAsia="仿宋_GB2312" w:cs="Times New Roman"/>
                <w:snapToGrid w:val="0"/>
                <w:highlight w:val="none"/>
                <w:lang w:eastAsia="zh-CN"/>
              </w:rPr>
              <w:t>）</w:t>
            </w:r>
          </w:p>
        </w:tc>
        <w:tc>
          <w:tcPr>
            <w:tcW w:w="5395" w:type="dxa"/>
            <w:vAlign w:val="center"/>
          </w:tcPr>
          <w:p w14:paraId="3FDE687B">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1.【法律】《中华人民共和国行政许可法》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Style w:val="10"/>
                <w:rFonts w:hint="eastAsia" w:eastAsia="仿宋_GB2312" w:cs="Times New Roman"/>
                <w:color w:val="auto"/>
                <w:highlight w:val="none"/>
                <w:lang w:eastAsia="zh-CN" w:bidi="ar"/>
              </w:rPr>
              <w:t>或者</w:t>
            </w:r>
            <w:r>
              <w:rPr>
                <w:rStyle w:val="10"/>
                <w:rFonts w:hint="default" w:ascii="Times New Roman" w:hAnsi="Times New Roman" w:eastAsia="仿宋_GB2312" w:cs="Times New Roman"/>
                <w:color w:val="auto"/>
                <w:highlight w:val="none"/>
                <w:lang w:bidi="ar"/>
              </w:rPr>
              <w:t>申请人按照本行政机关的要求提交全部补正申请材料的，应当受理行政许可申请。行政机关受理或者不予受理行政许可申请，应当出具加盖本行政机关专用印章和注明日期的</w:t>
            </w:r>
            <w:r>
              <w:rPr>
                <w:rStyle w:val="9"/>
                <w:rFonts w:hint="default" w:ascii="Times New Roman" w:hAnsi="Times New Roman" w:eastAsia="仿宋_GB2312" w:cs="Times New Roman"/>
                <w:color w:val="auto"/>
                <w:highlight w:val="none"/>
                <w:lang w:bidi="ar"/>
              </w:rPr>
              <w:t>书面凭证。</w:t>
            </w:r>
          </w:p>
          <w:p w14:paraId="1CFA2460">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2.【法律】《中华人民共和国行政许可法》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w:t>
            </w:r>
            <w:r>
              <w:rPr>
                <w:rStyle w:val="9"/>
                <w:rFonts w:hint="default" w:ascii="Times New Roman" w:hAnsi="Times New Roman" w:eastAsia="仿宋_GB2312" w:cs="Times New Roman"/>
                <w:color w:val="auto"/>
                <w:highlight w:val="none"/>
                <w:lang w:bidi="ar"/>
              </w:rPr>
              <w:t>进行核查。</w:t>
            </w:r>
          </w:p>
          <w:p w14:paraId="183F6C52">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3.【法律】《中华人民共和国行政许可法》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十七条：行政机关对行政许可申请进行审查后，除当场作出行政许可决定的外，应当在法定期限内按照规定程序作出行政</w:t>
            </w:r>
            <w:r>
              <w:rPr>
                <w:rStyle w:val="9"/>
                <w:rFonts w:hint="default" w:ascii="Times New Roman" w:hAnsi="Times New Roman" w:eastAsia="仿宋_GB2312" w:cs="Times New Roman"/>
                <w:color w:val="auto"/>
                <w:highlight w:val="none"/>
                <w:lang w:bidi="ar"/>
              </w:rPr>
              <w:t>许可决</w:t>
            </w:r>
            <w:r>
              <w:rPr>
                <w:rStyle w:val="10"/>
                <w:rFonts w:hint="default" w:ascii="Times New Roman" w:hAnsi="Times New Roman" w:eastAsia="仿宋_GB2312" w:cs="Times New Roman"/>
                <w:color w:val="auto"/>
                <w:highlight w:val="none"/>
                <w:lang w:bidi="ar"/>
              </w:rPr>
              <w:t>定。</w:t>
            </w:r>
          </w:p>
          <w:p w14:paraId="3780336B">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八条：申请人的申请符合法定条件、标准的，行政机关应当依法作出准予行政许可的书面决定。行政机关依法作出不予行政许可的书面决定的，应当说明理由，并告知申请人享有依法申请行政复议或者提起行政诉</w:t>
            </w:r>
            <w:r>
              <w:rPr>
                <w:rStyle w:val="9"/>
                <w:rFonts w:hint="default" w:ascii="Times New Roman" w:hAnsi="Times New Roman" w:eastAsia="仿宋_GB2312" w:cs="Times New Roman"/>
                <w:color w:val="auto"/>
                <w:highlight w:val="none"/>
                <w:lang w:bidi="ar"/>
              </w:rPr>
              <w:t>讼的权利。</w:t>
            </w:r>
          </w:p>
          <w:p w14:paraId="3A6429CE">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4.【法律】《中华人民共和国行政许可法》</w:t>
            </w:r>
            <w:r>
              <w:rPr>
                <w:rStyle w:val="9"/>
                <w:rFonts w:hint="default" w:ascii="Times New Roman" w:hAnsi="Times New Roman" w:eastAsia="仿宋_GB2312" w:cs="Times New Roman"/>
                <w:color w:val="auto"/>
                <w:highlight w:val="none"/>
                <w:lang w:bidi="ar"/>
              </w:rPr>
              <w:t>第四</w:t>
            </w:r>
            <w:r>
              <w:rPr>
                <w:rStyle w:val="10"/>
                <w:rFonts w:hint="default" w:ascii="Times New Roman" w:hAnsi="Times New Roman" w:eastAsia="仿宋_GB2312" w:cs="Times New Roman"/>
                <w:color w:val="auto"/>
                <w:highlight w:val="none"/>
                <w:lang w:bidi="ar"/>
              </w:rPr>
              <w:t>十四条：行政机关作出准予行政许可的决定，应当自作出决定之日起十日内向申请人颁发、送达行政许可证件</w:t>
            </w:r>
            <w:r>
              <w:rPr>
                <w:rStyle w:val="10"/>
                <w:rFonts w:hint="eastAsia" w:eastAsia="仿宋_GB2312" w:cs="Times New Roman"/>
                <w:color w:val="auto"/>
                <w:highlight w:val="none"/>
                <w:lang w:eastAsia="zh-CN" w:bidi="ar"/>
              </w:rPr>
              <w:t>或者</w:t>
            </w:r>
            <w:r>
              <w:rPr>
                <w:rStyle w:val="10"/>
                <w:rFonts w:hint="default" w:ascii="Times New Roman" w:hAnsi="Times New Roman" w:eastAsia="仿宋_GB2312" w:cs="Times New Roman"/>
                <w:color w:val="auto"/>
                <w:highlight w:val="none"/>
                <w:lang w:bidi="ar"/>
              </w:rPr>
              <w:t>加贴标签、加盖检验、检测、</w:t>
            </w:r>
            <w:r>
              <w:rPr>
                <w:rStyle w:val="9"/>
                <w:rFonts w:hint="default" w:ascii="Times New Roman" w:hAnsi="Times New Roman" w:eastAsia="仿宋_GB2312" w:cs="Times New Roman"/>
                <w:color w:val="auto"/>
                <w:highlight w:val="none"/>
                <w:lang w:bidi="ar"/>
              </w:rPr>
              <w:t>检疫印章。</w:t>
            </w:r>
          </w:p>
          <w:p w14:paraId="1CB01AEB">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5.【法律】《中华人民共和国土地管理法》第七十八条：农村村民未经批准或者采取欺骗手段骗取批准，非法占用土地建住宅的，由县级以上人民政府农业农村主管部门责令退还非法占用的土地，限期拆除在非法占用的土地上新</w:t>
            </w:r>
            <w:r>
              <w:rPr>
                <w:rStyle w:val="9"/>
                <w:rFonts w:hint="default" w:ascii="Times New Roman" w:hAnsi="Times New Roman" w:eastAsia="仿宋_GB2312" w:cs="Times New Roman"/>
                <w:color w:val="auto"/>
                <w:highlight w:val="none"/>
                <w:lang w:bidi="ar"/>
              </w:rPr>
              <w:t>建</w:t>
            </w:r>
            <w:r>
              <w:rPr>
                <w:rStyle w:val="10"/>
                <w:rFonts w:hint="default" w:ascii="Times New Roman" w:hAnsi="Times New Roman" w:eastAsia="仿宋_GB2312" w:cs="Times New Roman"/>
                <w:color w:val="auto"/>
                <w:highlight w:val="none"/>
                <w:lang w:bidi="ar"/>
              </w:rPr>
              <w:t>的房屋。</w:t>
            </w:r>
          </w:p>
          <w:p w14:paraId="74FCF326">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highlight w:val="none"/>
                <w:lang w:bidi="ar"/>
              </w:rPr>
              <w:t>超过省、自治区、直辖市规定的标准，多占的土地以非法占用</w:t>
            </w:r>
            <w:r>
              <w:rPr>
                <w:rStyle w:val="9"/>
                <w:rFonts w:hint="default" w:ascii="Times New Roman" w:hAnsi="Times New Roman" w:eastAsia="仿宋_GB2312" w:cs="Times New Roman"/>
                <w:color w:val="auto"/>
                <w:highlight w:val="none"/>
                <w:lang w:bidi="ar"/>
              </w:rPr>
              <w:t>土地论处。</w:t>
            </w:r>
          </w:p>
        </w:tc>
        <w:tc>
          <w:tcPr>
            <w:tcW w:w="1916" w:type="dxa"/>
            <w:vAlign w:val="center"/>
          </w:tcPr>
          <w:p w14:paraId="42841514">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49503488">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510DF8FD">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6B4D8133">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6DB52EEA">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7073DAA3">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3BD24EE3">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17A922D4">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p>
          <w:p w14:paraId="1B6F3413">
            <w:pPr>
              <w:adjustRightInd w:val="0"/>
              <w:snapToGrid w:val="0"/>
              <w:spacing w:line="300" w:lineRule="exact"/>
              <w:ind w:left="0" w:leftChars="0" w:firstLine="0" w:firstLineChars="0"/>
              <w:jc w:val="center"/>
              <w:textAlignment w:val="center"/>
              <w:rPr>
                <w:rStyle w:val="10"/>
                <w:rFonts w:hint="eastAsia" w:ascii="Times New Roman" w:hAnsi="Times New Roman" w:eastAsia="仿宋_GB2312" w:cs="Times New Roman"/>
                <w:color w:val="auto"/>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4084" w:type="dxa"/>
            <w:vAlign w:val="center"/>
          </w:tcPr>
          <w:p w14:paraId="48518A42">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503A1D0B">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60F841AC">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1034455A">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66B14354">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24AE9097">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6BFD0CBF">
            <w:pPr>
              <w:adjustRightInd w:val="0"/>
              <w:snapToGrid w:val="0"/>
              <w:spacing w:line="300" w:lineRule="exact"/>
              <w:ind w:firstLine="400" w:firstLineChars="200"/>
              <w:jc w:val="left"/>
              <w:textAlignment w:val="center"/>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tc>
        <w:tc>
          <w:tcPr>
            <w:tcW w:w="788" w:type="dxa"/>
            <w:vAlign w:val="center"/>
          </w:tcPr>
          <w:p w14:paraId="734B8C1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2" w:type="dxa"/>
            <w:vAlign w:val="center"/>
          </w:tcPr>
          <w:p w14:paraId="1977076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4251A39"/>
    <w:p w14:paraId="00BF2D16"/>
    <w:p w14:paraId="47CB7343"/>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02"/>
        <w:gridCol w:w="637"/>
        <w:gridCol w:w="778"/>
        <w:gridCol w:w="933"/>
        <w:gridCol w:w="1918"/>
        <w:gridCol w:w="1800"/>
        <w:gridCol w:w="7265"/>
        <w:gridCol w:w="1585"/>
        <w:gridCol w:w="4158"/>
        <w:gridCol w:w="685"/>
        <w:gridCol w:w="705"/>
      </w:tblGrid>
      <w:tr w14:paraId="1E1AA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2EC21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44487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3CA80F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93" w:type="dxa"/>
            <w:gridSpan w:val="5"/>
            <w:vAlign w:val="center"/>
          </w:tcPr>
          <w:p w14:paraId="614F52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05" w:type="dxa"/>
            <w:vMerge w:val="restart"/>
            <w:vAlign w:val="center"/>
          </w:tcPr>
          <w:p w14:paraId="5F2CD3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4F67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38322F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614564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02" w:type="dxa"/>
            <w:vAlign w:val="center"/>
          </w:tcPr>
          <w:p w14:paraId="0A55F6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7" w:type="dxa"/>
            <w:vAlign w:val="center"/>
          </w:tcPr>
          <w:p w14:paraId="1C4A95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78" w:type="dxa"/>
            <w:vAlign w:val="center"/>
          </w:tcPr>
          <w:p w14:paraId="3D51D2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32ACF3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68FB36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619AD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16196F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00" w:type="dxa"/>
            <w:vAlign w:val="center"/>
          </w:tcPr>
          <w:p w14:paraId="096962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F0DA7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65" w:type="dxa"/>
            <w:vAlign w:val="center"/>
          </w:tcPr>
          <w:p w14:paraId="08705D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85" w:type="dxa"/>
            <w:vAlign w:val="center"/>
          </w:tcPr>
          <w:p w14:paraId="5C75C9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158" w:type="dxa"/>
            <w:vAlign w:val="center"/>
          </w:tcPr>
          <w:p w14:paraId="332C26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85" w:type="dxa"/>
            <w:vAlign w:val="center"/>
          </w:tcPr>
          <w:p w14:paraId="504B71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AC162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05" w:type="dxa"/>
            <w:vMerge w:val="continue"/>
            <w:vAlign w:val="center"/>
          </w:tcPr>
          <w:p w14:paraId="6C397D2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082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34" w:hRule="atLeast"/>
          <w:jc w:val="center"/>
        </w:trPr>
        <w:tc>
          <w:tcPr>
            <w:tcW w:w="406" w:type="dxa"/>
            <w:vAlign w:val="center"/>
          </w:tcPr>
          <w:p w14:paraId="5142A15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2</w:t>
            </w:r>
          </w:p>
        </w:tc>
        <w:tc>
          <w:tcPr>
            <w:tcW w:w="476" w:type="dxa"/>
            <w:vAlign w:val="center"/>
          </w:tcPr>
          <w:p w14:paraId="330CCBA0">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行政许可</w:t>
            </w:r>
          </w:p>
        </w:tc>
        <w:tc>
          <w:tcPr>
            <w:tcW w:w="702" w:type="dxa"/>
            <w:vAlign w:val="center"/>
          </w:tcPr>
          <w:p w14:paraId="7273F8CC">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再生育审批（三孩及以上）</w:t>
            </w:r>
          </w:p>
        </w:tc>
        <w:tc>
          <w:tcPr>
            <w:tcW w:w="637" w:type="dxa"/>
            <w:vAlign w:val="center"/>
          </w:tcPr>
          <w:p w14:paraId="09E95A5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778" w:type="dxa"/>
            <w:vAlign w:val="center"/>
          </w:tcPr>
          <w:p w14:paraId="4A9D5F7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78A5CB2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百寿镇党群服务中心</w:t>
            </w:r>
          </w:p>
        </w:tc>
        <w:tc>
          <w:tcPr>
            <w:tcW w:w="1918" w:type="dxa"/>
            <w:vAlign w:val="center"/>
          </w:tcPr>
          <w:p w14:paraId="417D27A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.【法律】《中华人民共和国人口与计划生育法》第十八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国家提倡一对夫妻生育两个子女。符合法律、法规规定条件的，可以要求安排再生育子女。具体办法由省、自治区、直辖市人民代表大会或者其常务委员会规定。</w:t>
            </w:r>
          </w:p>
          <w:p w14:paraId="78DE970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地方性法规】《广西壮族自治区人口和计划生育条例》（2020年9月22日广西壮族自治区第十三届人民代表大会常务委员会第十八次会议《关于修改〈广西壮族自治区人口和计划生育条例〉的决定》第四次修正）第十五条第一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符合本条例第十四条第一款规定，要求再生育子女的夫妻，应当持夫妻双方的户口簿、身份证、结婚证和其他相关证件，向一方户籍所在地乡镇人民政府或者街道办事处提出书面申请，经乡镇人民政府或者街道办事处批准领取再生育证后，方可生育。</w:t>
            </w:r>
          </w:p>
          <w:p w14:paraId="28D8319C">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第十七条第二款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符合本条例第十四条第一款规定再生育子女的夫妻，在领取再生育证的同时，免费领取计划生育服务手册。</w:t>
            </w:r>
          </w:p>
        </w:tc>
        <w:tc>
          <w:tcPr>
            <w:tcW w:w="1800" w:type="dxa"/>
            <w:vAlign w:val="center"/>
          </w:tcPr>
          <w:p w14:paraId="4A13BA3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4E69825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2.审查阶段责任：审核材料真实性和合法性；现场审核；论证申请人是否符合相关法律法规标准的要求。</w:t>
            </w:r>
          </w:p>
          <w:p w14:paraId="4F5B75A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760A362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4.送达阶段责任：对许可的制发送达并信息公开，对不予许可的制发送达《不予许可决定书》；按时办结；法定告知。</w:t>
            </w:r>
          </w:p>
          <w:p w14:paraId="3502428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5.监管责任：建立实施监督检查的运行机制和管理制度，开展定期和不定期检查，依法采取相关处置措施。</w:t>
            </w:r>
          </w:p>
          <w:p w14:paraId="2E10B207">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0740D10B">
            <w:pPr>
              <w:adjustRightInd w:val="0"/>
              <w:snapToGrid w:val="0"/>
              <w:spacing w:line="300" w:lineRule="exact"/>
              <w:ind w:firstLine="400" w:firstLineChars="200"/>
              <w:jc w:val="left"/>
              <w:rPr>
                <w:rFonts w:hint="eastAsia" w:eastAsia="仿宋_GB2312" w:cs="Times New Roman"/>
                <w:color w:val="000000"/>
                <w:kern w:val="0"/>
                <w:sz w:val="20"/>
                <w:szCs w:val="20"/>
                <w:highlight w:val="none"/>
                <w:lang w:eastAsia="zh-CN"/>
              </w:rPr>
            </w:pPr>
          </w:p>
          <w:p w14:paraId="04439F5E">
            <w:pPr>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百寿镇党群服务中心</w:t>
            </w:r>
            <w:r>
              <w:rPr>
                <w:rFonts w:hint="eastAsia" w:eastAsia="仿宋_GB2312" w:cs="Times New Roman"/>
                <w:color w:val="000000"/>
                <w:kern w:val="0"/>
                <w:sz w:val="20"/>
                <w:szCs w:val="20"/>
                <w:highlight w:val="none"/>
                <w:lang w:eastAsia="zh-CN"/>
              </w:rPr>
              <w:t>）</w:t>
            </w:r>
          </w:p>
        </w:tc>
        <w:tc>
          <w:tcPr>
            <w:tcW w:w="7265" w:type="dxa"/>
            <w:vAlign w:val="center"/>
          </w:tcPr>
          <w:p w14:paraId="074DE18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7A081E8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【法律】《中华人民共和国行政许可法》第三十二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申请人按照本行政机关的要求提交全部补正申请材料的，应当受理行政许可申请。行政机关受理或者不予受理行政许可申请，应当出具加盖本行政机关专用印章和注明日期的书面凭证。</w:t>
            </w:r>
          </w:p>
          <w:p w14:paraId="25ADAA2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2.【行政法规】《医疗机构管理条例》第十九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14:paraId="628E6A1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3.【法律】《中华人民共和国行政许可法》第三十四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 xml:space="preserve">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3E2825D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766F053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p w14:paraId="754FB0E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【法律】《中华人民共和国行政许可法》第四十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26BAE28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6.【法律】《中华人民共和国行政许可法》第六十一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19FE872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第六十二条</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61E02BDD">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第六十三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585" w:type="dxa"/>
            <w:vAlign w:val="center"/>
          </w:tcPr>
          <w:p w14:paraId="5C55AE01">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140A408F">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33410972">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38D8330E">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32F97095">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28B1509E">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180DF852">
            <w:pPr>
              <w:widowControl/>
              <w:adjustRightInd w:val="0"/>
              <w:snapToGrid w:val="0"/>
              <w:spacing w:line="300" w:lineRule="exact"/>
              <w:ind w:firstLine="400" w:firstLineChars="200"/>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6C89501D">
            <w:pPr>
              <w:widowControl/>
              <w:adjustRightInd w:val="0"/>
              <w:snapToGrid w:val="0"/>
              <w:spacing w:line="300" w:lineRule="exact"/>
              <w:ind w:firstLine="400" w:firstLineChars="200"/>
              <w:rPr>
                <w:rStyle w:val="10"/>
                <w:rFonts w:hint="default" w:ascii="Times New Roman" w:hAnsi="Times New Roman" w:eastAsia="仿宋_GB2312" w:cs="Times New Roman"/>
                <w:color w:val="auto"/>
                <w:szCs w:val="20"/>
                <w:highlight w:val="none"/>
              </w:rPr>
            </w:pPr>
          </w:p>
          <w:p w14:paraId="6AECEB30">
            <w:pPr>
              <w:widowControl/>
              <w:adjustRightInd w:val="0"/>
              <w:snapToGrid w:val="0"/>
              <w:spacing w:line="300" w:lineRule="exact"/>
              <w:ind w:left="0" w:leftChars="0" w:firstLine="0" w:firstLineChars="0"/>
              <w:jc w:val="center"/>
              <w:rPr>
                <w:rStyle w:val="10"/>
                <w:rFonts w:hint="default" w:ascii="Times New Roman" w:hAnsi="Times New Roman" w:eastAsia="仿宋_GB2312" w:cs="Times New Roman"/>
                <w:color w:val="auto"/>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4158" w:type="dxa"/>
            <w:vAlign w:val="center"/>
          </w:tcPr>
          <w:p w14:paraId="6403B38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6988308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010288C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2A2E612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1FA5100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6EE3422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6773902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仿宋_GB2312" w:cs="Times New Roman"/>
                <w:snapToGrid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p w14:paraId="42058D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6.【地方性法规】《广西壮族自治区人口和计划生育条例》（2020年9月22日广西壮族自治区第十三届人民代表大会常务委员会第十八次会议《关于修改〈广西壮族自治区人口和计划生育条例〉的决定》第四次修正）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685" w:type="dxa"/>
            <w:vAlign w:val="center"/>
          </w:tcPr>
          <w:p w14:paraId="7438464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05" w:type="dxa"/>
            <w:vAlign w:val="center"/>
          </w:tcPr>
          <w:p w14:paraId="21C21CC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0CAACFCF"/>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39"/>
        <w:gridCol w:w="638"/>
        <w:gridCol w:w="740"/>
        <w:gridCol w:w="933"/>
        <w:gridCol w:w="4610"/>
        <w:gridCol w:w="2869"/>
        <w:gridCol w:w="3994"/>
        <w:gridCol w:w="1856"/>
        <w:gridCol w:w="3131"/>
        <w:gridCol w:w="788"/>
        <w:gridCol w:w="868"/>
      </w:tblGrid>
      <w:tr w14:paraId="31B46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733DE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F1041E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660" w:type="dxa"/>
            <w:gridSpan w:val="5"/>
            <w:vAlign w:val="center"/>
          </w:tcPr>
          <w:p w14:paraId="67B407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38" w:type="dxa"/>
            <w:gridSpan w:val="5"/>
            <w:vAlign w:val="center"/>
          </w:tcPr>
          <w:p w14:paraId="3756D5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8" w:type="dxa"/>
            <w:vMerge w:val="restart"/>
            <w:vAlign w:val="center"/>
          </w:tcPr>
          <w:p w14:paraId="4E6130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6014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FF7ABB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2609B6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39" w:type="dxa"/>
            <w:vAlign w:val="center"/>
          </w:tcPr>
          <w:p w14:paraId="510C7C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8" w:type="dxa"/>
            <w:vAlign w:val="center"/>
          </w:tcPr>
          <w:p w14:paraId="096E4C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40" w:type="dxa"/>
            <w:vAlign w:val="center"/>
          </w:tcPr>
          <w:p w14:paraId="599075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321556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144CF4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10CB5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610" w:type="dxa"/>
            <w:vAlign w:val="center"/>
          </w:tcPr>
          <w:p w14:paraId="591093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869" w:type="dxa"/>
            <w:vAlign w:val="center"/>
          </w:tcPr>
          <w:p w14:paraId="09B690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B8CCA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994" w:type="dxa"/>
            <w:vAlign w:val="center"/>
          </w:tcPr>
          <w:p w14:paraId="248756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56" w:type="dxa"/>
            <w:vAlign w:val="center"/>
          </w:tcPr>
          <w:p w14:paraId="3F4856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131" w:type="dxa"/>
            <w:vAlign w:val="center"/>
          </w:tcPr>
          <w:p w14:paraId="2BBD86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57A38B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FEB36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8" w:type="dxa"/>
            <w:vMerge w:val="continue"/>
            <w:vAlign w:val="center"/>
          </w:tcPr>
          <w:p w14:paraId="6FBB2E8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1ACD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1" w:hRule="atLeast"/>
          <w:jc w:val="center"/>
        </w:trPr>
        <w:tc>
          <w:tcPr>
            <w:tcW w:w="406" w:type="dxa"/>
            <w:vAlign w:val="center"/>
          </w:tcPr>
          <w:p w14:paraId="781D687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3</w:t>
            </w:r>
          </w:p>
        </w:tc>
        <w:tc>
          <w:tcPr>
            <w:tcW w:w="476" w:type="dxa"/>
            <w:vAlign w:val="center"/>
          </w:tcPr>
          <w:p w14:paraId="49F082C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行政征收</w:t>
            </w:r>
          </w:p>
        </w:tc>
        <w:tc>
          <w:tcPr>
            <w:tcW w:w="739" w:type="dxa"/>
            <w:vAlign w:val="center"/>
          </w:tcPr>
          <w:p w14:paraId="5D8D9323">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社会抚养费征收</w:t>
            </w:r>
          </w:p>
        </w:tc>
        <w:tc>
          <w:tcPr>
            <w:tcW w:w="638" w:type="dxa"/>
            <w:vAlign w:val="center"/>
          </w:tcPr>
          <w:p w14:paraId="32D72B3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740" w:type="dxa"/>
            <w:vAlign w:val="center"/>
          </w:tcPr>
          <w:p w14:paraId="0904FC1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31E3009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百寿镇党群服务中心</w:t>
            </w:r>
          </w:p>
        </w:tc>
        <w:tc>
          <w:tcPr>
            <w:tcW w:w="4610" w:type="dxa"/>
            <w:vAlign w:val="center"/>
          </w:tcPr>
          <w:p w14:paraId="250DEBD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1.【法律】《中华人民共和国人口与计划生育法》第四十一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不符合本法第十八条规定生育子女的公民，应当依法缴纳社会抚养费。</w:t>
            </w:r>
          </w:p>
          <w:p w14:paraId="7E9032E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2.【行政法规】《社会抚养费征收管理办法》（2002年国务院令第357号）第三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不符合人口与计划生育法第十八条的规定生育子女的公民，应当依照本办法的规定缴纳社会抚养费。</w:t>
            </w:r>
          </w:p>
          <w:p w14:paraId="73B7C02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地方性法规】《广西壮族自治区人口和计划生育条例》（2012年广西壮族自治区第十一届人民代表大会常务委员会第二十七次会议通过，2020年广西壮族自治区第十三届人民代表大会常务委员会第十八次会议第四次修正）第三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有下列行为之一的，由县级人民政府卫生健康行政部门依法征收社会抚养费；是国家工作人员的，还应当依法给予处分，其他人员还应当由其所在单位或者组织给予纪律处分：（一）不符合本条例规定条件生育子女的；（二）以收养等形式规避法律法规生育子女的；（三）婚外生育子女的；（四）非婚生育子女的。</w:t>
            </w:r>
          </w:p>
          <w:p w14:paraId="7AF07825">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地方政府规章</w:t>
            </w:r>
            <w:r>
              <w:rPr>
                <w:rFonts w:hint="default" w:ascii="Times New Roman" w:hAnsi="Times New Roman" w:eastAsia="仿宋_GB2312" w:cs="Times New Roman"/>
                <w:color w:val="000000"/>
                <w:kern w:val="0"/>
                <w:sz w:val="20"/>
                <w:szCs w:val="20"/>
                <w:highlight w:val="none"/>
              </w:rPr>
              <w:t>】《广西壮族自治区人口和计划生育管理办法》（2014年广西壮族自治区人民政府令 第102号公布，2019年广西壮族自治区人民政府令第130号修正）第二十二条第三款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社会抚养费的征收由县级卫生健康主管部门统一作书面征收决定书，委托乡镇人民政府或者城市街道办事处代收代缴。</w:t>
            </w:r>
          </w:p>
        </w:tc>
        <w:tc>
          <w:tcPr>
            <w:tcW w:w="2869" w:type="dxa"/>
            <w:vAlign w:val="center"/>
          </w:tcPr>
          <w:p w14:paraId="569DB1C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1.受理阶段责任：公示告知征收标准、金额计算方式、征收适用类型、征收方式以及其他应当公示的内容；</w:t>
            </w:r>
          </w:p>
          <w:p w14:paraId="07DB347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2.审核责任:审查社会扶养费征收的批准材料，对照材料，审查符合的征收标准；</w:t>
            </w:r>
          </w:p>
          <w:p w14:paraId="3DB6E0B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3.确定阶段责任：对照标准，计算并确认缴费数额，并要严格按照规定的范围、标准和时限要求征收社会抚养。</w:t>
            </w:r>
          </w:p>
          <w:p w14:paraId="23B2B64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4.事后监管阶段责任：对未及时缴费进行催报催缴。</w:t>
            </w:r>
          </w:p>
          <w:p w14:paraId="6003A8A7">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7AE83255">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547085BD">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百寿镇党群服务中心</w:t>
            </w:r>
            <w:r>
              <w:rPr>
                <w:rFonts w:hint="eastAsia" w:eastAsia="仿宋_GB2312" w:cs="Times New Roman"/>
                <w:color w:val="000000"/>
                <w:kern w:val="0"/>
                <w:sz w:val="20"/>
                <w:szCs w:val="20"/>
                <w:highlight w:val="none"/>
                <w:lang w:eastAsia="zh-CN"/>
              </w:rPr>
              <w:t>）</w:t>
            </w:r>
          </w:p>
        </w:tc>
        <w:tc>
          <w:tcPr>
            <w:tcW w:w="3994" w:type="dxa"/>
            <w:vAlign w:val="center"/>
          </w:tcPr>
          <w:p w14:paraId="65D6D08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【行政法规】《社会抚养费征收管理办法》第三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不符合人口与计划生育法第十八条的规定生育子女的公民，应当依照本办法的规定缴纳社会抚养费。</w:t>
            </w:r>
          </w:p>
          <w:p w14:paraId="113ADCE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社会抚养费的征收标准，分别以当地城镇居民年人均可支配收入和农村居民年人均纯收入为计征的参考基本标准，结合当事人的实际收入水平和不符合法律、法规规定生育子女的情节，确定征收数额。社会抚养费的具体征收标准由省、自治区、直辖市规定。</w:t>
            </w:r>
          </w:p>
          <w:p w14:paraId="1733288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任何单位和个人不得违反法律、法规的规定擅自增设与计划生育有关的收费项目，提高社会抚养费征收标准。</w:t>
            </w:r>
          </w:p>
          <w:p w14:paraId="6763EA7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社会抚养费及滞纳金应当全部上缴国库，按照国务院财政部门的规定纳入地方财政预算管理；任何单位和个人不得截留、挪用、贪污、私分。</w:t>
            </w:r>
          </w:p>
          <w:p w14:paraId="4C7CFC1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val="en-US" w:eastAsia="zh-CN"/>
              </w:rPr>
            </w:pPr>
            <w:r>
              <w:rPr>
                <w:rFonts w:hint="default" w:ascii="Times New Roman" w:hAnsi="Times New Roman" w:eastAsia="仿宋_GB2312" w:cs="Times New Roman"/>
                <w:color w:val="000000"/>
                <w:kern w:val="0"/>
                <w:sz w:val="20"/>
                <w:szCs w:val="20"/>
                <w:highlight w:val="none"/>
                <w:lang w:val="en-US" w:eastAsia="zh-CN"/>
              </w:rPr>
              <w:t>2.同1</w:t>
            </w:r>
          </w:p>
          <w:p w14:paraId="5E31BFE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val="en-US" w:eastAsia="zh-CN"/>
              </w:rPr>
            </w:pPr>
            <w:r>
              <w:rPr>
                <w:rFonts w:hint="default" w:ascii="Times New Roman" w:hAnsi="Times New Roman" w:eastAsia="仿宋_GB2312" w:cs="Times New Roman"/>
                <w:color w:val="000000"/>
                <w:kern w:val="0"/>
                <w:sz w:val="20"/>
                <w:szCs w:val="20"/>
                <w:highlight w:val="none"/>
                <w:lang w:val="en-US" w:eastAsia="zh-CN"/>
              </w:rPr>
              <w:t>3.同1</w:t>
            </w:r>
          </w:p>
          <w:p w14:paraId="22B659DD">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4.同1</w:t>
            </w:r>
          </w:p>
        </w:tc>
        <w:tc>
          <w:tcPr>
            <w:tcW w:w="1856" w:type="dxa"/>
            <w:vAlign w:val="center"/>
          </w:tcPr>
          <w:p w14:paraId="05EF82F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13D9AED6">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1.对查实的违法生育未依法启动征收程序的；</w:t>
            </w:r>
          </w:p>
          <w:p w14:paraId="0C1FA266">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2.无合法依据或未按程序实施征收的；</w:t>
            </w:r>
          </w:p>
          <w:p w14:paraId="6F7ACA39">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3.无合法依据擅自降低或提高征收标准的；</w:t>
            </w:r>
          </w:p>
          <w:p w14:paraId="4EACECD8">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4.未使用规定票据或伪造、涂改票据的；</w:t>
            </w:r>
          </w:p>
          <w:p w14:paraId="65CA9A1B">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5.在征收工作中玩忽职守、滥用职权、发生违法行政和腐败行为的；</w:t>
            </w:r>
          </w:p>
          <w:p w14:paraId="19854737">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6.截留、挪用、贪污、私分或违反规定擅自开支补偿费的；</w:t>
            </w:r>
          </w:p>
          <w:p w14:paraId="25089EC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7.其他违反法律法规政策规定的行为。</w:t>
            </w:r>
          </w:p>
          <w:p w14:paraId="614A09C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380AD493">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3131" w:type="dxa"/>
            <w:vAlign w:val="center"/>
          </w:tcPr>
          <w:p w14:paraId="162F9B8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1.【法律】《中华人民共和国人口与计划生育法》（2001年12月29日第九届全国人民代表大会常务委员会第二十五次会议通过）第三十九条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107158F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2.【规章】《社会抚养费征收管理办法》（2002年9月1日中华人民共和国国务院令第357号公布）第十三条  违反法律、法规的规定，擅自增设与计划生育有关的收费项目或者擅自提高社会抚养费征收标准的，依照《违反行政事业性收费和罚没收入收支两条线管理规定行政处分暂行规定》处理。</w:t>
            </w:r>
          </w:p>
          <w:p w14:paraId="7D3BFFE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第十四条  截留、挪用、贪污、私分社会抚养费的，依照刑法关于贪污罪、挪用公款罪、私分国有资产罪的规定，依法追究刑事责任；尚不够刑事处罚的，对直接负责的主管人员和其他直接责任人员依法给予降级、撤职或者开除的行政处分。</w:t>
            </w:r>
          </w:p>
        </w:tc>
        <w:tc>
          <w:tcPr>
            <w:tcW w:w="788" w:type="dxa"/>
            <w:vAlign w:val="center"/>
          </w:tcPr>
          <w:p w14:paraId="1DD96F4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68" w:type="dxa"/>
            <w:vAlign w:val="center"/>
          </w:tcPr>
          <w:p w14:paraId="79EAF2E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B0063FD"/>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712"/>
        <w:gridCol w:w="5194"/>
        <w:gridCol w:w="3129"/>
        <w:gridCol w:w="2383"/>
        <w:gridCol w:w="900"/>
        <w:gridCol w:w="764"/>
      </w:tblGrid>
      <w:tr w14:paraId="18D11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469DA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BE672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5B00BE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318" w:type="dxa"/>
            <w:gridSpan w:val="5"/>
            <w:vAlign w:val="center"/>
          </w:tcPr>
          <w:p w14:paraId="40C41D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4" w:type="dxa"/>
            <w:vMerge w:val="restart"/>
            <w:vAlign w:val="center"/>
          </w:tcPr>
          <w:p w14:paraId="7D11A8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08F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BE8E35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83C996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78A10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965F1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5036E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3C756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09703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12F10F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12" w:type="dxa"/>
            <w:vAlign w:val="center"/>
          </w:tcPr>
          <w:p w14:paraId="2063BA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5D016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194" w:type="dxa"/>
            <w:vAlign w:val="center"/>
          </w:tcPr>
          <w:p w14:paraId="63417F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29" w:type="dxa"/>
            <w:vAlign w:val="center"/>
          </w:tcPr>
          <w:p w14:paraId="095CB1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83" w:type="dxa"/>
            <w:vAlign w:val="center"/>
          </w:tcPr>
          <w:p w14:paraId="514160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00" w:type="dxa"/>
            <w:vAlign w:val="center"/>
          </w:tcPr>
          <w:p w14:paraId="50704A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650E3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4" w:type="dxa"/>
            <w:vMerge w:val="continue"/>
            <w:vAlign w:val="center"/>
          </w:tcPr>
          <w:p w14:paraId="5D3777D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C17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2" w:hRule="atLeast"/>
          <w:jc w:val="center"/>
        </w:trPr>
        <w:tc>
          <w:tcPr>
            <w:tcW w:w="406" w:type="dxa"/>
            <w:vAlign w:val="center"/>
          </w:tcPr>
          <w:p w14:paraId="4ABFB6C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4</w:t>
            </w:r>
          </w:p>
        </w:tc>
        <w:tc>
          <w:tcPr>
            <w:tcW w:w="476" w:type="dxa"/>
            <w:vAlign w:val="center"/>
          </w:tcPr>
          <w:p w14:paraId="270E1639">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32E67D9B">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《独生子女父母光荣证》核发</w:t>
            </w:r>
          </w:p>
        </w:tc>
        <w:tc>
          <w:tcPr>
            <w:tcW w:w="650" w:type="dxa"/>
            <w:vAlign w:val="center"/>
          </w:tcPr>
          <w:p w14:paraId="7EB05E0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0A3082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7336B4A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百寿镇党群服务中心</w:t>
            </w:r>
          </w:p>
        </w:tc>
        <w:tc>
          <w:tcPr>
            <w:tcW w:w="2815" w:type="dxa"/>
            <w:vAlign w:val="center"/>
          </w:tcPr>
          <w:p w14:paraId="0DC3DE1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fldChar w:fldCharType="begin"/>
            </w:r>
            <w:r>
              <w:rPr>
                <w:rFonts w:hint="default" w:ascii="Times New Roman" w:hAnsi="Times New Roman" w:eastAsia="仿宋_GB2312" w:cs="Times New Roman"/>
                <w:color w:val="000000"/>
                <w:kern w:val="0"/>
                <w:sz w:val="20"/>
                <w:szCs w:val="20"/>
                <w:highlight w:val="none"/>
              </w:rPr>
              <w:instrText xml:space="preserve"> HYPERLINK "javascript:SLC(18415926)" \o "" </w:instrText>
            </w:r>
            <w:r>
              <w:rPr>
                <w:rFonts w:hint="default" w:ascii="Times New Roman" w:hAnsi="Times New Roman" w:eastAsia="仿宋_GB2312" w:cs="Times New Roman"/>
                <w:color w:val="000000"/>
                <w:kern w:val="0"/>
                <w:sz w:val="20"/>
                <w:szCs w:val="20"/>
                <w:highlight w:val="none"/>
              </w:rPr>
              <w:fldChar w:fldCharType="separate"/>
            </w:r>
            <w:r>
              <w:rPr>
                <w:rFonts w:hint="default" w:ascii="Times New Roman" w:hAnsi="Times New Roman" w:eastAsia="仿宋_GB2312" w:cs="Times New Roman"/>
                <w:color w:val="000000"/>
                <w:kern w:val="0"/>
                <w:sz w:val="20"/>
                <w:szCs w:val="20"/>
                <w:highlight w:val="none"/>
              </w:rPr>
              <w:t>1.【法律】《中华人民共和国人口与计划生育法》第二十七条第一款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在国家提倡一对夫妻生育一个子女期间，自愿终身只生育一个子女的夫妻，国家发给《独生子女父母光荣证》。</w:t>
            </w:r>
          </w:p>
          <w:p w14:paraId="653DDD3E">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地方性法规】《广西壮族自治区人口和计划生育条例》（2012年广西壮族自治区第十一届人民代表大会常务委员会第二十七次会议通过，2020年广西壮族自治区第十三届人民代表大会常务委员会第十八次会议第四次修正）第二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在国家提倡一对夫妻生育一个子女期间，自愿终身只生育一个子女的，经本人申请，由乡镇人民政府、街道办事处批准后，发给《独生子女父母光荣证》，并按有关规定发给独生子女保健费至子女年满十八周岁。</w:t>
            </w:r>
            <w:r>
              <w:rPr>
                <w:rFonts w:hint="default" w:ascii="Times New Roman" w:hAnsi="Times New Roman" w:eastAsia="仿宋_GB2312" w:cs="Times New Roman"/>
                <w:color w:val="000000"/>
                <w:kern w:val="0"/>
                <w:sz w:val="20"/>
                <w:szCs w:val="20"/>
                <w:highlight w:val="none"/>
              </w:rPr>
              <w:fldChar w:fldCharType="end"/>
            </w:r>
          </w:p>
        </w:tc>
        <w:tc>
          <w:tcPr>
            <w:tcW w:w="2712" w:type="dxa"/>
            <w:vAlign w:val="center"/>
          </w:tcPr>
          <w:p w14:paraId="7509D40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1.受理责任：负责对鉴定对象进行病史及必要的社会调查，收集整理有关重要资料。（不予受理应当告知理由）。</w:t>
            </w:r>
          </w:p>
          <w:p w14:paraId="4D57CCC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2.审查责任：负责对要求鉴定的对象进行检查与诊断。</w:t>
            </w:r>
          </w:p>
          <w:p w14:paraId="433679A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3.决定责任：作出行政确认或者不予行政确认决定，法定告知（不予确认的应当书面告知理由）。</w:t>
            </w:r>
          </w:p>
          <w:p w14:paraId="46F78828">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4.告知环节责任：负责开具鉴定结论，并由县级卫生计生行政部门领回交给申请人。</w:t>
            </w:r>
          </w:p>
          <w:p w14:paraId="54285B1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5.事后监管环节责任：建立健全监督制度，分管领导对审批后的相关事宜实施监督管理。</w:t>
            </w:r>
          </w:p>
          <w:p w14:paraId="6F132FD9">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72B65A77">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4B50AEC6">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百寿镇党群服务中心</w:t>
            </w:r>
            <w:r>
              <w:rPr>
                <w:rFonts w:hint="eastAsia" w:eastAsia="仿宋_GB2312" w:cs="Times New Roman"/>
                <w:color w:val="000000"/>
                <w:kern w:val="0"/>
                <w:sz w:val="20"/>
                <w:szCs w:val="20"/>
                <w:highlight w:val="none"/>
                <w:lang w:eastAsia="zh-CN"/>
              </w:rPr>
              <w:t>）</w:t>
            </w:r>
          </w:p>
        </w:tc>
        <w:tc>
          <w:tcPr>
            <w:tcW w:w="5194" w:type="dxa"/>
            <w:vAlign w:val="center"/>
          </w:tcPr>
          <w:p w14:paraId="5A361F17">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行政执法机关应将办理各种申请的条件、程序、期限和范围及其他相关情况向社会公开，并应建立受理申请登记制度。</w:t>
            </w:r>
          </w:p>
          <w:p w14:paraId="270C0E4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2.【地方政府规章】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仿宋_GB2312" w:cs="Times New Roman"/>
                <w:color w:val="000000"/>
                <w:kern w:val="0"/>
                <w:sz w:val="20"/>
                <w:szCs w:val="20"/>
                <w:highlight w:val="none"/>
                <w:lang w:eastAsia="zh-CN"/>
              </w:rPr>
              <w:t>。</w:t>
            </w:r>
          </w:p>
          <w:p w14:paraId="307670CC">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3.【地方政府规章】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第三十三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r>
              <w:rPr>
                <w:rFonts w:hint="default" w:ascii="Times New Roman" w:hAnsi="Times New Roman" w:eastAsia="仿宋_GB2312" w:cs="Times New Roman"/>
                <w:color w:val="000000"/>
                <w:kern w:val="0"/>
                <w:sz w:val="20"/>
                <w:szCs w:val="20"/>
                <w:highlight w:val="none"/>
                <w:lang w:eastAsia="zh-CN"/>
              </w:rPr>
              <w:t>。</w:t>
            </w:r>
          </w:p>
          <w:p w14:paraId="067DBFF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4.【地方政府规章】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第五十七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r>
              <w:rPr>
                <w:rFonts w:hint="default" w:ascii="Times New Roman" w:hAnsi="Times New Roman" w:eastAsia="仿宋_GB2312" w:cs="Times New Roman"/>
                <w:color w:val="000000"/>
                <w:kern w:val="0"/>
                <w:sz w:val="20"/>
                <w:szCs w:val="20"/>
                <w:highlight w:val="none"/>
                <w:lang w:eastAsia="zh-CN"/>
              </w:rPr>
              <w:t>。</w:t>
            </w:r>
          </w:p>
          <w:p w14:paraId="390855B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5.【地方政府规章】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第六十八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行政执法机关应根据法律、法规和规章的规定，建立健全相应的执法工作规则，保证具体执法行为合法、高效、有序。</w:t>
            </w:r>
          </w:p>
        </w:tc>
        <w:tc>
          <w:tcPr>
            <w:tcW w:w="3129" w:type="dxa"/>
            <w:vAlign w:val="center"/>
          </w:tcPr>
          <w:p w14:paraId="0ED8FD56">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470F54D6">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1.不在办公场所公示依法应当公示的材料的；</w:t>
            </w:r>
          </w:p>
          <w:p w14:paraId="7BE19825">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2.对符合条件不予受理或不应该受理而受理造成不良后果的；</w:t>
            </w:r>
          </w:p>
          <w:p w14:paraId="2EA9AA3B">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3.没有按照工作要求核实申请人情况的；</w:t>
            </w:r>
          </w:p>
          <w:p w14:paraId="1BAE5079">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4.办理人员弄虚作假、</w:t>
            </w:r>
            <w:r>
              <w:rPr>
                <w:rFonts w:hint="eastAsia" w:eastAsia="仿宋_GB2312" w:cs="Times New Roman"/>
                <w:snapToGrid w:val="0"/>
                <w:sz w:val="20"/>
                <w:szCs w:val="20"/>
                <w:highlight w:val="none"/>
                <w:lang w:eastAsia="zh-CN"/>
              </w:rPr>
              <w:t>徇私舞弊</w:t>
            </w:r>
            <w:r>
              <w:rPr>
                <w:rFonts w:hint="default" w:ascii="Times New Roman" w:hAnsi="Times New Roman" w:eastAsia="仿宋_GB2312" w:cs="Times New Roman"/>
                <w:snapToGrid w:val="0"/>
                <w:sz w:val="20"/>
                <w:szCs w:val="20"/>
                <w:highlight w:val="none"/>
              </w:rPr>
              <w:t>、收受贿赂或向当事人索取财物的；</w:t>
            </w:r>
          </w:p>
          <w:p w14:paraId="4449F5D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5.其他违反法律法规规章文件规定的行为。</w:t>
            </w:r>
          </w:p>
          <w:p w14:paraId="25D5B10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6D498587">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2383" w:type="dxa"/>
            <w:vAlign w:val="center"/>
          </w:tcPr>
          <w:p w14:paraId="5CE95D36">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【地方性法规】《广西壮族自治区人口和计划生育条例》（2016年1月15日广西壮族自治区第十二届人民代表大会常务委员会第二十一次会议第二次修正）</w:t>
            </w:r>
          </w:p>
          <w:p w14:paraId="3D61483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第四十五条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和计划生育统计数据的。</w:t>
            </w:r>
          </w:p>
        </w:tc>
        <w:tc>
          <w:tcPr>
            <w:tcW w:w="900" w:type="dxa"/>
            <w:vAlign w:val="center"/>
          </w:tcPr>
          <w:p w14:paraId="1B6F83B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4" w:type="dxa"/>
            <w:vAlign w:val="center"/>
          </w:tcPr>
          <w:p w14:paraId="3B76760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BF3EFAC"/>
    <w:tbl>
      <w:tblPr>
        <w:tblStyle w:val="4"/>
        <w:tblW w:w="21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356"/>
        <w:gridCol w:w="4076"/>
        <w:gridCol w:w="3107"/>
        <w:gridCol w:w="3661"/>
        <w:gridCol w:w="925"/>
        <w:gridCol w:w="830"/>
      </w:tblGrid>
      <w:tr w14:paraId="150A6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3B760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55DE3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4F4736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25" w:type="dxa"/>
            <w:gridSpan w:val="5"/>
            <w:vAlign w:val="center"/>
          </w:tcPr>
          <w:p w14:paraId="1B08E0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30" w:type="dxa"/>
            <w:vMerge w:val="restart"/>
            <w:vAlign w:val="center"/>
          </w:tcPr>
          <w:p w14:paraId="6E1F5C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0CCC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B9E44A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2FC6A5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3DAB0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A2ABF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0B4B9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09735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84D1C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08DC13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356" w:type="dxa"/>
            <w:vAlign w:val="center"/>
          </w:tcPr>
          <w:p w14:paraId="721D34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A13DF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076" w:type="dxa"/>
            <w:vAlign w:val="center"/>
          </w:tcPr>
          <w:p w14:paraId="2D0DE6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7" w:type="dxa"/>
            <w:vAlign w:val="center"/>
          </w:tcPr>
          <w:p w14:paraId="020D79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1" w:type="dxa"/>
            <w:vAlign w:val="center"/>
          </w:tcPr>
          <w:p w14:paraId="0D76CD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5" w:type="dxa"/>
            <w:vAlign w:val="center"/>
          </w:tcPr>
          <w:p w14:paraId="521BAE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3427A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30" w:type="dxa"/>
            <w:vMerge w:val="continue"/>
            <w:vAlign w:val="center"/>
          </w:tcPr>
          <w:p w14:paraId="52EC6D6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08A0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67" w:hRule="atLeast"/>
          <w:jc w:val="center"/>
        </w:trPr>
        <w:tc>
          <w:tcPr>
            <w:tcW w:w="406" w:type="dxa"/>
            <w:vAlign w:val="center"/>
          </w:tcPr>
          <w:p w14:paraId="276EF5E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5</w:t>
            </w:r>
          </w:p>
        </w:tc>
        <w:tc>
          <w:tcPr>
            <w:tcW w:w="476" w:type="dxa"/>
            <w:vAlign w:val="center"/>
          </w:tcPr>
          <w:p w14:paraId="45C939C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6E5BE663">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流动人口婚育证明核发</w:t>
            </w:r>
          </w:p>
        </w:tc>
        <w:tc>
          <w:tcPr>
            <w:tcW w:w="650" w:type="dxa"/>
            <w:vAlign w:val="center"/>
          </w:tcPr>
          <w:p w14:paraId="6AD83CB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426D0A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6498760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百寿镇党群服务中心</w:t>
            </w:r>
          </w:p>
        </w:tc>
        <w:tc>
          <w:tcPr>
            <w:tcW w:w="2815" w:type="dxa"/>
            <w:vAlign w:val="center"/>
          </w:tcPr>
          <w:p w14:paraId="36731EE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1.【法律】《中华人民共和国人口与计划生育法》第十四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流动人口的计划生育工作由其户籍所在地和现居住地的人民政府共同负责管理，以现居住地为主。</w:t>
            </w:r>
          </w:p>
          <w:p w14:paraId="2630ED3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第四十五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流动人口计划生育工作的具体管理办法、计划生育技术服务的具体管理办法和社会抚养费的征收管理办法，由国务院制定。</w:t>
            </w:r>
          </w:p>
          <w:p w14:paraId="2BD0D1D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2.【行政法规】《流动人口计划生育工作条例》（2009年国务院令第555号）第七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中的成年育龄妇女（以下称成年育龄妇女）在离开户籍所在地前，应当凭本人居民身份证到户籍所在地的乡（镇）人民政府或者街道办事处办理婚育证明；已婚的，办理婚育证明还应当出示结婚证。婚育证明应当载明成年育龄妇女的姓名、年龄、公民身份号码、婚姻状况、配偶信息、生育状况、避孕节育情况等内容。</w:t>
            </w:r>
          </w:p>
          <w:p w14:paraId="0D614AA8">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流动人口户籍所在地的乡（镇）人民政府、街道办事处应当及时出具婚育证明。</w:t>
            </w:r>
          </w:p>
        </w:tc>
        <w:tc>
          <w:tcPr>
            <w:tcW w:w="2356" w:type="dxa"/>
            <w:vAlign w:val="center"/>
          </w:tcPr>
          <w:p w14:paraId="568FE61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1.受理责任：负责对鉴定对象进行病史及必要的社会调查，收集整理有关重要资料。（不予受理应当告知理由）。</w:t>
            </w:r>
          </w:p>
          <w:p w14:paraId="2F6C78D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2.审查责任：负责对要求鉴定的对象进行检查与诊断。</w:t>
            </w:r>
          </w:p>
          <w:p w14:paraId="566F843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3.决定责任：作出行政确认或者不予行政确认决定，法定告知（不予确认的应当书面告知理由）。</w:t>
            </w:r>
          </w:p>
          <w:p w14:paraId="30434FE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4.告知环节责任：负责开具鉴定结论，并由县级卫生计生行政部门领回交给申请人。</w:t>
            </w:r>
          </w:p>
          <w:p w14:paraId="48D0676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5.事后监管环节责任：建立健全监督制度，分管领导对审批后的相关事宜实施监督管理。</w:t>
            </w:r>
          </w:p>
          <w:p w14:paraId="3931F20B">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6337455A">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5633AEF8">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（百寿镇党群服务中心）</w:t>
            </w:r>
          </w:p>
        </w:tc>
        <w:tc>
          <w:tcPr>
            <w:tcW w:w="4076" w:type="dxa"/>
            <w:vAlign w:val="center"/>
          </w:tcPr>
          <w:p w14:paraId="695C8B3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行政执法机关应将办理各种申请的条件、程序、期限和范围及其他相关情况向社会公开，并应建立受理申请登记制度。</w:t>
            </w:r>
          </w:p>
          <w:p w14:paraId="7438949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2.【地方政府规章】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仿宋_GB2312" w:cs="Times New Roman"/>
                <w:color w:val="000000"/>
                <w:kern w:val="0"/>
                <w:sz w:val="20"/>
                <w:szCs w:val="20"/>
                <w:highlight w:val="none"/>
                <w:lang w:eastAsia="zh-CN"/>
              </w:rPr>
              <w:t>。</w:t>
            </w:r>
          </w:p>
          <w:p w14:paraId="0994C1B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第三十三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6DDAD1C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第五十七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p>
          <w:p w14:paraId="74004652">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5.【地方政府规章】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第六十八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行政执法机关应根据法律、法规和规章的规定，建立健全相应的执法工作规则，保证具体执法行为合法、高效、有序。</w:t>
            </w:r>
          </w:p>
        </w:tc>
        <w:tc>
          <w:tcPr>
            <w:tcW w:w="3107" w:type="dxa"/>
            <w:vAlign w:val="center"/>
          </w:tcPr>
          <w:p w14:paraId="0BA8A30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7AFEB41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1.对符合条件不予受理或不应该受理而受理造成不良后果的；</w:t>
            </w:r>
          </w:p>
          <w:p w14:paraId="168374E9">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2.没有严格按照工作规程组织鉴定，违反公开、透明、公正的原则，未能真实反映情况的；</w:t>
            </w:r>
          </w:p>
          <w:p w14:paraId="2C5493B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3.收受贿赂或向当事人索取财物的；</w:t>
            </w:r>
          </w:p>
          <w:p w14:paraId="7FD73A2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4.办理人员弄虚作假、</w:t>
            </w:r>
            <w:r>
              <w:rPr>
                <w:rFonts w:hint="eastAsia" w:eastAsia="仿宋_GB2312" w:cs="Times New Roman"/>
                <w:snapToGrid w:val="0"/>
                <w:sz w:val="20"/>
                <w:szCs w:val="20"/>
                <w:highlight w:val="none"/>
                <w:lang w:eastAsia="zh-CN"/>
              </w:rPr>
              <w:t>徇私舞弊</w:t>
            </w:r>
            <w:r>
              <w:rPr>
                <w:rFonts w:hint="default" w:ascii="Times New Roman" w:hAnsi="Times New Roman" w:eastAsia="仿宋_GB2312" w:cs="Times New Roman"/>
                <w:snapToGrid w:val="0"/>
                <w:sz w:val="20"/>
                <w:szCs w:val="20"/>
                <w:highlight w:val="none"/>
              </w:rPr>
              <w:t>、提供不实材料，导致不正确鉴定结论的；</w:t>
            </w:r>
          </w:p>
          <w:p w14:paraId="271A5FD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5.其他违反法律法规规章文件规定的行为。</w:t>
            </w:r>
          </w:p>
          <w:p w14:paraId="1463D1C9">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27388FD2">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镇纪律检查委员会</w:t>
            </w:r>
            <w:r>
              <w:rPr>
                <w:rFonts w:hint="default" w:ascii="Times New Roman" w:hAnsi="Times New Roman" w:eastAsia="仿宋_GB2312" w:cs="Times New Roman"/>
                <w:kern w:val="0"/>
                <w:sz w:val="20"/>
                <w:szCs w:val="20"/>
                <w:highlight w:val="none"/>
                <w:lang w:eastAsia="zh-CN"/>
              </w:rPr>
              <w:t>）</w:t>
            </w:r>
          </w:p>
        </w:tc>
        <w:tc>
          <w:tcPr>
            <w:tcW w:w="3661" w:type="dxa"/>
            <w:vAlign w:val="center"/>
          </w:tcPr>
          <w:p w14:paraId="5BA000A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1.【法律】《中华人民共和国人口与计划生育法》（2001年12月29日第九届全国人民代表大会常务委员会第二十五次会议通过　根据2015年12月27日第十二届全国人民代表大会常务委员会第十八次会议《关于修改〈中华人民共和国人口与计划生育法〉的决定》修正）第三十九条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06051D1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2.【法规】《流动人口计划生育工作条例》（2009年4月29日中华人民共和国国务院令 第555号公布）第二十条  流动人口户籍所在地的乡（镇）人民政府或者街道办事处在流动人口计划生育工作中有下列情形之一的，分别由乡（镇）人民政府的上级人民政府或者设立街道办事处的人民政府责令改正，通报批评；情节严重的，对主要负责人、直接负责的主管人员和其他直接责任人员依法给予处分：（一）未依照本条例规定为流动人口出具计划生育证明材料，出具虚假计划生育证明材料</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出具计划生育证明材料收取费用的；（二）违反本条例规定，要求已婚育龄妇女返回户籍所在地进行避孕节育情况检查的；（三）未依法落实流动人口计划生育奖励、优待的；（四）未依照本条例规定向流动人口现居住地的乡（镇）人民政府、街道办事处反馈流动人口计划生育信息的；（五）违反本条例规定的其他情形。</w:t>
            </w:r>
          </w:p>
        </w:tc>
        <w:tc>
          <w:tcPr>
            <w:tcW w:w="925" w:type="dxa"/>
            <w:vAlign w:val="center"/>
          </w:tcPr>
          <w:p w14:paraId="1EC93B2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30" w:type="dxa"/>
            <w:vAlign w:val="center"/>
          </w:tcPr>
          <w:p w14:paraId="36A83A9B">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3AA15679"/>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58"/>
        <w:gridCol w:w="2557"/>
        <w:gridCol w:w="7758"/>
        <w:gridCol w:w="1781"/>
        <w:gridCol w:w="1736"/>
        <w:gridCol w:w="986"/>
        <w:gridCol w:w="940"/>
      </w:tblGrid>
      <w:tr w14:paraId="12157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128A00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A2292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408" w:type="dxa"/>
            <w:gridSpan w:val="5"/>
            <w:vAlign w:val="center"/>
          </w:tcPr>
          <w:p w14:paraId="3C2D72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18" w:type="dxa"/>
            <w:gridSpan w:val="5"/>
            <w:vAlign w:val="center"/>
          </w:tcPr>
          <w:p w14:paraId="33E1BD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40" w:type="dxa"/>
            <w:vMerge w:val="restart"/>
            <w:vAlign w:val="center"/>
          </w:tcPr>
          <w:p w14:paraId="49B0FF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ECD1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6492826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F181EA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E38BD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36A63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7151F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14FB9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5E07A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58" w:type="dxa"/>
            <w:vAlign w:val="center"/>
          </w:tcPr>
          <w:p w14:paraId="460035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57" w:type="dxa"/>
            <w:vAlign w:val="center"/>
          </w:tcPr>
          <w:p w14:paraId="238DDD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40772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758" w:type="dxa"/>
            <w:vAlign w:val="center"/>
          </w:tcPr>
          <w:p w14:paraId="1738B4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323B2B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736" w:type="dxa"/>
            <w:vAlign w:val="center"/>
          </w:tcPr>
          <w:p w14:paraId="723597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6" w:type="dxa"/>
            <w:vAlign w:val="center"/>
          </w:tcPr>
          <w:p w14:paraId="4E67C3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6E372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40" w:type="dxa"/>
            <w:vMerge w:val="continue"/>
            <w:vAlign w:val="center"/>
          </w:tcPr>
          <w:p w14:paraId="41DB6BF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BB56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0" w:hRule="atLeast"/>
          <w:jc w:val="center"/>
        </w:trPr>
        <w:tc>
          <w:tcPr>
            <w:tcW w:w="406" w:type="dxa"/>
            <w:vAlign w:val="center"/>
          </w:tcPr>
          <w:p w14:paraId="3EBB647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6</w:t>
            </w:r>
          </w:p>
        </w:tc>
        <w:tc>
          <w:tcPr>
            <w:tcW w:w="476" w:type="dxa"/>
            <w:vAlign w:val="center"/>
          </w:tcPr>
          <w:p w14:paraId="1C8C81D6">
            <w:pPr>
              <w:widowControl/>
              <w:adjustRightInd w:val="0"/>
              <w:snapToGrid w:val="0"/>
              <w:spacing w:line="294"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501DDA20">
            <w:pPr>
              <w:widowControl/>
              <w:adjustRightInd w:val="0"/>
              <w:snapToGrid w:val="0"/>
              <w:spacing w:line="294"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生育登记（一孩/二孩）</w:t>
            </w:r>
          </w:p>
        </w:tc>
        <w:tc>
          <w:tcPr>
            <w:tcW w:w="650" w:type="dxa"/>
            <w:vAlign w:val="center"/>
          </w:tcPr>
          <w:p w14:paraId="3775942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012D85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4235000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百寿镇党群服务中心</w:t>
            </w:r>
          </w:p>
        </w:tc>
        <w:tc>
          <w:tcPr>
            <w:tcW w:w="2358" w:type="dxa"/>
            <w:vAlign w:val="center"/>
          </w:tcPr>
          <w:p w14:paraId="072882F9">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地方性法规】《广西壮族自治区人口和计划生育条例》（2012年广西壮族自治区第十一届人民代表大会常务委员会第二十七次会议通过，2020年广西壮族自治区第十三届人民代表大会常务委员会第十八次会议第四次修正）　第十七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符合本条例第十三条或者第十四条第二款、第三款规定生育子女的夫妻，在分娩前或者分娩后持双方的户口簿、身份证、结婚证和其他相关证件，到一方户籍所在地或者现居住地乡镇人民政府、街道办事处进行登记，免费领取计划生育服务手册。</w:t>
            </w:r>
          </w:p>
        </w:tc>
        <w:tc>
          <w:tcPr>
            <w:tcW w:w="2557" w:type="dxa"/>
            <w:vAlign w:val="center"/>
          </w:tcPr>
          <w:p w14:paraId="762F6319">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1FB51AD1">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2.审查阶段责任：审核材料真实性和合法性；现场审核；论证申请人是否符合相关法律法规标准的要求。</w:t>
            </w:r>
          </w:p>
          <w:p w14:paraId="32162A05">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7AE80858">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4.送达阶段责任：对许可的制发送达并信息公开，对不予许可的制发送达《不予许可决定书》；按时办结；法定告知。</w:t>
            </w:r>
          </w:p>
          <w:p w14:paraId="3441E88C">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5.事后监管责任：定期或不定期检查已发单位是否有违反《放射诊疗管理规定》的行为，对违法行为依法查处，并给予有关责任人相关处分。</w:t>
            </w:r>
          </w:p>
          <w:p w14:paraId="22B198F2">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29D00F0F">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179C103C">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（百寿镇党群服务中心）</w:t>
            </w:r>
          </w:p>
        </w:tc>
        <w:tc>
          <w:tcPr>
            <w:tcW w:w="7758" w:type="dxa"/>
            <w:vAlign w:val="center"/>
          </w:tcPr>
          <w:p w14:paraId="07B1F370">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w:t>
            </w:r>
            <w:r>
              <w:rPr>
                <w:rFonts w:hint="default" w:ascii="Times New Roman" w:hAnsi="Times New Roman" w:eastAsia="仿宋_GB2312" w:cs="Times New Roman"/>
                <w:color w:val="000000"/>
                <w:kern w:val="0"/>
                <w:sz w:val="20"/>
                <w:szCs w:val="20"/>
                <w:highlight w:val="none"/>
                <w:lang w:eastAsia="zh-CN"/>
              </w:rPr>
              <w:t>关应当说明、解释，提供准确、可靠的信息。</w:t>
            </w:r>
          </w:p>
          <w:p w14:paraId="7B616646">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【法律】《中华人民共和国行政许可法》第三十二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w:t>
            </w:r>
            <w:r>
              <w:rPr>
                <w:rFonts w:hint="default" w:ascii="Times New Roman" w:hAnsi="Times New Roman" w:eastAsia="仿宋_GB2312" w:cs="Times New Roman"/>
                <w:color w:val="000000"/>
                <w:kern w:val="0"/>
                <w:sz w:val="20"/>
                <w:szCs w:val="20"/>
                <w:highlight w:val="none"/>
                <w:lang w:eastAsia="zh-CN"/>
              </w:rPr>
              <w:t>用印章和注明日期的书面凭证。</w:t>
            </w:r>
          </w:p>
          <w:p w14:paraId="05194E60">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2.</w:t>
            </w:r>
            <w:r>
              <w:rPr>
                <w:rFonts w:hint="default" w:ascii="Times New Roman" w:hAnsi="Times New Roman" w:eastAsia="仿宋_GB2312" w:cs="Times New Roman"/>
                <w:color w:val="000000"/>
                <w:kern w:val="0"/>
                <w:sz w:val="20"/>
                <w:szCs w:val="20"/>
                <w:highlight w:val="none"/>
              </w:rPr>
              <w:t>【行政法规】《医师执业注册暂行办法》第八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注册主管部门应当自收到注册申请之日起30日内，对申请人提交的申请材料进行审核。审核合格的，予以注册，并发给卫生部统一印制的《医师执业证书》。</w:t>
            </w:r>
          </w:p>
          <w:p w14:paraId="04472D21">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对不符合注册条件的，注册主管部门应当自收到注册申请之日起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日内，书面通知申请人，并说明理由。申请人如有异议的，可以依法申请行政复议或者向人民法院提起行政诉讼。</w:t>
            </w:r>
          </w:p>
          <w:p w14:paraId="43D8A156">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注册主管部门应当自收到变更注册申请之日起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日内办理变更注册手续。对因不符合变更注册条件不予变更的，应当自收到变更注册申请之日起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日内书面通知申请人，并说明理由。申请人如有异议的，可以依法申请行政复议或者向人民法院提起诉讼。</w:t>
            </w:r>
          </w:p>
          <w:p w14:paraId="6B6FDD72">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3.【法律】《中华人民共和国行政许可法》第三十四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A8E9D04">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034029BA">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p w14:paraId="757A8B9B">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【法律】《中华人民共和国行政许可法》第四十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行政机关作出的准予行政许可决定，应当予以公开，公众有权查阅。</w:t>
            </w:r>
          </w:p>
          <w:p w14:paraId="62207360">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第四十三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依法应当先经下级行政机关审查后报上级行政机关决定的行政许可，下级行政机关应当自其受理行政许可申请之日起二十日内审查完毕。但是，法律、法规另有规定的，依照其规定。</w:t>
            </w:r>
          </w:p>
          <w:p w14:paraId="67845D41">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5.【法律】《中华人民共和国行政许可法》第六十一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15A4F848">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47D4C36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第六十三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781" w:type="dxa"/>
            <w:vAlign w:val="center"/>
          </w:tcPr>
          <w:p w14:paraId="7593AB1B">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因不履行或不正确履行职责，有下列情况的，行政机关及相关工作人员应承担相应责任：</w:t>
            </w:r>
          </w:p>
          <w:p w14:paraId="558EB76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1.对符合条件不予受理或不应该受理而受理造成不良后果的；</w:t>
            </w:r>
          </w:p>
          <w:p w14:paraId="6EC5D6F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2.没有严格按照工作规程组织鉴定，违反公开、透明、公正的原则，未能真实反映情况的；</w:t>
            </w:r>
          </w:p>
          <w:p w14:paraId="3D1BA1A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3.收受贿赂或向当事人索取财物的；</w:t>
            </w:r>
          </w:p>
          <w:p w14:paraId="32F42F0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4.其他违反法律法规规章文件规定的行为。</w:t>
            </w:r>
          </w:p>
          <w:p w14:paraId="0C853D5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6DF20E87">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镇纪律检查委员会</w:t>
            </w:r>
            <w:r>
              <w:rPr>
                <w:rFonts w:hint="default" w:ascii="Times New Roman" w:hAnsi="Times New Roman" w:eastAsia="仿宋_GB2312" w:cs="Times New Roman"/>
                <w:kern w:val="0"/>
                <w:sz w:val="20"/>
                <w:szCs w:val="20"/>
                <w:highlight w:val="none"/>
                <w:lang w:eastAsia="zh-CN"/>
              </w:rPr>
              <w:t>）</w:t>
            </w:r>
          </w:p>
        </w:tc>
        <w:tc>
          <w:tcPr>
            <w:tcW w:w="1736" w:type="dxa"/>
            <w:vAlign w:val="center"/>
          </w:tcPr>
          <w:p w14:paraId="28D6EB7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986" w:type="dxa"/>
            <w:vAlign w:val="center"/>
          </w:tcPr>
          <w:p w14:paraId="0D5D2422">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40" w:type="dxa"/>
            <w:vAlign w:val="center"/>
          </w:tcPr>
          <w:p w14:paraId="0509775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9B2C342"/>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29"/>
        <w:gridCol w:w="2531"/>
        <w:gridCol w:w="5813"/>
        <w:gridCol w:w="1781"/>
        <w:gridCol w:w="1817"/>
        <w:gridCol w:w="881"/>
        <w:gridCol w:w="964"/>
      </w:tblGrid>
      <w:tr w14:paraId="5BFF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B12E8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42BF0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79" w:type="dxa"/>
            <w:gridSpan w:val="5"/>
            <w:vAlign w:val="center"/>
          </w:tcPr>
          <w:p w14:paraId="029268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23" w:type="dxa"/>
            <w:gridSpan w:val="5"/>
            <w:vAlign w:val="center"/>
          </w:tcPr>
          <w:p w14:paraId="558B7D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64" w:type="dxa"/>
            <w:vMerge w:val="restart"/>
            <w:vAlign w:val="center"/>
          </w:tcPr>
          <w:p w14:paraId="275666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3D2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C47CC3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F40260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32663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0D39A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A53A1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6AD73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00E1B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29" w:type="dxa"/>
            <w:vAlign w:val="center"/>
          </w:tcPr>
          <w:p w14:paraId="1DCEFF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31" w:type="dxa"/>
            <w:vAlign w:val="center"/>
          </w:tcPr>
          <w:p w14:paraId="273BF9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FC04D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813" w:type="dxa"/>
            <w:vAlign w:val="center"/>
          </w:tcPr>
          <w:p w14:paraId="5F98BA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64361E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817" w:type="dxa"/>
            <w:vAlign w:val="center"/>
          </w:tcPr>
          <w:p w14:paraId="3F2D5E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81" w:type="dxa"/>
            <w:vAlign w:val="center"/>
          </w:tcPr>
          <w:p w14:paraId="471C90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E3CB3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64" w:type="dxa"/>
            <w:vMerge w:val="continue"/>
            <w:vAlign w:val="center"/>
          </w:tcPr>
          <w:p w14:paraId="55D65E3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A4E3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003" w:hRule="atLeast"/>
          <w:jc w:val="center"/>
        </w:trPr>
        <w:tc>
          <w:tcPr>
            <w:tcW w:w="406" w:type="dxa"/>
            <w:vAlign w:val="center"/>
          </w:tcPr>
          <w:p w14:paraId="551AD2D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7</w:t>
            </w:r>
          </w:p>
        </w:tc>
        <w:tc>
          <w:tcPr>
            <w:tcW w:w="476" w:type="dxa"/>
            <w:vAlign w:val="center"/>
          </w:tcPr>
          <w:p w14:paraId="14C084B6">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其他行政权力</w:t>
            </w:r>
          </w:p>
        </w:tc>
        <w:tc>
          <w:tcPr>
            <w:tcW w:w="550" w:type="dxa"/>
            <w:vAlign w:val="center"/>
          </w:tcPr>
          <w:p w14:paraId="76F1308E">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出具非医学需要鉴定胎儿性别和选择性终止妊娠的证明</w:t>
            </w:r>
          </w:p>
        </w:tc>
        <w:tc>
          <w:tcPr>
            <w:tcW w:w="650" w:type="dxa"/>
            <w:vAlign w:val="center"/>
          </w:tcPr>
          <w:p w14:paraId="6A62B73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EF3DB0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0F84A38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百寿镇党群服务中心</w:t>
            </w:r>
          </w:p>
        </w:tc>
        <w:tc>
          <w:tcPr>
            <w:tcW w:w="4329" w:type="dxa"/>
            <w:vAlign w:val="center"/>
          </w:tcPr>
          <w:p w14:paraId="4C783F9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【地方性法规】《广西壮族自治区禁止非医学需要鉴定胎儿性别和选择性别人工终止妊娠的规定》（2011年广西壮族自治区第十一届人民代表大会常务委员会第二十二次会议通过）第九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符合法定生育条件且妊娠十四周以上的妇女不得人工终止妊娠，但有下列情形之一的除外：</w:t>
            </w:r>
          </w:p>
          <w:p w14:paraId="165C5E3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（一）胎儿有严重缺陷或者患有严重遗传性疾病的；</w:t>
            </w:r>
          </w:p>
          <w:p w14:paraId="3E47D8C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（二）妊娠妇女患有严重疾病，继续妊娠将危及生命安全或者严重危害健康的；</w:t>
            </w:r>
          </w:p>
          <w:p w14:paraId="20F3355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（三）经自治区人民政府卫生行政部门指定的医疗保健机构诊断认为需要终止妊娠的；</w:t>
            </w:r>
          </w:p>
          <w:p w14:paraId="12DDED7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（四）离婚、丧偶等要求终止妊娠的。</w:t>
            </w:r>
          </w:p>
          <w:p w14:paraId="5C67682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医疗保健机构或者计划生育技术服务机构施行人工终止妊娠手术前，应当遵守下列规定：</w:t>
            </w:r>
          </w:p>
          <w:p w14:paraId="55ECC88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（一）有第八条和第九条第一项、第二项、第三项规定情形之一的，查验本人身份证明和自治区人民政府卫生行政部门指定的医疗保健机构或者开展产前诊断的县级以上医疗保健机构出具的医学诊断证明；</w:t>
            </w:r>
          </w:p>
          <w:p w14:paraId="5B975F34">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（二）有第九条第四项规定情形的，查验本人身份证明和县级人民政府人口和计划生育行政部门或者所在乡（镇）人民政府、街道办事处计划生育工作机构出具的证明。</w:t>
            </w:r>
          </w:p>
        </w:tc>
        <w:tc>
          <w:tcPr>
            <w:tcW w:w="2531" w:type="dxa"/>
            <w:vAlign w:val="center"/>
          </w:tcPr>
          <w:p w14:paraId="698DA5A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1.受理环节责任：公示依法应当提交的材料和受理条件；一次性告知补齐补正材料；依法受理或不予受理（不予受理应当告知理由）。</w:t>
            </w:r>
          </w:p>
          <w:p w14:paraId="7854629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2.审查环节责任：审核材料真实性和合法性，并提出审查意见。</w:t>
            </w:r>
          </w:p>
          <w:p w14:paraId="550FF76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3.决定环节责任：作出行政许可或不予行政许可的决定（不予许可的应书面说明理由，并告知当事人享有依法申请行政复议或提起行政诉讼的权利）。</w:t>
            </w:r>
          </w:p>
          <w:p w14:paraId="0BC88F6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4.送达环节责任：准予许可的，制发许可证书或批件。</w:t>
            </w:r>
          </w:p>
          <w:p w14:paraId="27B5E944">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5.</w:t>
            </w:r>
            <w:r>
              <w:rPr>
                <w:rFonts w:hint="default" w:ascii="Times New Roman" w:hAnsi="Times New Roman" w:eastAsia="仿宋_GB2312" w:cs="Times New Roman"/>
                <w:color w:val="000000"/>
                <w:kern w:val="0"/>
                <w:sz w:val="20"/>
                <w:szCs w:val="20"/>
                <w:highlight w:val="none"/>
              </w:rPr>
              <w:t>其他法律法规规章文件规定应履行的责任。</w:t>
            </w:r>
          </w:p>
          <w:p w14:paraId="6C1F86DB">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311DE906">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（百寿镇党群服务中心）</w:t>
            </w:r>
          </w:p>
        </w:tc>
        <w:tc>
          <w:tcPr>
            <w:tcW w:w="5813" w:type="dxa"/>
            <w:vAlign w:val="center"/>
          </w:tcPr>
          <w:p w14:paraId="153A8E6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62E8037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5D2DC14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18FAAE62">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4.【法律】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tc>
        <w:tc>
          <w:tcPr>
            <w:tcW w:w="1781" w:type="dxa"/>
            <w:vAlign w:val="center"/>
          </w:tcPr>
          <w:p w14:paraId="48C4DEE6">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27C18129">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1.对符合法定条件的申请不予受理；</w:t>
            </w:r>
          </w:p>
          <w:p w14:paraId="3904D32E">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2.对不符合条件的申请，违规受理，造成不良影响的；</w:t>
            </w:r>
          </w:p>
          <w:p w14:paraId="7AE0246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3.其他违反法律法规政策规定的行为。</w:t>
            </w:r>
          </w:p>
          <w:p w14:paraId="5256827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12FCADE8">
            <w:pPr>
              <w:widowControl/>
              <w:adjustRightInd w:val="0"/>
              <w:snapToGrid w:val="0"/>
              <w:spacing w:line="300"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p w14:paraId="3E39FDF7">
            <w:pPr>
              <w:widowControl/>
              <w:adjustRightInd w:val="0"/>
              <w:snapToGrid w:val="0"/>
              <w:spacing w:line="300" w:lineRule="exact"/>
              <w:rPr>
                <w:rFonts w:hint="default" w:ascii="Times New Roman" w:hAnsi="Times New Roman" w:eastAsia="仿宋_GB2312" w:cs="Times New Roman"/>
                <w:kern w:val="0"/>
                <w:sz w:val="20"/>
                <w:szCs w:val="20"/>
                <w:highlight w:val="none"/>
              </w:rPr>
            </w:pPr>
          </w:p>
        </w:tc>
        <w:tc>
          <w:tcPr>
            <w:tcW w:w="1817" w:type="dxa"/>
            <w:vAlign w:val="center"/>
          </w:tcPr>
          <w:p w14:paraId="49DA62F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【法律】《行政许可法》（2003年主席令第七号公布）</w:t>
            </w:r>
          </w:p>
          <w:p w14:paraId="54E097F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tc>
        <w:tc>
          <w:tcPr>
            <w:tcW w:w="881" w:type="dxa"/>
            <w:vAlign w:val="center"/>
          </w:tcPr>
          <w:p w14:paraId="6665C89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64" w:type="dxa"/>
            <w:vAlign w:val="center"/>
          </w:tcPr>
          <w:p w14:paraId="2853EB33">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778997CC"/>
    <w:p w14:paraId="16D38718"/>
    <w:p w14:paraId="7B794440"/>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73"/>
        <w:gridCol w:w="1503"/>
        <w:gridCol w:w="5464"/>
        <w:gridCol w:w="1371"/>
        <w:gridCol w:w="2550"/>
        <w:gridCol w:w="579"/>
        <w:gridCol w:w="576"/>
      </w:tblGrid>
      <w:tr w14:paraId="5153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21E92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8F5AE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23" w:type="dxa"/>
            <w:gridSpan w:val="5"/>
            <w:vAlign w:val="center"/>
          </w:tcPr>
          <w:p w14:paraId="3B5D32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467" w:type="dxa"/>
            <w:gridSpan w:val="5"/>
            <w:vAlign w:val="center"/>
          </w:tcPr>
          <w:p w14:paraId="0CB1A6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76" w:type="dxa"/>
            <w:vMerge w:val="restart"/>
            <w:vAlign w:val="center"/>
          </w:tcPr>
          <w:p w14:paraId="434BB6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8EF2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2AEEBC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F96C7E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822AD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E6C0C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0BBFD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53D8A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668FC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73" w:type="dxa"/>
            <w:vAlign w:val="center"/>
          </w:tcPr>
          <w:p w14:paraId="7CAD07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3" w:type="dxa"/>
            <w:vAlign w:val="center"/>
          </w:tcPr>
          <w:p w14:paraId="38A9FC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责任事项(明确责任主体)</w:t>
            </w:r>
          </w:p>
        </w:tc>
        <w:tc>
          <w:tcPr>
            <w:tcW w:w="5464" w:type="dxa"/>
            <w:vAlign w:val="center"/>
          </w:tcPr>
          <w:p w14:paraId="599DAA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114FD9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550" w:type="dxa"/>
            <w:vAlign w:val="center"/>
          </w:tcPr>
          <w:p w14:paraId="71E317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79" w:type="dxa"/>
            <w:vAlign w:val="center"/>
          </w:tcPr>
          <w:p w14:paraId="1695A8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09542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76" w:type="dxa"/>
            <w:vMerge w:val="continue"/>
            <w:vAlign w:val="center"/>
          </w:tcPr>
          <w:p w14:paraId="16A0B0C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419D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9" w:hRule="atLeast"/>
          <w:jc w:val="center"/>
        </w:trPr>
        <w:tc>
          <w:tcPr>
            <w:tcW w:w="406" w:type="dxa"/>
            <w:vAlign w:val="center"/>
          </w:tcPr>
          <w:p w14:paraId="6D1C5A5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18</w:t>
            </w:r>
          </w:p>
        </w:tc>
        <w:tc>
          <w:tcPr>
            <w:tcW w:w="476" w:type="dxa"/>
            <w:vAlign w:val="center"/>
          </w:tcPr>
          <w:p w14:paraId="00C91014">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6F3F52CD">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对生产经营单位提取、使用和管理安全费用情况的监督检查</w:t>
            </w:r>
          </w:p>
        </w:tc>
        <w:tc>
          <w:tcPr>
            <w:tcW w:w="650" w:type="dxa"/>
            <w:vAlign w:val="center"/>
          </w:tcPr>
          <w:p w14:paraId="22FC8FE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3245666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333B1F4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6073" w:type="dxa"/>
            <w:vAlign w:val="center"/>
          </w:tcPr>
          <w:p w14:paraId="3A57C2A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5A8E520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70B40D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33F0A41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p w14:paraId="3522142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第二十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有关生产经营单位应当按照规定提取和使用安全生产费用，专门用于改善安全生产条件。安全生产费用在成本中据实列支。安全生产费用提取、使用和监督管理的具体办法由国务院财政部门会同国务院安全生产监督管理部门征求国务院有关部门意见后制定。</w:t>
            </w:r>
          </w:p>
          <w:p w14:paraId="5F8209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AAEB6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3FFFE31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0200D4E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4784F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996A2E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029B17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0C54AC9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77DF818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0C0366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6795EC8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2.</w:t>
            </w:r>
            <w:r>
              <w:rPr>
                <w:rFonts w:hint="default" w:ascii="Times New Roman" w:hAnsi="Times New Roman" w:eastAsia="仿宋_GB2312" w:cs="Times New Roman"/>
                <w:color w:val="000000"/>
                <w:kern w:val="0"/>
                <w:sz w:val="20"/>
                <w:szCs w:val="20"/>
                <w:highlight w:val="none"/>
              </w:rPr>
              <w:t>【规范性文件】《企业安全生产费用提取和使用管理办法》（财企〔2012〕16号）第三十五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各级财政部门、安全生产监督管理部门、煤矿安全监察机构和有关行业主管部门依法对企业安全费用提取、使用和管理进行监督检查。</w:t>
            </w:r>
          </w:p>
        </w:tc>
        <w:tc>
          <w:tcPr>
            <w:tcW w:w="1503" w:type="dxa"/>
            <w:vAlign w:val="center"/>
          </w:tcPr>
          <w:p w14:paraId="12BC5436">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6420D9A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74F3AE5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3D8F7BF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138657C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F1C81D8">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7E0EE3F8">
            <w:pPr>
              <w:widowControl/>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464" w:type="dxa"/>
            <w:vAlign w:val="center"/>
          </w:tcPr>
          <w:p w14:paraId="7B74B78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3270DB0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7401E7D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B8C5BF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FE4C6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1C80E8A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71EC7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48B72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61E5C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5E94B28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0C36F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91DCD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47E327E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3350714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0918FDD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6B8BE6D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6A8277D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18E0C46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5A5BA53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190F41F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67910F3">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2550" w:type="dxa"/>
            <w:vAlign w:val="center"/>
          </w:tcPr>
          <w:p w14:paraId="4B05C89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6B76CA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347E0FC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07F80FE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79" w:type="dxa"/>
            <w:vAlign w:val="center"/>
          </w:tcPr>
          <w:p w14:paraId="155F595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76" w:type="dxa"/>
            <w:vAlign w:val="center"/>
          </w:tcPr>
          <w:p w14:paraId="6AD0DB4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6FF4C41">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76"/>
        <w:gridCol w:w="1687"/>
        <w:gridCol w:w="6083"/>
        <w:gridCol w:w="1500"/>
        <w:gridCol w:w="2914"/>
        <w:gridCol w:w="600"/>
        <w:gridCol w:w="556"/>
      </w:tblGrid>
      <w:tr w14:paraId="6345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2D128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FC035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826" w:type="dxa"/>
            <w:gridSpan w:val="5"/>
            <w:vAlign w:val="center"/>
          </w:tcPr>
          <w:p w14:paraId="4DA542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84" w:type="dxa"/>
            <w:gridSpan w:val="5"/>
            <w:vAlign w:val="center"/>
          </w:tcPr>
          <w:p w14:paraId="3DCA10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56" w:type="dxa"/>
            <w:vMerge w:val="restart"/>
            <w:vAlign w:val="center"/>
          </w:tcPr>
          <w:p w14:paraId="02E351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305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9E697F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38B555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68117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C7E11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10577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619D4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72547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76" w:type="dxa"/>
            <w:vAlign w:val="center"/>
          </w:tcPr>
          <w:p w14:paraId="75A1CB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7" w:type="dxa"/>
            <w:vAlign w:val="center"/>
          </w:tcPr>
          <w:p w14:paraId="1DBDF8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908A5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083" w:type="dxa"/>
            <w:vAlign w:val="center"/>
          </w:tcPr>
          <w:p w14:paraId="6A882F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00" w:type="dxa"/>
            <w:vAlign w:val="center"/>
          </w:tcPr>
          <w:p w14:paraId="4D0048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914" w:type="dxa"/>
            <w:vAlign w:val="center"/>
          </w:tcPr>
          <w:p w14:paraId="4A5F87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27F949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159D9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56" w:type="dxa"/>
            <w:vMerge w:val="continue"/>
            <w:vAlign w:val="center"/>
          </w:tcPr>
          <w:p w14:paraId="01BDC2A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9108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9" w:hRule="atLeast"/>
          <w:jc w:val="center"/>
        </w:trPr>
        <w:tc>
          <w:tcPr>
            <w:tcW w:w="406" w:type="dxa"/>
            <w:vAlign w:val="center"/>
          </w:tcPr>
          <w:p w14:paraId="51AD348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19</w:t>
            </w:r>
          </w:p>
        </w:tc>
        <w:tc>
          <w:tcPr>
            <w:tcW w:w="476" w:type="dxa"/>
            <w:vAlign w:val="center"/>
          </w:tcPr>
          <w:p w14:paraId="380DE65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61095B3D">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对生产经营单位消除重大事故隐患的监督检查</w:t>
            </w:r>
          </w:p>
        </w:tc>
        <w:tc>
          <w:tcPr>
            <w:tcW w:w="650" w:type="dxa"/>
            <w:vAlign w:val="center"/>
          </w:tcPr>
          <w:p w14:paraId="12665C6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B8D629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6DBA4DF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4776" w:type="dxa"/>
            <w:vAlign w:val="center"/>
          </w:tcPr>
          <w:p w14:paraId="142DBB77">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【法律】《中华人民共和国安全生产法》第八条</w:t>
            </w:r>
            <w:r>
              <w:rPr>
                <w:rFonts w:hint="default" w:ascii="Times New Roman" w:hAnsi="Times New Roman" w:eastAsia="仿宋_GB2312" w:cs="Times New Roman"/>
                <w:color w:val="000000"/>
                <w:spacing w:val="-4"/>
                <w:kern w:val="0"/>
                <w:sz w:val="19"/>
                <w:szCs w:val="19"/>
                <w:highlight w:val="none"/>
                <w:lang w:eastAsia="zh-CN"/>
              </w:rPr>
              <w:t>第三款：乡、镇人民政</w:t>
            </w:r>
            <w:r>
              <w:rPr>
                <w:rFonts w:hint="default" w:ascii="Times New Roman" w:hAnsi="Times New Roman" w:eastAsia="仿宋_GB2312" w:cs="Times New Roman"/>
                <w:color w:val="000000"/>
                <w:spacing w:val="-4"/>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5B03868E">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第三十八</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生产经营单位应当建立健全生产安全事故隐患排查治理制度，采取技术、管理措施，及时发现并消除事故隐患。事故隐患排查治理情况应当如实记录，并向从业人员通报。</w:t>
            </w:r>
          </w:p>
          <w:p w14:paraId="75961307">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县级以上地方各级人民政府负有安全生产监督管理职责的部门应当建立健全重大事故隐患治理督办制度，督促生产经营单位消除重大事故隐患。</w:t>
            </w:r>
          </w:p>
          <w:p w14:paraId="42CDD419">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第五十九</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县级以上地方各级人民政府应当根据本行政区域内的安全生产状况，组织有关部门按照职责分工，对本行政区域内容易发生重大生产安全事故的生产经营单位进行严格检查。</w:t>
            </w:r>
          </w:p>
          <w:p w14:paraId="3A820296">
            <w:pPr>
              <w:widowControl/>
              <w:adjustRightInd w:val="0"/>
              <w:snapToGrid w:val="0"/>
              <w:spacing w:line="234" w:lineRule="exact"/>
              <w:ind w:firstLine="364" w:firstLineChars="200"/>
              <w:jc w:val="left"/>
              <w:rPr>
                <w:rFonts w:hint="default" w:ascii="Times New Roman" w:hAnsi="Times New Roman" w:eastAsia="仿宋_GB2312" w:cs="Times New Roman"/>
                <w:color w:val="000000"/>
                <w:spacing w:val="-4"/>
                <w:kern w:val="0"/>
                <w:sz w:val="19"/>
                <w:szCs w:val="19"/>
                <w:highlight w:val="none"/>
              </w:rPr>
            </w:pPr>
            <w:r>
              <w:rPr>
                <w:rFonts w:hint="default" w:ascii="Times New Roman" w:hAnsi="Times New Roman" w:eastAsia="仿宋_GB2312" w:cs="Times New Roman"/>
                <w:color w:val="000000"/>
                <w:spacing w:val="-4"/>
                <w:kern w:val="0"/>
                <w:sz w:val="19"/>
                <w:szCs w:val="19"/>
                <w:highlight w:val="none"/>
              </w:rPr>
              <w:t>安全生产监督管理部门应当按照分类分级监督管理的要求，制定安全生产年度监督检查计划，并按照年度监督检查计划进行监督检查，发现事故隐患，应当及时处理。</w:t>
            </w:r>
          </w:p>
          <w:p w14:paraId="0A411D9D">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41E84FAE">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58E2A417">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28B5870A">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FB5ECB5">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43E26F9">
            <w:pPr>
              <w:widowControl/>
              <w:adjustRightInd w:val="0"/>
              <w:snapToGrid w:val="0"/>
              <w:spacing w:line="234" w:lineRule="exact"/>
              <w:ind w:firstLine="364" w:firstLineChars="200"/>
              <w:jc w:val="left"/>
              <w:rPr>
                <w:rFonts w:hint="default" w:ascii="Times New Roman" w:hAnsi="Times New Roman" w:eastAsia="仿宋_GB2312" w:cs="Times New Roman"/>
                <w:color w:val="000000"/>
                <w:spacing w:val="-4"/>
                <w:kern w:val="0"/>
                <w:sz w:val="19"/>
                <w:szCs w:val="19"/>
                <w:highlight w:val="none"/>
              </w:rPr>
            </w:pPr>
            <w:r>
              <w:rPr>
                <w:rFonts w:hint="default" w:ascii="Times New Roman" w:hAnsi="Times New Roman" w:eastAsia="仿宋_GB2312" w:cs="Times New Roman"/>
                <w:color w:val="000000"/>
                <w:spacing w:val="-4"/>
                <w:kern w:val="0"/>
                <w:sz w:val="19"/>
                <w:szCs w:val="19"/>
                <w:highlight w:val="none"/>
              </w:rPr>
              <w:t>监督检查不得影响被检查单位的正常生产经营活动。</w:t>
            </w:r>
          </w:p>
          <w:p w14:paraId="21CE45E3">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66F1C89E">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5C594276">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19"/>
                <w:szCs w:val="19"/>
                <w:highlight w:val="none"/>
              </w:rPr>
              <w:t>被检查单位的负责人拒绝签字的，检查人员应当将情况记录在案，并向负有安全生产监督管理职责的部门报告。</w:t>
            </w:r>
          </w:p>
          <w:p w14:paraId="5721EBBE">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w:t>
            </w:r>
            <w:r>
              <w:rPr>
                <w:rFonts w:hint="default" w:ascii="Times New Roman" w:hAnsi="Times New Roman" w:eastAsia="仿宋_GB2312" w:cs="Times New Roman"/>
                <w:color w:val="000000"/>
                <w:spacing w:val="-4"/>
                <w:kern w:val="0"/>
                <w:sz w:val="19"/>
                <w:szCs w:val="19"/>
                <w:highlight w:val="none"/>
              </w:rPr>
              <w:t>部门并形成记录备查，接受移送的部门应当及时进行处理。</w:t>
            </w:r>
          </w:p>
        </w:tc>
        <w:tc>
          <w:tcPr>
            <w:tcW w:w="1687" w:type="dxa"/>
            <w:vAlign w:val="center"/>
          </w:tcPr>
          <w:p w14:paraId="3DC3AA9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752216B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4DA1FEA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7A64F2F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66ED5E5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35E2E54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2C5BFDAC">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val="en-US" w:eastAsia="zh-CN"/>
              </w:rPr>
              <w:t>）</w:t>
            </w:r>
          </w:p>
        </w:tc>
        <w:tc>
          <w:tcPr>
            <w:tcW w:w="6083" w:type="dxa"/>
            <w:vAlign w:val="center"/>
          </w:tcPr>
          <w:p w14:paraId="5A24878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112151D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5CF9647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E87B37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5D6C41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09C06C1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64533F9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198F2B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895D8C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5DC5E0E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ACBECC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2B5C86B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6E42747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00" w:type="dxa"/>
            <w:vAlign w:val="center"/>
          </w:tcPr>
          <w:p w14:paraId="402D4BD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0D978F4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1638D51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16550F5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454F9BC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221F74E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A0325D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13B2D83">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2914" w:type="dxa"/>
            <w:vAlign w:val="center"/>
          </w:tcPr>
          <w:p w14:paraId="7A7A61B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4075AB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13E0492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2CB73A0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0D59D82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56" w:type="dxa"/>
            <w:vAlign w:val="center"/>
          </w:tcPr>
          <w:p w14:paraId="7E45CFA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017B0527">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23"/>
        <w:gridCol w:w="1743"/>
        <w:gridCol w:w="5973"/>
        <w:gridCol w:w="1521"/>
        <w:gridCol w:w="2850"/>
        <w:gridCol w:w="643"/>
        <w:gridCol w:w="663"/>
      </w:tblGrid>
      <w:tr w14:paraId="1E80E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8CD00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F8FC7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73" w:type="dxa"/>
            <w:gridSpan w:val="5"/>
            <w:vAlign w:val="center"/>
          </w:tcPr>
          <w:p w14:paraId="445A68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0" w:type="dxa"/>
            <w:gridSpan w:val="5"/>
            <w:vAlign w:val="center"/>
          </w:tcPr>
          <w:p w14:paraId="4F17AF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3" w:type="dxa"/>
            <w:vMerge w:val="restart"/>
            <w:vAlign w:val="center"/>
          </w:tcPr>
          <w:p w14:paraId="613ED2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8ABF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E847A6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E45FA2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8F539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24F9A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FCE04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25CB1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85840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23" w:type="dxa"/>
            <w:vAlign w:val="center"/>
          </w:tcPr>
          <w:p w14:paraId="4605B6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43" w:type="dxa"/>
            <w:vAlign w:val="center"/>
          </w:tcPr>
          <w:p w14:paraId="59640C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F91A9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73" w:type="dxa"/>
            <w:vAlign w:val="center"/>
          </w:tcPr>
          <w:p w14:paraId="0A8FD9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1" w:type="dxa"/>
            <w:vAlign w:val="center"/>
          </w:tcPr>
          <w:p w14:paraId="178236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4B2BDE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43" w:type="dxa"/>
            <w:vAlign w:val="center"/>
          </w:tcPr>
          <w:p w14:paraId="7B5D4D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01959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3" w:type="dxa"/>
            <w:vMerge w:val="continue"/>
            <w:vAlign w:val="center"/>
          </w:tcPr>
          <w:p w14:paraId="4A39C8A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C9E9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71" w:hRule="atLeast"/>
          <w:jc w:val="center"/>
        </w:trPr>
        <w:tc>
          <w:tcPr>
            <w:tcW w:w="406" w:type="dxa"/>
            <w:vAlign w:val="center"/>
          </w:tcPr>
          <w:p w14:paraId="3D9DA17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0</w:t>
            </w:r>
          </w:p>
        </w:tc>
        <w:tc>
          <w:tcPr>
            <w:tcW w:w="476" w:type="dxa"/>
            <w:vAlign w:val="center"/>
          </w:tcPr>
          <w:p w14:paraId="6DAC4652">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6C30F219">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对安全生产评价、检验、检测机构的监督检查</w:t>
            </w:r>
          </w:p>
        </w:tc>
        <w:tc>
          <w:tcPr>
            <w:tcW w:w="650" w:type="dxa"/>
            <w:vAlign w:val="center"/>
          </w:tcPr>
          <w:p w14:paraId="5D1B406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C428FC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34A2235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4723" w:type="dxa"/>
            <w:vAlign w:val="center"/>
          </w:tcPr>
          <w:p w14:paraId="44A0D529">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68D61D6B">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对已经依法取得批准的单位，负责行政审批的部门发现其不再具备安全生产条件的，应当撤销原批准。</w:t>
            </w:r>
          </w:p>
          <w:p w14:paraId="3F4F787C">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4EDFD407">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0119D29E">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3E584108">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B6838C2">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C800706">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2EDEC73E">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660F2B4A">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04B95950">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E5C618C">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2D8895CF">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2.【部门规章】《安全评价检测检验机构管理办法》（2019年应急管理部令第1号）第三条第三款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设区的市级人民政府、县级人民政府应急管理部门、煤矿安全生产监督管理部门按照各自的职责，对安全评价检测检验机构执业行为实施监督检查，并对发现的违法行为依法实施行政处罚。</w:t>
            </w:r>
          </w:p>
        </w:tc>
        <w:tc>
          <w:tcPr>
            <w:tcW w:w="1743" w:type="dxa"/>
            <w:vAlign w:val="center"/>
          </w:tcPr>
          <w:p w14:paraId="75FA9FC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24AB097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5AD69ED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222190E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7F7D30D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32791576">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64C12358">
            <w:pPr>
              <w:widowControl/>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973" w:type="dxa"/>
            <w:vAlign w:val="center"/>
          </w:tcPr>
          <w:p w14:paraId="69CEC3B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0BC888F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6A0CB18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90DD04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61FD4C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0A1B165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840D71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13F5D3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771BFC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65A3BD3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B06DD5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3A11BEF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6A24C9B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1" w:type="dxa"/>
            <w:vAlign w:val="center"/>
          </w:tcPr>
          <w:p w14:paraId="3C42059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235D6E8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782BBCC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187F053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17E7A93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10D3FAA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31DE9EF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7D08336">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2850" w:type="dxa"/>
            <w:vAlign w:val="center"/>
          </w:tcPr>
          <w:p w14:paraId="546D6BE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A5A2E1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1937DCC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4FDC4B5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43" w:type="dxa"/>
            <w:vAlign w:val="center"/>
          </w:tcPr>
          <w:p w14:paraId="5F9C90B2">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63" w:type="dxa"/>
            <w:vAlign w:val="center"/>
          </w:tcPr>
          <w:p w14:paraId="75B6012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1426C3D"/>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887"/>
        <w:gridCol w:w="1613"/>
        <w:gridCol w:w="6173"/>
        <w:gridCol w:w="1460"/>
        <w:gridCol w:w="2625"/>
        <w:gridCol w:w="694"/>
        <w:gridCol w:w="664"/>
      </w:tblGrid>
      <w:tr w14:paraId="20608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3C843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0644F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37" w:type="dxa"/>
            <w:gridSpan w:val="5"/>
            <w:vAlign w:val="center"/>
          </w:tcPr>
          <w:p w14:paraId="515EE8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65" w:type="dxa"/>
            <w:gridSpan w:val="5"/>
            <w:vAlign w:val="center"/>
          </w:tcPr>
          <w:p w14:paraId="6B978A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4" w:type="dxa"/>
            <w:vMerge w:val="restart"/>
            <w:vAlign w:val="center"/>
          </w:tcPr>
          <w:p w14:paraId="754EFE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24FE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C4B42A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7B3D23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E3187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F7101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3D2C7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9C239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D8B40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87" w:type="dxa"/>
            <w:vAlign w:val="center"/>
          </w:tcPr>
          <w:p w14:paraId="740FF4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13" w:type="dxa"/>
            <w:vAlign w:val="center"/>
          </w:tcPr>
          <w:p w14:paraId="08C682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DFC8B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73" w:type="dxa"/>
            <w:vAlign w:val="center"/>
          </w:tcPr>
          <w:p w14:paraId="18CD76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60" w:type="dxa"/>
            <w:vAlign w:val="center"/>
          </w:tcPr>
          <w:p w14:paraId="242D80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25" w:type="dxa"/>
            <w:vAlign w:val="center"/>
          </w:tcPr>
          <w:p w14:paraId="152EA3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94" w:type="dxa"/>
            <w:vAlign w:val="center"/>
          </w:tcPr>
          <w:p w14:paraId="6A9877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DA555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4" w:type="dxa"/>
            <w:vMerge w:val="continue"/>
            <w:vAlign w:val="center"/>
          </w:tcPr>
          <w:p w14:paraId="1451249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6951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7" w:hRule="atLeast"/>
          <w:jc w:val="center"/>
        </w:trPr>
        <w:tc>
          <w:tcPr>
            <w:tcW w:w="406" w:type="dxa"/>
            <w:vAlign w:val="center"/>
          </w:tcPr>
          <w:p w14:paraId="3E44AF8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1</w:t>
            </w:r>
          </w:p>
        </w:tc>
        <w:tc>
          <w:tcPr>
            <w:tcW w:w="476" w:type="dxa"/>
            <w:vAlign w:val="center"/>
          </w:tcPr>
          <w:p w14:paraId="72FF21DF">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28CC6068">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对非煤矿山企业劳动条件、安全状况、作业场所、生产设备、职工安全教育和培训工作等情况的监督检查</w:t>
            </w:r>
          </w:p>
        </w:tc>
        <w:tc>
          <w:tcPr>
            <w:tcW w:w="650" w:type="dxa"/>
            <w:vAlign w:val="center"/>
          </w:tcPr>
          <w:p w14:paraId="6D34C73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FD3D28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677F164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4887" w:type="dxa"/>
            <w:vAlign w:val="center"/>
          </w:tcPr>
          <w:p w14:paraId="4BB7DF49">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3340D25E">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599D815A">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612DFED5">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7AEC1546">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39C975D">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0640DE7">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00202F92">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4435670B">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35A5CE18">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C3E02AA">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750FED0A">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2.【法律】《中华人民共和国矿山安全法》第三十三</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县级以上各级人民政府劳动行政主管部门对矿山安全工作行使下列监督职责：</w:t>
            </w:r>
          </w:p>
          <w:p w14:paraId="24F5FDAA">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（一）检查矿山企业和管理矿山企业的主管部门贯彻执行矿山安全法律、法规的情况；</w:t>
            </w:r>
          </w:p>
          <w:p w14:paraId="3728F6CD">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（二）参加矿山建设工程安全设施的设计审查和竣工验收；</w:t>
            </w:r>
          </w:p>
          <w:p w14:paraId="06A55A73">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（三）检查矿山劳动条件和安全状况；</w:t>
            </w:r>
          </w:p>
          <w:p w14:paraId="61935447">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（四）检查矿山企业职工安全教育、培训工作；</w:t>
            </w:r>
          </w:p>
          <w:p w14:paraId="1761042F">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（五）监督矿山企业提取和使用安全技术措施专项费用的情况；</w:t>
            </w:r>
          </w:p>
          <w:p w14:paraId="5BF80DF8">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（六）参加并监督矿山事故的调查和处理；</w:t>
            </w:r>
          </w:p>
          <w:p w14:paraId="471EE74D">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（七）法律、行政法规规定的其他监督职责。</w:t>
            </w:r>
          </w:p>
        </w:tc>
        <w:tc>
          <w:tcPr>
            <w:tcW w:w="1613" w:type="dxa"/>
            <w:vAlign w:val="center"/>
          </w:tcPr>
          <w:p w14:paraId="654F75C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0DBE59A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4B195B7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450CE74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7FF04F3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1576C36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7DE8E9D8">
            <w:pPr>
              <w:widowControl/>
              <w:adjustRightInd w:val="0"/>
              <w:snapToGrid w:val="0"/>
              <w:spacing w:line="300" w:lineRule="exact"/>
              <w:ind w:left="0" w:leftChars="0" w:firstLine="0" w:firstLineChars="0"/>
              <w:jc w:val="left"/>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6173" w:type="dxa"/>
            <w:vAlign w:val="center"/>
          </w:tcPr>
          <w:p w14:paraId="1CF2702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09AABEF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21C6226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82ECED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6BA063C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36F16DE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03CABCB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D5F59A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18BB91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0C57849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EF5673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2E455EE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4538205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60" w:type="dxa"/>
            <w:vAlign w:val="center"/>
          </w:tcPr>
          <w:p w14:paraId="598F842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4CE7147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0C93356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2F1824D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0609D37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6902CFE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5991525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340BC86">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2625" w:type="dxa"/>
            <w:vAlign w:val="center"/>
          </w:tcPr>
          <w:p w14:paraId="4E90D5B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DEE9A7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14E8F9B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1D1BBD4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94" w:type="dxa"/>
            <w:vAlign w:val="center"/>
          </w:tcPr>
          <w:p w14:paraId="10B3EC82">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64" w:type="dxa"/>
            <w:vAlign w:val="center"/>
          </w:tcPr>
          <w:p w14:paraId="210E8516">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620D77F0">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630"/>
        <w:gridCol w:w="570"/>
        <w:gridCol w:w="580"/>
        <w:gridCol w:w="925"/>
        <w:gridCol w:w="5825"/>
        <w:gridCol w:w="1450"/>
        <w:gridCol w:w="5500"/>
        <w:gridCol w:w="1550"/>
        <w:gridCol w:w="2725"/>
        <w:gridCol w:w="700"/>
        <w:gridCol w:w="711"/>
      </w:tblGrid>
      <w:tr w14:paraId="528E9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92412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9336B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8530" w:type="dxa"/>
            <w:gridSpan w:val="5"/>
            <w:vAlign w:val="center"/>
          </w:tcPr>
          <w:p w14:paraId="1C627D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925" w:type="dxa"/>
            <w:gridSpan w:val="5"/>
            <w:vAlign w:val="center"/>
          </w:tcPr>
          <w:p w14:paraId="73FAC2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11" w:type="dxa"/>
            <w:vMerge w:val="restart"/>
            <w:vAlign w:val="center"/>
          </w:tcPr>
          <w:p w14:paraId="4455BA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1A64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3DEFCE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8619E4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630" w:type="dxa"/>
            <w:vAlign w:val="center"/>
          </w:tcPr>
          <w:p w14:paraId="149D56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570" w:type="dxa"/>
            <w:vAlign w:val="center"/>
          </w:tcPr>
          <w:p w14:paraId="4B994B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580" w:type="dxa"/>
            <w:vAlign w:val="center"/>
          </w:tcPr>
          <w:p w14:paraId="4D619C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25" w:type="dxa"/>
            <w:vAlign w:val="center"/>
          </w:tcPr>
          <w:p w14:paraId="7299DA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862EA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5825" w:type="dxa"/>
            <w:vAlign w:val="center"/>
          </w:tcPr>
          <w:p w14:paraId="0E9152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0" w:type="dxa"/>
            <w:vAlign w:val="center"/>
          </w:tcPr>
          <w:p w14:paraId="1BE01B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73A7B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500" w:type="dxa"/>
            <w:vAlign w:val="center"/>
          </w:tcPr>
          <w:p w14:paraId="3A5F5A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50" w:type="dxa"/>
            <w:vAlign w:val="center"/>
          </w:tcPr>
          <w:p w14:paraId="5D7D24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25" w:type="dxa"/>
            <w:vAlign w:val="center"/>
          </w:tcPr>
          <w:p w14:paraId="3BE503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00" w:type="dxa"/>
            <w:vAlign w:val="center"/>
          </w:tcPr>
          <w:p w14:paraId="399C17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BDCEB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11" w:type="dxa"/>
            <w:vMerge w:val="continue"/>
            <w:vAlign w:val="center"/>
          </w:tcPr>
          <w:p w14:paraId="4E0DAFC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3A6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52" w:hRule="atLeast"/>
          <w:jc w:val="center"/>
        </w:trPr>
        <w:tc>
          <w:tcPr>
            <w:tcW w:w="406" w:type="dxa"/>
            <w:vAlign w:val="center"/>
          </w:tcPr>
          <w:p w14:paraId="102AFF7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2</w:t>
            </w:r>
          </w:p>
        </w:tc>
        <w:tc>
          <w:tcPr>
            <w:tcW w:w="476" w:type="dxa"/>
            <w:vAlign w:val="center"/>
          </w:tcPr>
          <w:p w14:paraId="773A4B3D">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630" w:type="dxa"/>
            <w:vAlign w:val="center"/>
          </w:tcPr>
          <w:p w14:paraId="20162A1E">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对危险化学品生产、储存、使用、经营、运输企业安全生产情况的监督检查和隐患排查</w:t>
            </w:r>
          </w:p>
        </w:tc>
        <w:tc>
          <w:tcPr>
            <w:tcW w:w="570" w:type="dxa"/>
            <w:vAlign w:val="center"/>
          </w:tcPr>
          <w:p w14:paraId="44E8C39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580" w:type="dxa"/>
            <w:vAlign w:val="center"/>
          </w:tcPr>
          <w:p w14:paraId="38F00A5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25" w:type="dxa"/>
            <w:vAlign w:val="center"/>
          </w:tcPr>
          <w:p w14:paraId="1A62314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5825" w:type="dxa"/>
            <w:vAlign w:val="center"/>
          </w:tcPr>
          <w:p w14:paraId="1DC684A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626E6CE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FD2A23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1A82E77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6016470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1D5625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B09025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CBDB6D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17B02FD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597A12F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B456C8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1DFBEC2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2.【部门规章】《危险化学品安全管理条例》（2002年国务院令第344号公布，2013年国务院令第645号修订）第七十六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未经安全条件审查，新建、改建、扩建生产、储存危险化学品的建设项目的，由安全生产监督管理部门责令停止建设，限期改正；逾期不改正的，处50万元以上100万元以下的罚款；构成犯罪的，依法追究刑事责任。</w:t>
            </w:r>
          </w:p>
          <w:p w14:paraId="6D758F7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负有危险化学品安全监督管理职责的部门依法进行监督检查，可以采取下列措施：</w:t>
            </w:r>
          </w:p>
          <w:p w14:paraId="1BB31E6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（一）进入危险化学品作业场所实施现场检查，向有关单位和人员了解情况，查阅、复制有关文件、资料；</w:t>
            </w:r>
          </w:p>
          <w:p w14:paraId="0E61CD1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（二）发现危险化学品事故隐患，责令立即消除或者限期消除；</w:t>
            </w:r>
          </w:p>
          <w:p w14:paraId="0100FD2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（三）对不符合法律、行政法规、规章规定或者国家标准、行业标准要求的设施、设备、装置、器材、运输工具，责令立即停止使用；</w:t>
            </w:r>
          </w:p>
          <w:p w14:paraId="4900F94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经本部门主要负责人批准，查封违法生产、储存、使用、经营危险化学品的场所，扣押违法生产、储存、使用、经营、运输的危险化学品以及用于违法生产、使用、运输危险化学品的原材料、设备、运输工具；</w:t>
            </w:r>
          </w:p>
          <w:p w14:paraId="76E0314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（五）发现影响危险化学品安全的违法行为，当场予以纠正或者责令限期改正。</w:t>
            </w:r>
          </w:p>
          <w:p w14:paraId="44526D5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负有危险化学品安全监督管理职责的部门依法进行监督检查，监督检查人员不得少于2人，并应当出示执法证件；有关单位和个人对依法进行的监督检查应当予以配合，不得拒绝、阻碍。</w:t>
            </w:r>
          </w:p>
        </w:tc>
        <w:tc>
          <w:tcPr>
            <w:tcW w:w="1450" w:type="dxa"/>
            <w:vAlign w:val="center"/>
          </w:tcPr>
          <w:p w14:paraId="3EF4B39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7AF060C7">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09FA37A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30137338">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6D8216D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3C3664D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37F3520D">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500" w:type="dxa"/>
            <w:vAlign w:val="center"/>
          </w:tcPr>
          <w:p w14:paraId="7E562D3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0DABC9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3231432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68A8D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E30818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9D942E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03B7FC6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B98B89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461646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B4E361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E6B22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48B966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B78986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50" w:type="dxa"/>
            <w:vAlign w:val="center"/>
          </w:tcPr>
          <w:p w14:paraId="499908D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083EE75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39C4F69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07A60EC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66C8867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63390BB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640855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121BE1E">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2725" w:type="dxa"/>
            <w:vAlign w:val="center"/>
          </w:tcPr>
          <w:p w14:paraId="74601DA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53B8D2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35C8E4F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77C2AA7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00" w:type="dxa"/>
            <w:vAlign w:val="center"/>
          </w:tcPr>
          <w:p w14:paraId="17DF722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11" w:type="dxa"/>
            <w:vAlign w:val="center"/>
          </w:tcPr>
          <w:p w14:paraId="18F57C8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31C025C">
      <w:pPr>
        <w:keepNext w:val="0"/>
        <w:keepLines w:val="0"/>
        <w:pageBreakBefore w:val="0"/>
        <w:widowControl w:val="0"/>
        <w:kinsoku/>
        <w:wordWrap/>
        <w:overflowPunct/>
        <w:topLinePunct w:val="0"/>
        <w:autoSpaceDE/>
        <w:autoSpaceDN/>
        <w:bidi w:val="0"/>
        <w:adjustRightInd/>
        <w:snapToGrid/>
        <w:spacing w:line="20" w:lineRule="exact"/>
        <w:textAlignment w:val="auto"/>
      </w:pPr>
    </w:p>
    <w:p w14:paraId="068C9F36">
      <w:pPr>
        <w:keepNext w:val="0"/>
        <w:keepLines w:val="0"/>
        <w:pageBreakBefore w:val="0"/>
        <w:widowControl w:val="0"/>
        <w:kinsoku/>
        <w:wordWrap/>
        <w:overflowPunct/>
        <w:topLinePunct w:val="0"/>
        <w:autoSpaceDE/>
        <w:autoSpaceDN/>
        <w:bidi w:val="0"/>
        <w:adjustRightInd/>
        <w:snapToGrid/>
        <w:spacing w:line="20" w:lineRule="exact"/>
        <w:textAlignment w:val="auto"/>
      </w:pPr>
    </w:p>
    <w:p w14:paraId="3CFC4D3A">
      <w:pPr>
        <w:keepNext w:val="0"/>
        <w:keepLines w:val="0"/>
        <w:pageBreakBefore w:val="0"/>
        <w:widowControl w:val="0"/>
        <w:kinsoku/>
        <w:wordWrap/>
        <w:overflowPunct/>
        <w:topLinePunct w:val="0"/>
        <w:autoSpaceDE/>
        <w:autoSpaceDN/>
        <w:bidi w:val="0"/>
        <w:adjustRightInd/>
        <w:snapToGrid/>
        <w:spacing w:line="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30"/>
        <w:gridCol w:w="1525"/>
        <w:gridCol w:w="5953"/>
        <w:gridCol w:w="1497"/>
        <w:gridCol w:w="2775"/>
        <w:gridCol w:w="750"/>
        <w:gridCol w:w="686"/>
      </w:tblGrid>
      <w:tr w14:paraId="3785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6290C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E1D51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80" w:type="dxa"/>
            <w:gridSpan w:val="5"/>
            <w:vAlign w:val="center"/>
          </w:tcPr>
          <w:p w14:paraId="012135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00" w:type="dxa"/>
            <w:gridSpan w:val="5"/>
            <w:vAlign w:val="center"/>
          </w:tcPr>
          <w:p w14:paraId="1C51E8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86" w:type="dxa"/>
            <w:vMerge w:val="restart"/>
            <w:vAlign w:val="center"/>
          </w:tcPr>
          <w:p w14:paraId="62041C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113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912628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D9413B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39F1A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88D37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DF4A9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23FE9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2A5D6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30" w:type="dxa"/>
            <w:vAlign w:val="center"/>
          </w:tcPr>
          <w:p w14:paraId="7B463A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25" w:type="dxa"/>
            <w:vAlign w:val="center"/>
          </w:tcPr>
          <w:p w14:paraId="4FB85F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C69DB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53" w:type="dxa"/>
            <w:vAlign w:val="center"/>
          </w:tcPr>
          <w:p w14:paraId="17B7DE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97" w:type="dxa"/>
            <w:vAlign w:val="center"/>
          </w:tcPr>
          <w:p w14:paraId="1B727D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75" w:type="dxa"/>
            <w:vAlign w:val="center"/>
          </w:tcPr>
          <w:p w14:paraId="390C34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024D75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2B777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86" w:type="dxa"/>
            <w:vMerge w:val="continue"/>
            <w:vAlign w:val="center"/>
          </w:tcPr>
          <w:p w14:paraId="7DFDEAE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7CF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8" w:hRule="atLeast"/>
          <w:jc w:val="center"/>
        </w:trPr>
        <w:tc>
          <w:tcPr>
            <w:tcW w:w="406" w:type="dxa"/>
            <w:vAlign w:val="center"/>
          </w:tcPr>
          <w:p w14:paraId="01C8D4D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3</w:t>
            </w:r>
          </w:p>
        </w:tc>
        <w:tc>
          <w:tcPr>
            <w:tcW w:w="476" w:type="dxa"/>
            <w:vAlign w:val="center"/>
          </w:tcPr>
          <w:p w14:paraId="395A3115">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3E074E9">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对烟花爆竹生产企业的监督检查</w:t>
            </w:r>
          </w:p>
        </w:tc>
        <w:tc>
          <w:tcPr>
            <w:tcW w:w="650" w:type="dxa"/>
            <w:vAlign w:val="center"/>
          </w:tcPr>
          <w:p w14:paraId="62BD6EC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35DE4F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65F3C81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4930" w:type="dxa"/>
            <w:vAlign w:val="center"/>
          </w:tcPr>
          <w:p w14:paraId="406A3C5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15B0EAC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D9BF1F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184097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DFD0B9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082039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F1C6BBB">
            <w:pPr>
              <w:keepNext w:val="0"/>
              <w:keepLines w:val="0"/>
              <w:pageBreakBefore w:val="0"/>
              <w:widowControl/>
              <w:kinsoku/>
              <w:wordWrap/>
              <w:overflowPunct/>
              <w:topLinePunct w:val="0"/>
              <w:autoSpaceDE/>
              <w:autoSpaceDN/>
              <w:bidi w:val="0"/>
              <w:adjustRightInd w:val="0"/>
              <w:snapToGrid w:val="0"/>
              <w:spacing w:line="260" w:lineRule="exact"/>
              <w:ind w:firstLine="384" w:firstLineChars="200"/>
              <w:jc w:val="left"/>
              <w:textAlignment w:val="auto"/>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55F39EA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3752148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545B594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w:t>
            </w:r>
            <w:r>
              <w:rPr>
                <w:rFonts w:hint="default" w:ascii="Times New Roman" w:hAnsi="Times New Roman" w:eastAsia="仿宋_GB2312" w:cs="Times New Roman"/>
                <w:color w:val="000000"/>
                <w:spacing w:val="-4"/>
                <w:kern w:val="0"/>
                <w:sz w:val="20"/>
                <w:szCs w:val="20"/>
                <w:highlight w:val="none"/>
              </w:rPr>
              <w:t>记录在案，并向负有安全生产监督管理职责的部门报告。</w:t>
            </w:r>
          </w:p>
          <w:p w14:paraId="5FF9559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53B01F8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2.【部门规章】《烟花爆竹生产企业安全生产许可证实施办法》（2012年国家安全监管总局令第54号）第三十五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发证机关及所在地人民政府安全生产监督管理部门应当加强对烟花爆竹生产企业的监督检查，督促其依照法律、法规、规章和国家标准、行业标准的规定进行生产。</w:t>
            </w:r>
          </w:p>
        </w:tc>
        <w:tc>
          <w:tcPr>
            <w:tcW w:w="1525" w:type="dxa"/>
            <w:vAlign w:val="center"/>
          </w:tcPr>
          <w:p w14:paraId="7DEEC76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2BF91F6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60B121C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70EA0B8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2299306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0E13BD5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722D25F1">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953" w:type="dxa"/>
            <w:vAlign w:val="center"/>
          </w:tcPr>
          <w:p w14:paraId="0D2278D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7A7DAB9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699A6F6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1E0AB9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0F7F05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163406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478ECAD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ACE37B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ED65B4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15AF201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4A4869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A77140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5447E0A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97" w:type="dxa"/>
            <w:vAlign w:val="center"/>
          </w:tcPr>
          <w:p w14:paraId="27843304">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239711A3">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148F9EE3">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60FD9586">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2689C0A8">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7CAB53BD">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6CDE9852">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p>
          <w:p w14:paraId="1129178A">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2775" w:type="dxa"/>
            <w:vAlign w:val="center"/>
          </w:tcPr>
          <w:p w14:paraId="01D61B0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AF39D8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08BF6E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0D8028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0F08A79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86" w:type="dxa"/>
            <w:vAlign w:val="center"/>
          </w:tcPr>
          <w:p w14:paraId="21FB0C6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7693271">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55"/>
        <w:gridCol w:w="1050"/>
        <w:gridCol w:w="4800"/>
        <w:gridCol w:w="1750"/>
        <w:gridCol w:w="6100"/>
        <w:gridCol w:w="1525"/>
        <w:gridCol w:w="2850"/>
        <w:gridCol w:w="650"/>
        <w:gridCol w:w="586"/>
      </w:tblGrid>
      <w:tr w14:paraId="28AFB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6B79F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35FBB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05" w:type="dxa"/>
            <w:gridSpan w:val="5"/>
            <w:vAlign w:val="center"/>
          </w:tcPr>
          <w:p w14:paraId="48EEE9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75" w:type="dxa"/>
            <w:gridSpan w:val="5"/>
            <w:vAlign w:val="center"/>
          </w:tcPr>
          <w:p w14:paraId="4D338B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86" w:type="dxa"/>
            <w:vMerge w:val="restart"/>
            <w:vAlign w:val="center"/>
          </w:tcPr>
          <w:p w14:paraId="1FDE3B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7E1C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3C7841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E74AFB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1CEB0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95AB5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55" w:type="dxa"/>
            <w:vAlign w:val="center"/>
          </w:tcPr>
          <w:p w14:paraId="66F487E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1050" w:type="dxa"/>
            <w:vAlign w:val="center"/>
          </w:tcPr>
          <w:p w14:paraId="1993AB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0C4D4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00" w:type="dxa"/>
            <w:vAlign w:val="center"/>
          </w:tcPr>
          <w:p w14:paraId="23CE78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50" w:type="dxa"/>
            <w:vAlign w:val="center"/>
          </w:tcPr>
          <w:p w14:paraId="27B35E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28A2A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00" w:type="dxa"/>
            <w:vAlign w:val="center"/>
          </w:tcPr>
          <w:p w14:paraId="6BC44A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5" w:type="dxa"/>
            <w:vAlign w:val="center"/>
          </w:tcPr>
          <w:p w14:paraId="06E4A2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6F6AA7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77FF08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69A7A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86" w:type="dxa"/>
            <w:vMerge w:val="continue"/>
            <w:vAlign w:val="center"/>
          </w:tcPr>
          <w:p w14:paraId="0BE5386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D692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48" w:hRule="atLeast"/>
          <w:jc w:val="center"/>
        </w:trPr>
        <w:tc>
          <w:tcPr>
            <w:tcW w:w="406" w:type="dxa"/>
            <w:vAlign w:val="center"/>
          </w:tcPr>
          <w:p w14:paraId="3F4F985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24</w:t>
            </w:r>
          </w:p>
        </w:tc>
        <w:tc>
          <w:tcPr>
            <w:tcW w:w="476" w:type="dxa"/>
            <w:vAlign w:val="center"/>
          </w:tcPr>
          <w:p w14:paraId="68712460">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3660B403">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对非药品类易制毒化学品生产、经营的监督检查</w:t>
            </w:r>
          </w:p>
        </w:tc>
        <w:tc>
          <w:tcPr>
            <w:tcW w:w="650" w:type="dxa"/>
            <w:vAlign w:val="center"/>
          </w:tcPr>
          <w:p w14:paraId="56147CD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655" w:type="dxa"/>
            <w:vAlign w:val="center"/>
          </w:tcPr>
          <w:p w14:paraId="649E14C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1050" w:type="dxa"/>
            <w:vAlign w:val="center"/>
          </w:tcPr>
          <w:p w14:paraId="502C7EE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4800" w:type="dxa"/>
            <w:vAlign w:val="center"/>
          </w:tcPr>
          <w:p w14:paraId="4B2D7313">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w:t>
            </w:r>
            <w:r>
              <w:rPr>
                <w:rFonts w:hint="default" w:ascii="Times New Roman" w:hAnsi="Times New Roman" w:eastAsia="仿宋_GB2312" w:cs="Times New Roman"/>
                <w:color w:val="000000"/>
                <w:kern w:val="0"/>
                <w:sz w:val="19"/>
                <w:szCs w:val="19"/>
                <w:highlight w:val="none"/>
                <w:lang w:eastAsia="zh-CN"/>
              </w:rPr>
              <w:t>第三款：乡、镇人民政</w:t>
            </w:r>
            <w:r>
              <w:rPr>
                <w:rFonts w:hint="default" w:ascii="Times New Roman" w:hAnsi="Times New Roman" w:eastAsia="仿宋_GB2312" w:cs="Times New Roman"/>
                <w:color w:val="000000"/>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78F1803E">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二）对检查中发现的安全生产违法行为，当场予以纠正或者要求限期改正；对依法应当给予行政处罚的行为，依照本法和其他有关法律、行政法规的规定作出行政处罚决定；（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F95AF1F">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6F99DF47">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2CF83ACF">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3AB8CC4C">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3EB2A8C9">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02EBE93B">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2.【行政法规】《易制毒化学品管理条例》（2005年国务院令第445号公布，2018年国务院令第703号修订）第三十二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县级以上人民政府公安机关、食品药品监督管理部门、安全生产监督管理部门、商务主管部门、卫生</w:t>
            </w:r>
            <w:r>
              <w:rPr>
                <w:rFonts w:hint="default" w:ascii="Times New Roman" w:hAnsi="Times New Roman" w:eastAsia="仿宋_GB2312" w:cs="Times New Roman"/>
                <w:color w:val="000000"/>
                <w:spacing w:val="-4"/>
                <w:kern w:val="0"/>
                <w:sz w:val="19"/>
                <w:szCs w:val="19"/>
                <w:highlight w:val="none"/>
              </w:rPr>
              <w:t>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w:t>
            </w:r>
            <w:r>
              <w:rPr>
                <w:rFonts w:hint="eastAsia" w:eastAsia="仿宋_GB2312" w:cs="Times New Roman"/>
                <w:color w:val="000000"/>
                <w:spacing w:val="-4"/>
                <w:kern w:val="0"/>
                <w:sz w:val="19"/>
                <w:szCs w:val="19"/>
                <w:highlight w:val="none"/>
                <w:lang w:eastAsia="zh-CN"/>
              </w:rPr>
              <w:t>或者</w:t>
            </w:r>
            <w:r>
              <w:rPr>
                <w:rFonts w:hint="default" w:ascii="Times New Roman" w:hAnsi="Times New Roman" w:eastAsia="仿宋_GB2312" w:cs="Times New Roman"/>
                <w:color w:val="000000"/>
                <w:spacing w:val="-4"/>
                <w:kern w:val="0"/>
                <w:sz w:val="19"/>
                <w:szCs w:val="19"/>
                <w:highlight w:val="none"/>
              </w:rPr>
              <w:t>走私易制毒化学品的行为，依法予以查处。</w:t>
            </w:r>
          </w:p>
          <w:p w14:paraId="75B0370D">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3.【部门规章】《非药品类易制毒化学品生产、经营</w:t>
            </w:r>
            <w:r>
              <w:rPr>
                <w:rFonts w:hint="default" w:ascii="Times New Roman" w:hAnsi="Times New Roman" w:eastAsia="仿宋_GB2312" w:cs="Times New Roman"/>
                <w:color w:val="000000"/>
                <w:spacing w:val="-4"/>
                <w:kern w:val="0"/>
                <w:sz w:val="19"/>
                <w:szCs w:val="19"/>
                <w:highlight w:val="none"/>
              </w:rPr>
              <w:t>许可实施办法》（2006年国家安全生产监督管理总局令第60号）第二十五</w:t>
            </w:r>
            <w:r>
              <w:rPr>
                <w:rFonts w:hint="default" w:ascii="Times New Roman" w:hAnsi="Times New Roman" w:eastAsia="仿宋_GB2312" w:cs="Times New Roman"/>
                <w:color w:val="000000"/>
                <w:spacing w:val="-4"/>
                <w:kern w:val="0"/>
                <w:sz w:val="19"/>
                <w:szCs w:val="19"/>
                <w:highlight w:val="none"/>
                <w:lang w:eastAsia="zh-CN"/>
              </w:rPr>
              <w:t>条：</w:t>
            </w:r>
            <w:r>
              <w:rPr>
                <w:rFonts w:hint="default" w:ascii="Times New Roman" w:hAnsi="Times New Roman" w:eastAsia="仿宋_GB2312" w:cs="Times New Roman"/>
                <w:color w:val="000000"/>
                <w:spacing w:val="-4"/>
                <w:kern w:val="0"/>
                <w:sz w:val="19"/>
                <w:szCs w:val="19"/>
                <w:highlight w:val="none"/>
              </w:rPr>
              <w:t>县级以上人民政府安全生产监督管理部门应当加强非药品类易制毒化学品生产、经营的监督检查工作。</w:t>
            </w:r>
          </w:p>
        </w:tc>
        <w:tc>
          <w:tcPr>
            <w:tcW w:w="1750" w:type="dxa"/>
            <w:vAlign w:val="center"/>
          </w:tcPr>
          <w:p w14:paraId="44A9274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65A1B31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1E85DF76">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744B64F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34AAC65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1C6FBBB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3BC2145A">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6100" w:type="dxa"/>
            <w:vAlign w:val="center"/>
          </w:tcPr>
          <w:p w14:paraId="178A09B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22214C7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23C63DC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0D3859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D95805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641A694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3D145C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EECE12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283BA5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1ED13E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13CD13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62972E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555C873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5" w:type="dxa"/>
            <w:vAlign w:val="center"/>
          </w:tcPr>
          <w:p w14:paraId="794637A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7960899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0E58922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3A07102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36AEEC6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0B65E62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3B9F10C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D7513D3">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2850" w:type="dxa"/>
            <w:vAlign w:val="center"/>
          </w:tcPr>
          <w:p w14:paraId="22CE2F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E97A3C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21CC3A8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468B492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50" w:type="dxa"/>
            <w:vAlign w:val="center"/>
          </w:tcPr>
          <w:p w14:paraId="3B5F34B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86" w:type="dxa"/>
            <w:vAlign w:val="center"/>
          </w:tcPr>
          <w:p w14:paraId="2F7BB2E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B06F4B4">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30"/>
        <w:gridCol w:w="950"/>
        <w:gridCol w:w="6957"/>
        <w:gridCol w:w="1500"/>
        <w:gridCol w:w="5067"/>
        <w:gridCol w:w="1371"/>
        <w:gridCol w:w="2330"/>
        <w:gridCol w:w="600"/>
        <w:gridCol w:w="561"/>
      </w:tblGrid>
      <w:tr w14:paraId="57B00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F493B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21C8F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737" w:type="dxa"/>
            <w:gridSpan w:val="5"/>
            <w:vAlign w:val="center"/>
          </w:tcPr>
          <w:p w14:paraId="6E43E1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0868" w:type="dxa"/>
            <w:gridSpan w:val="5"/>
            <w:vAlign w:val="center"/>
          </w:tcPr>
          <w:p w14:paraId="257D55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61" w:type="dxa"/>
            <w:vMerge w:val="restart"/>
            <w:vAlign w:val="center"/>
          </w:tcPr>
          <w:p w14:paraId="494FDC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4334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791CD8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03A86E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CCB65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77C31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30" w:type="dxa"/>
            <w:vAlign w:val="center"/>
          </w:tcPr>
          <w:p w14:paraId="3C28BB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50" w:type="dxa"/>
            <w:vAlign w:val="center"/>
          </w:tcPr>
          <w:p w14:paraId="3072B0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45D59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957" w:type="dxa"/>
            <w:vAlign w:val="center"/>
          </w:tcPr>
          <w:p w14:paraId="1FA194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338CA5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C05AE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067" w:type="dxa"/>
            <w:vAlign w:val="center"/>
          </w:tcPr>
          <w:p w14:paraId="43213E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013E55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30" w:type="dxa"/>
            <w:vAlign w:val="center"/>
          </w:tcPr>
          <w:p w14:paraId="6E51F6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6A57DD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2910D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61" w:type="dxa"/>
            <w:vMerge w:val="continue"/>
            <w:vAlign w:val="center"/>
          </w:tcPr>
          <w:p w14:paraId="010A39C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C63F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41" w:hRule="atLeast"/>
          <w:jc w:val="center"/>
        </w:trPr>
        <w:tc>
          <w:tcPr>
            <w:tcW w:w="406" w:type="dxa"/>
            <w:vAlign w:val="center"/>
          </w:tcPr>
          <w:p w14:paraId="601A252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5</w:t>
            </w:r>
          </w:p>
        </w:tc>
        <w:tc>
          <w:tcPr>
            <w:tcW w:w="476" w:type="dxa"/>
            <w:vAlign w:val="center"/>
          </w:tcPr>
          <w:p w14:paraId="43C05630">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7DB9A10B">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对存在重大危险源的危险化学品单位的监督检查</w:t>
            </w:r>
          </w:p>
        </w:tc>
        <w:tc>
          <w:tcPr>
            <w:tcW w:w="650" w:type="dxa"/>
            <w:vAlign w:val="center"/>
          </w:tcPr>
          <w:p w14:paraId="0773915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630" w:type="dxa"/>
            <w:vAlign w:val="center"/>
          </w:tcPr>
          <w:p w14:paraId="6A7A838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50" w:type="dxa"/>
            <w:vAlign w:val="center"/>
          </w:tcPr>
          <w:p w14:paraId="19EFA2D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6957" w:type="dxa"/>
            <w:vAlign w:val="center"/>
          </w:tcPr>
          <w:p w14:paraId="5C03B37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20E7F6F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903DAF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04E4C6E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246482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A49B06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DE9391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08BF514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51AC581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02FA21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857B33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750C7AF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2.【部门规章】《危险化学品重大危险源监督管理暂行规定》（2011年国家安全生产监督管理总局令第40号公布，2015年国家安全监管总局令第79号修正）第三十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安全生产监督管理部门应当加强对存在重大危险源的危险化学品单位的监督检查，督促危险化学品单位做好重大危险源的辨识、安全评估及分级、登记建档、备案、监测监控、事故应急预案编制、核销和安全管理工作。</w:t>
            </w:r>
          </w:p>
          <w:p w14:paraId="7B88C34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首次对重大危险源的监督检查应当包括下列主要内容：</w:t>
            </w:r>
          </w:p>
          <w:p w14:paraId="7D24B23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（一）重大危险源的运行情况、安全管理规章制度及安全操作规程制定和落实情况；</w:t>
            </w:r>
          </w:p>
          <w:p w14:paraId="7BE140C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（二）重大危险源的辨识、分级、安全评估、登记建档、备案情况；</w:t>
            </w:r>
          </w:p>
          <w:p w14:paraId="636E7F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（三）重大危险源的监测监控情况；</w:t>
            </w:r>
          </w:p>
          <w:p w14:paraId="7E56D35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（四）重大危险源安全设施和安全监测监控系统的检测、检验以及维护保养情况；</w:t>
            </w:r>
          </w:p>
          <w:p w14:paraId="045A618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（五）重大危险源事故应急预案的编制、评审、备案、修订和演练情况；</w:t>
            </w:r>
          </w:p>
          <w:p w14:paraId="096EA55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（六）有关从业人员的安全培训教育情况；</w:t>
            </w:r>
          </w:p>
          <w:p w14:paraId="717C9D6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（七）安全标志设置情况；</w:t>
            </w:r>
          </w:p>
          <w:p w14:paraId="6E8942D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（八）应急救援器材、设备、物资配备情况；</w:t>
            </w:r>
          </w:p>
          <w:p w14:paraId="32506C9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（九）预防和控制事故措施的落实情况。</w:t>
            </w:r>
          </w:p>
          <w:p w14:paraId="1F7B222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在监督检查中发现重大危险源存在事故隐患的，应当责令立即排除；重大事故隐患排除前或者排除过程中无法保证安全的，应当责令从危险区域内撤出作业人员，责令暂时停产停业或者停止使用；重大事故隐患排除后，经安全生产监督管理部门审查同意，方可恢复生产经营和使用。</w:t>
            </w:r>
          </w:p>
        </w:tc>
        <w:tc>
          <w:tcPr>
            <w:tcW w:w="1500" w:type="dxa"/>
            <w:vAlign w:val="center"/>
          </w:tcPr>
          <w:p w14:paraId="37B047B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402144E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478C2A1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3D1E7A8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23747D0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32C52DA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05011A32">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067" w:type="dxa"/>
            <w:vAlign w:val="center"/>
          </w:tcPr>
          <w:p w14:paraId="7F51135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42C435F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578036D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49F681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68A692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114165B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59E425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3A8B5A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D70AD1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507ECEE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7F4F45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1B994EE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3B5700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3E2555D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424BEDD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4EE0261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02CDF32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6D38A99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39E02A8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7CCF277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EDCD4FF">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2330" w:type="dxa"/>
            <w:vAlign w:val="center"/>
          </w:tcPr>
          <w:p w14:paraId="0439034A">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EEFA990">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36F3965E">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1A5C72B5">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0C94874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61" w:type="dxa"/>
            <w:vAlign w:val="center"/>
          </w:tcPr>
          <w:p w14:paraId="51EE6EB7">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15DA23E1">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01"/>
        <w:gridCol w:w="1821"/>
        <w:gridCol w:w="5251"/>
        <w:gridCol w:w="1543"/>
        <w:gridCol w:w="3685"/>
        <w:gridCol w:w="795"/>
        <w:gridCol w:w="620"/>
      </w:tblGrid>
      <w:tr w14:paraId="0D2F4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restart"/>
            <w:vAlign w:val="center"/>
          </w:tcPr>
          <w:p w14:paraId="6051F8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8ED34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51" w:type="dxa"/>
            <w:gridSpan w:val="5"/>
            <w:vAlign w:val="center"/>
          </w:tcPr>
          <w:p w14:paraId="080AE9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95" w:type="dxa"/>
            <w:gridSpan w:val="5"/>
            <w:vAlign w:val="center"/>
          </w:tcPr>
          <w:p w14:paraId="08B0DE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20" w:type="dxa"/>
            <w:vMerge w:val="restart"/>
            <w:vAlign w:val="center"/>
          </w:tcPr>
          <w:p w14:paraId="299672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073B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continue"/>
            <w:vAlign w:val="center"/>
          </w:tcPr>
          <w:p w14:paraId="7C3AFB6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EB554C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88DB6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B85FB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6EECB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3D5A7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C150C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01" w:type="dxa"/>
            <w:vAlign w:val="center"/>
          </w:tcPr>
          <w:p w14:paraId="0DFF0D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21" w:type="dxa"/>
            <w:vAlign w:val="center"/>
          </w:tcPr>
          <w:p w14:paraId="36D316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7C58A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251" w:type="dxa"/>
            <w:vAlign w:val="center"/>
          </w:tcPr>
          <w:p w14:paraId="28DCD3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43" w:type="dxa"/>
            <w:vAlign w:val="center"/>
          </w:tcPr>
          <w:p w14:paraId="4EF282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85" w:type="dxa"/>
            <w:vAlign w:val="center"/>
          </w:tcPr>
          <w:p w14:paraId="5B2991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95" w:type="dxa"/>
            <w:vAlign w:val="center"/>
          </w:tcPr>
          <w:p w14:paraId="7307D8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23C14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20" w:type="dxa"/>
            <w:vMerge w:val="continue"/>
            <w:vAlign w:val="center"/>
          </w:tcPr>
          <w:p w14:paraId="7EE37CC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8FBC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8" w:hRule="atLeast"/>
          <w:jc w:val="center"/>
        </w:trPr>
        <w:tc>
          <w:tcPr>
            <w:tcW w:w="406" w:type="dxa"/>
            <w:vAlign w:val="center"/>
          </w:tcPr>
          <w:p w14:paraId="7FE7C106">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default" w:ascii="Times New Roman" w:hAnsi="Times New Roman" w:eastAsia="仿宋_GB2312" w:cs="Times New Roman"/>
                <w:kern w:val="0"/>
                <w:sz w:val="20"/>
                <w:szCs w:val="20"/>
                <w:lang w:val="en-US" w:eastAsia="zh-CN"/>
              </w:rPr>
              <w:t>2</w:t>
            </w:r>
            <w:r>
              <w:rPr>
                <w:rFonts w:hint="eastAsia" w:eastAsia="仿宋_GB2312" w:cs="Times New Roman"/>
                <w:kern w:val="0"/>
                <w:sz w:val="20"/>
                <w:szCs w:val="20"/>
                <w:lang w:val="en-US" w:eastAsia="zh-CN"/>
              </w:rPr>
              <w:t>6</w:t>
            </w:r>
          </w:p>
        </w:tc>
        <w:tc>
          <w:tcPr>
            <w:tcW w:w="476" w:type="dxa"/>
            <w:vAlign w:val="center"/>
          </w:tcPr>
          <w:p w14:paraId="30F74F9D">
            <w:pPr>
              <w:widowControl/>
              <w:adjustRightInd w:val="0"/>
              <w:snapToGrid w:val="0"/>
              <w:spacing w:line="300" w:lineRule="exact"/>
              <w:jc w:val="center"/>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行政检查</w:t>
            </w:r>
          </w:p>
        </w:tc>
        <w:tc>
          <w:tcPr>
            <w:tcW w:w="550" w:type="dxa"/>
            <w:vAlign w:val="center"/>
          </w:tcPr>
          <w:p w14:paraId="50E80644">
            <w:pPr>
              <w:widowControl/>
              <w:adjustRightInd w:val="0"/>
              <w:snapToGrid w:val="0"/>
              <w:spacing w:line="300" w:lineRule="exact"/>
              <w:jc w:val="center"/>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对小型露天采石场安全生产情况隐患排查情况的监督检查</w:t>
            </w:r>
          </w:p>
        </w:tc>
        <w:tc>
          <w:tcPr>
            <w:tcW w:w="650" w:type="dxa"/>
            <w:vAlign w:val="center"/>
          </w:tcPr>
          <w:p w14:paraId="1B3171AC">
            <w:pPr>
              <w:adjustRightInd w:val="0"/>
              <w:snapToGrid w:val="0"/>
              <w:spacing w:line="300" w:lineRule="exact"/>
              <w:jc w:val="center"/>
              <w:rPr>
                <w:rFonts w:hint="default" w:ascii="Times New Roman" w:hAnsi="Times New Roman" w:eastAsia="仿宋_GB2312" w:cs="Times New Roman"/>
                <w:kern w:val="0"/>
                <w:sz w:val="20"/>
                <w:szCs w:val="20"/>
              </w:rPr>
            </w:pPr>
          </w:p>
        </w:tc>
        <w:tc>
          <w:tcPr>
            <w:tcW w:w="917" w:type="dxa"/>
            <w:vAlign w:val="center"/>
          </w:tcPr>
          <w:p w14:paraId="2874E91E">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eastAsia" w:eastAsia="仿宋_GB2312" w:cs="Times New Roman"/>
                <w:kern w:val="0"/>
                <w:sz w:val="20"/>
                <w:szCs w:val="20"/>
                <w:lang w:val="en-US" w:eastAsia="zh-CN"/>
              </w:rPr>
              <w:t>百寿</w:t>
            </w:r>
            <w:r>
              <w:rPr>
                <w:rFonts w:hint="default" w:ascii="Times New Roman" w:hAnsi="Times New Roman" w:eastAsia="仿宋_GB2312" w:cs="Times New Roman"/>
                <w:kern w:val="0"/>
                <w:sz w:val="20"/>
                <w:szCs w:val="20"/>
                <w:lang w:val="en-US" w:eastAsia="zh-CN"/>
              </w:rPr>
              <w:t>镇人民政府</w:t>
            </w:r>
          </w:p>
        </w:tc>
        <w:tc>
          <w:tcPr>
            <w:tcW w:w="933" w:type="dxa"/>
            <w:vAlign w:val="center"/>
          </w:tcPr>
          <w:p w14:paraId="68461BFF">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eastAsia" w:eastAsia="仿宋_GB2312" w:cs="Times New Roman"/>
                <w:kern w:val="0"/>
                <w:sz w:val="20"/>
                <w:szCs w:val="20"/>
                <w:lang w:val="en-US" w:eastAsia="zh-CN"/>
              </w:rPr>
              <w:t>百寿镇</w:t>
            </w:r>
            <w:r>
              <w:rPr>
                <w:rFonts w:hint="default" w:ascii="Times New Roman" w:hAnsi="Times New Roman" w:eastAsia="仿宋_GB2312" w:cs="Times New Roman"/>
                <w:kern w:val="0"/>
                <w:sz w:val="20"/>
                <w:szCs w:val="20"/>
                <w:lang w:val="en-US" w:eastAsia="zh-CN"/>
              </w:rPr>
              <w:t>乡村建设综合服务中心</w:t>
            </w:r>
          </w:p>
        </w:tc>
        <w:tc>
          <w:tcPr>
            <w:tcW w:w="4401" w:type="dxa"/>
            <w:vAlign w:val="center"/>
          </w:tcPr>
          <w:p w14:paraId="105024C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1.【法律】《中华人民共和国安全生产法》第八条</w:t>
            </w:r>
            <w:r>
              <w:rPr>
                <w:rFonts w:hint="default" w:ascii="Times New Roman" w:hAnsi="Times New Roman" w:eastAsia="仿宋_GB2312" w:cs="Times New Roman"/>
                <w:color w:val="000000"/>
                <w:kern w:val="0"/>
                <w:sz w:val="20"/>
                <w:szCs w:val="20"/>
                <w:lang w:eastAsia="zh-CN"/>
              </w:rPr>
              <w:t>第三款：乡、镇人民政</w:t>
            </w:r>
            <w:r>
              <w:rPr>
                <w:rFonts w:hint="default" w:ascii="Times New Roman" w:hAnsi="Times New Roman" w:eastAsia="仿宋_GB2312" w:cs="Times New Roman"/>
                <w:color w:val="000000"/>
                <w:kern w:val="0"/>
                <w:sz w:val="20"/>
                <w:szCs w:val="20"/>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5AD1328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第六十二</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203AA4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（一）进入生产经营单位进行检查，调阅有关资料，向有关单位和人员了解情况；</w:t>
            </w:r>
          </w:p>
          <w:p w14:paraId="59A3A9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2EE0F62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D6F9CF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B87BC83">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color w:val="000000"/>
                <w:spacing w:val="-4"/>
                <w:kern w:val="0"/>
                <w:sz w:val="20"/>
                <w:szCs w:val="20"/>
              </w:rPr>
            </w:pPr>
            <w:r>
              <w:rPr>
                <w:rFonts w:hint="default" w:ascii="Times New Roman" w:hAnsi="Times New Roman" w:eastAsia="仿宋_GB2312" w:cs="Times New Roman"/>
                <w:color w:val="000000"/>
                <w:spacing w:val="-4"/>
                <w:kern w:val="0"/>
                <w:sz w:val="20"/>
                <w:szCs w:val="20"/>
              </w:rPr>
              <w:t>监督检查不得影响被检查单位的正常生产经营活动。</w:t>
            </w:r>
          </w:p>
          <w:p w14:paraId="44A0F1C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第六十四</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安全生产监督检查人员应当忠于职守，坚持原则，秉公执法。</w:t>
            </w:r>
          </w:p>
          <w:p w14:paraId="28B37E3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安全生产监督检查人员执行监督检查任务时，必须出示有效的监督执法证件；对涉及被检查单位的技术秘密和业务秘密，应当为其保密。</w:t>
            </w:r>
          </w:p>
          <w:p w14:paraId="522183F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第六十五</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rPr>
              <w:t>被检查单位的负责人拒绝签字的，检查人员应当将情况记录在案，并向负有安全生产监督管理职责的部门报告。</w:t>
            </w:r>
          </w:p>
          <w:p w14:paraId="34ADC18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第六十六</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rPr>
              <w:t>当由其他有关部门进行处理的，应当及时移送其他有关部门并形成记录备查，接受移送的部门应当及时进行处理。</w:t>
            </w:r>
          </w:p>
          <w:p w14:paraId="7FDA658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2.【部门规章】《小型露天采石场安全管理与监督检查规定》（2011年国家安全监管总局令第39号公布，2015年国家安全监管总局令第78号修正）第二十九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安全生产监督管理部门应当加强对小型露天采石场的监督检查，对检查中发现的事故隐患和安全生产违法违规行为，依法作出现场处理或者实施行政处罚。</w:t>
            </w:r>
          </w:p>
        </w:tc>
        <w:tc>
          <w:tcPr>
            <w:tcW w:w="1821" w:type="dxa"/>
            <w:vAlign w:val="center"/>
          </w:tcPr>
          <w:p w14:paraId="783C23F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1.告知责任：制定检查计划、方案，确定检查目标、对象、内容，公告或通知被检查单位（暗访不通知）。</w:t>
            </w:r>
          </w:p>
          <w:p w14:paraId="1FCF280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2.检查责任：检查时，执法人员不得少于2人，并出示相关证件进行检查；检查不得影响被检查单位正常的生产经营活动。</w:t>
            </w:r>
          </w:p>
          <w:p w14:paraId="33FD2F5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3.处理责任：制作检查记录，对检查发现的问题提出整改和处理意见。</w:t>
            </w:r>
          </w:p>
          <w:p w14:paraId="14457E5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4.监管责任：按照检查计划、方案，对生产经营单位提取、使用和管理安全费用情况进行监督检查。</w:t>
            </w:r>
          </w:p>
          <w:p w14:paraId="37538E0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5.其他法律法规规章文件规定应履行的责任。</w:t>
            </w:r>
          </w:p>
          <w:p w14:paraId="0823850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p>
          <w:p w14:paraId="0390693C">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251" w:type="dxa"/>
            <w:vAlign w:val="center"/>
          </w:tcPr>
          <w:p w14:paraId="39EA084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1.【法律】《中华人民共和国安全生产法》第五十九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县级以上地方各级人民政府应当根据本行政区域内的安全生产状况，组织有关部门按照职责分工，对本行政区域内容易发生重大生产安全事故的生产经营单位进行严格检查。</w:t>
            </w:r>
          </w:p>
          <w:p w14:paraId="5A742A1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安全生产监督管理部门应当按照分类分级监督管理的要求，制定安全生产年度监督检查计划，并按照年度监督检查计划进行监督检查，发现事故隐患，应当及时处理。</w:t>
            </w:r>
          </w:p>
          <w:p w14:paraId="693FC2A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w:t>
            </w:r>
            <w:r>
              <w:rPr>
                <w:rFonts w:hint="default" w:ascii="Times New Roman" w:hAnsi="Times New Roman" w:eastAsia="仿宋_GB2312" w:cs="Times New Roman"/>
                <w:color w:val="000000"/>
                <w:kern w:val="0"/>
                <w:sz w:val="20"/>
                <w:szCs w:val="20"/>
                <w:lang w:eastAsia="zh-CN"/>
              </w:rPr>
              <w:t>—1.</w:t>
            </w:r>
            <w:r>
              <w:rPr>
                <w:rFonts w:hint="default" w:ascii="Times New Roman" w:hAnsi="Times New Roman" w:eastAsia="仿宋_GB2312" w:cs="Times New Roman"/>
                <w:color w:val="000000"/>
                <w:kern w:val="0"/>
                <w:sz w:val="20"/>
                <w:szCs w:val="20"/>
              </w:rPr>
              <w:t>【法律】《中华人民共和国行政处罚法》第三十七</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B521D3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w:t>
            </w:r>
            <w:r>
              <w:rPr>
                <w:rFonts w:hint="default" w:ascii="Times New Roman" w:hAnsi="Times New Roman" w:eastAsia="仿宋_GB2312" w:cs="Times New Roman"/>
                <w:color w:val="000000"/>
                <w:kern w:val="0"/>
                <w:sz w:val="20"/>
                <w:szCs w:val="20"/>
                <w:lang w:eastAsia="zh-CN"/>
              </w:rPr>
              <w:t>—2.</w:t>
            </w:r>
            <w:r>
              <w:rPr>
                <w:rFonts w:hint="default" w:ascii="Times New Roman" w:hAnsi="Times New Roman" w:eastAsia="仿宋_GB2312" w:cs="Times New Roman"/>
                <w:color w:val="000000"/>
                <w:kern w:val="0"/>
                <w:sz w:val="20"/>
                <w:szCs w:val="20"/>
              </w:rPr>
              <w:t>【法律】《中华人民共和国行政处罚法》第六十二</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48CBFA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（一）进入生产经营单位进行检查，调阅有关资料，向有关单位和人员了解情况；</w:t>
            </w:r>
          </w:p>
          <w:p w14:paraId="1032561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2A80A45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FAD013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E93800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监督检查不得影响被检查单位的正常生产经营活动。</w:t>
            </w:r>
          </w:p>
          <w:p w14:paraId="6DD5197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3.【法律】《中华人民共和国安全生产法》第六十五</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7C9CC6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4.【法律】《中华人民共和国安全生产法》第九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国务院安全生产监督管理部门依照本法，对全国安全生产工作实施综合监督管理；县级以上地方各级人民政府安全生产监督管理部门依照本法，对本行政区域内安全生产工作实施综合监督管理。</w:t>
            </w:r>
          </w:p>
          <w:p w14:paraId="287D041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4F439B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kern w:val="0"/>
                <w:sz w:val="20"/>
                <w:szCs w:val="20"/>
              </w:rPr>
            </w:pPr>
            <w:r>
              <w:rPr>
                <w:rFonts w:hint="default" w:ascii="Times New Roman" w:hAnsi="Times New Roman" w:eastAsia="仿宋_GB2312" w:cs="Times New Roman"/>
                <w:color w:val="000000"/>
                <w:kern w:val="0"/>
                <w:sz w:val="20"/>
                <w:szCs w:val="20"/>
              </w:rPr>
              <w:t>安全生产监督管理部门和对有关行业、领域的安全生产工作实施监督管理的部门，统称负有安全生产监督管理职责的部门。</w:t>
            </w:r>
          </w:p>
        </w:tc>
        <w:tc>
          <w:tcPr>
            <w:tcW w:w="1543" w:type="dxa"/>
            <w:vAlign w:val="center"/>
          </w:tcPr>
          <w:p w14:paraId="44370EA6">
            <w:pPr>
              <w:widowControl/>
              <w:adjustRightInd w:val="0"/>
              <w:snapToGrid w:val="0"/>
              <w:spacing w:line="260" w:lineRule="exact"/>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因不履行或不正确履行职责，有下列情形之一的，应承担相应的责任：</w:t>
            </w:r>
          </w:p>
          <w:p w14:paraId="600D346F">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1.在监督检查中发现重大事故隐患，不依法及时处理的；</w:t>
            </w:r>
          </w:p>
          <w:p w14:paraId="6752FE39">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2.在监督检查中滥用职权、玩忽职守、徇私舞弊行为的；</w:t>
            </w:r>
          </w:p>
          <w:p w14:paraId="66EA6EBF">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3.利用职务上的便利，索取或者收受他人财物、以权谋私的；</w:t>
            </w:r>
          </w:p>
          <w:p w14:paraId="5D9E277F">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4.违反规定程序实施监督检查的；</w:t>
            </w:r>
          </w:p>
          <w:p w14:paraId="0E6C6710">
            <w:pPr>
              <w:widowControl/>
              <w:adjustRightInd w:val="0"/>
              <w:snapToGrid w:val="0"/>
              <w:spacing w:line="260" w:lineRule="exact"/>
              <w:ind w:firstLine="4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5.其他违反法律法规规章文件规定的行为。</w:t>
            </w:r>
          </w:p>
          <w:p w14:paraId="472A9B18">
            <w:pPr>
              <w:widowControl/>
              <w:adjustRightInd w:val="0"/>
              <w:snapToGrid w:val="0"/>
              <w:spacing w:line="260" w:lineRule="exact"/>
              <w:ind w:firstLine="400"/>
              <w:jc w:val="left"/>
              <w:rPr>
                <w:rFonts w:hint="default" w:ascii="Times New Roman" w:hAnsi="Times New Roman" w:eastAsia="仿宋_GB2312" w:cs="Times New Roman"/>
                <w:kern w:val="0"/>
                <w:sz w:val="20"/>
                <w:szCs w:val="20"/>
              </w:rPr>
            </w:pPr>
          </w:p>
          <w:p w14:paraId="61E00432">
            <w:pPr>
              <w:widowControl/>
              <w:adjustRightInd w:val="0"/>
              <w:snapToGrid w:val="0"/>
              <w:spacing w:line="260" w:lineRule="exact"/>
              <w:ind w:left="0" w:leftChars="0" w:firstLine="0" w:firstLineChars="0"/>
              <w:jc w:val="center"/>
              <w:rPr>
                <w:rFonts w:hint="default"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lang w:eastAsia="zh-CN"/>
              </w:rPr>
              <w:t>（</w:t>
            </w:r>
            <w:r>
              <w:rPr>
                <w:rFonts w:hint="eastAsia" w:ascii="Times New Roman" w:hAnsi="Times New Roman" w:eastAsia="仿宋_GB2312" w:cs="Times New Roman"/>
                <w:kern w:val="0"/>
                <w:sz w:val="20"/>
                <w:szCs w:val="20"/>
                <w:lang w:val="en-US" w:eastAsia="zh-CN"/>
              </w:rPr>
              <w:t>中共</w:t>
            </w:r>
            <w:r>
              <w:rPr>
                <w:rFonts w:hint="eastAsia" w:eastAsia="仿宋_GB2312" w:cs="Times New Roman"/>
                <w:kern w:val="0"/>
                <w:sz w:val="20"/>
                <w:szCs w:val="20"/>
                <w:lang w:val="en-US" w:eastAsia="zh-CN"/>
              </w:rPr>
              <w:t>百寿</w:t>
            </w:r>
            <w:r>
              <w:rPr>
                <w:rFonts w:hint="eastAsia" w:ascii="Times New Roman" w:hAnsi="Times New Roman" w:eastAsia="仿宋_GB2312" w:cs="Times New Roman"/>
                <w:kern w:val="0"/>
                <w:sz w:val="20"/>
                <w:szCs w:val="20"/>
                <w:lang w:val="en-US" w:eastAsia="zh-CN"/>
              </w:rPr>
              <w:t>镇纪律检查委员会</w:t>
            </w:r>
            <w:r>
              <w:rPr>
                <w:rFonts w:hint="eastAsia" w:ascii="Times New Roman" w:hAnsi="Times New Roman" w:eastAsia="仿宋_GB2312" w:cs="Times New Roman"/>
                <w:kern w:val="0"/>
                <w:sz w:val="20"/>
                <w:szCs w:val="20"/>
                <w:lang w:eastAsia="zh-CN"/>
              </w:rPr>
              <w:t>）</w:t>
            </w:r>
          </w:p>
        </w:tc>
        <w:tc>
          <w:tcPr>
            <w:tcW w:w="3685" w:type="dxa"/>
            <w:vAlign w:val="center"/>
          </w:tcPr>
          <w:p w14:paraId="04C46F4A">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6DDC2A5">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2.同1。</w:t>
            </w:r>
          </w:p>
          <w:p w14:paraId="1922C8E1">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4590CB62">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95" w:type="dxa"/>
            <w:vAlign w:val="center"/>
          </w:tcPr>
          <w:p w14:paraId="011C8FC7">
            <w:pPr>
              <w:adjustRightInd w:val="0"/>
              <w:snapToGrid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法律法规规定的免责情形及有关文件中明确的免责情形</w:t>
            </w:r>
          </w:p>
        </w:tc>
        <w:tc>
          <w:tcPr>
            <w:tcW w:w="620" w:type="dxa"/>
            <w:vAlign w:val="center"/>
          </w:tcPr>
          <w:p w14:paraId="6F8EDDDD">
            <w:pPr>
              <w:adjustRightInd w:val="0"/>
              <w:snapToGrid w:val="0"/>
              <w:spacing w:line="300" w:lineRule="exact"/>
              <w:jc w:val="center"/>
              <w:rPr>
                <w:rFonts w:hint="default" w:ascii="Times New Roman" w:hAnsi="Times New Roman" w:eastAsia="仿宋_GB2312" w:cs="Times New Roman"/>
                <w:kern w:val="0"/>
                <w:sz w:val="20"/>
                <w:szCs w:val="20"/>
              </w:rPr>
            </w:pPr>
          </w:p>
        </w:tc>
      </w:tr>
    </w:tbl>
    <w:p w14:paraId="742B467F">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37"/>
        <w:gridCol w:w="1500"/>
        <w:gridCol w:w="4977"/>
        <w:gridCol w:w="1629"/>
        <w:gridCol w:w="3878"/>
        <w:gridCol w:w="750"/>
        <w:gridCol w:w="766"/>
      </w:tblGrid>
      <w:tr w14:paraId="5C443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E54C5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38977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87" w:type="dxa"/>
            <w:gridSpan w:val="5"/>
            <w:vAlign w:val="center"/>
          </w:tcPr>
          <w:p w14:paraId="042F79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4" w:type="dxa"/>
            <w:gridSpan w:val="5"/>
            <w:vAlign w:val="center"/>
          </w:tcPr>
          <w:p w14:paraId="3674A8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6" w:type="dxa"/>
            <w:vMerge w:val="restart"/>
            <w:vAlign w:val="center"/>
          </w:tcPr>
          <w:p w14:paraId="2F457D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216F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F0A604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0BFAC8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F9D52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9A765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C104A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5A01A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F3BBF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37" w:type="dxa"/>
            <w:vAlign w:val="center"/>
          </w:tcPr>
          <w:p w14:paraId="34269B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5C56B1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790BE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77" w:type="dxa"/>
            <w:vAlign w:val="center"/>
          </w:tcPr>
          <w:p w14:paraId="2BAD1E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29" w:type="dxa"/>
            <w:vAlign w:val="center"/>
          </w:tcPr>
          <w:p w14:paraId="75D65A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878" w:type="dxa"/>
            <w:vAlign w:val="center"/>
          </w:tcPr>
          <w:p w14:paraId="015A74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7AB012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D7E6F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6" w:type="dxa"/>
            <w:vMerge w:val="continue"/>
            <w:vAlign w:val="center"/>
          </w:tcPr>
          <w:p w14:paraId="14EBF1B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86B8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1" w:hRule="atLeast"/>
          <w:jc w:val="center"/>
        </w:trPr>
        <w:tc>
          <w:tcPr>
            <w:tcW w:w="406" w:type="dxa"/>
            <w:vAlign w:val="center"/>
          </w:tcPr>
          <w:p w14:paraId="36D9586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7</w:t>
            </w:r>
          </w:p>
        </w:tc>
        <w:tc>
          <w:tcPr>
            <w:tcW w:w="476" w:type="dxa"/>
            <w:vAlign w:val="center"/>
          </w:tcPr>
          <w:p w14:paraId="50B17019">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16F545E9">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对地质勘探单位安全生产情况的监督检查</w:t>
            </w:r>
          </w:p>
        </w:tc>
        <w:tc>
          <w:tcPr>
            <w:tcW w:w="650" w:type="dxa"/>
            <w:vAlign w:val="center"/>
          </w:tcPr>
          <w:p w14:paraId="5C8DA2A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3ED1C17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1FD7BD5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4437" w:type="dxa"/>
            <w:vAlign w:val="center"/>
          </w:tcPr>
          <w:p w14:paraId="2FA8E97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4838F60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FBD5A0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31015B4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44870D2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F2F1BD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86971A7">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427B38D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5AF1DA5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00EADD4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17BE75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510407C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2.【部门规章】《金属与非金属矿产资源地质勘探安全生产监督管理暂行规定》（2010年国家安全监管总局令第35号公布，2015年国家安全监管总局令第78号修正）第二十二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安全生产监督管理部门应当加强对地质勘探单位安全生产的监督检查，对检查中发现的事故隐患和安全生产违法违规行为，依法作出现场处理或者实施行政处罚。</w:t>
            </w:r>
          </w:p>
        </w:tc>
        <w:tc>
          <w:tcPr>
            <w:tcW w:w="1500" w:type="dxa"/>
            <w:vAlign w:val="center"/>
          </w:tcPr>
          <w:p w14:paraId="56EF504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015F3E0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449BA0D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17DBC8C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78AE0DC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19805C6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2DAF1246">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4977" w:type="dxa"/>
            <w:vAlign w:val="center"/>
          </w:tcPr>
          <w:p w14:paraId="69149F5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1.【法律】《中华人民共和国安全生产法》第五十九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13F4CC9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10675A3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—1.</w:t>
            </w:r>
            <w:r>
              <w:rPr>
                <w:rFonts w:hint="default" w:ascii="Times New Roman" w:hAnsi="Times New Roman" w:eastAsia="仿宋_GB2312" w:cs="Times New Roman"/>
                <w:color w:val="000000"/>
                <w:kern w:val="0"/>
                <w:sz w:val="18"/>
                <w:szCs w:val="18"/>
                <w:highlight w:val="none"/>
              </w:rPr>
              <w:t>【法律】《中华人民共和国行政处罚法》第三十七</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864DEE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—2.</w:t>
            </w:r>
            <w:r>
              <w:rPr>
                <w:rFonts w:hint="default" w:ascii="Times New Roman" w:hAnsi="Times New Roman" w:eastAsia="仿宋_GB2312" w:cs="Times New Roman"/>
                <w:color w:val="000000"/>
                <w:kern w:val="0"/>
                <w:sz w:val="18"/>
                <w:szCs w:val="18"/>
                <w:highlight w:val="none"/>
              </w:rPr>
              <w:t>【法律】《中华人民共和国行政处罚法》第六十二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F6DE03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1846533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3412067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367821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88C0F7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59C207D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3.【法律】《中华人民共和国安全生产法》第六十五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D8D35A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4.【法律】《中华人民共和国安全生产法》第九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22D5448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6BDDAF0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629" w:type="dxa"/>
            <w:vAlign w:val="center"/>
          </w:tcPr>
          <w:p w14:paraId="319014F7">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61DEE1C5">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1.在监督检查中发现重大事故隐患，不依法及时处理的；</w:t>
            </w:r>
          </w:p>
          <w:p w14:paraId="6DF64F0F">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2.在监督检查中滥用职权、玩忽职守、徇私舞弊行为的；</w:t>
            </w:r>
          </w:p>
          <w:p w14:paraId="2AC14715">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1DD9DBC9">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4.违反规定程序实施监督检查的；</w:t>
            </w:r>
          </w:p>
          <w:p w14:paraId="65E42A94">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5036D133">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p>
          <w:p w14:paraId="2405EF99">
            <w:pPr>
              <w:widowControl/>
              <w:adjustRightInd w:val="0"/>
              <w:snapToGrid w:val="0"/>
              <w:spacing w:line="26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3878" w:type="dxa"/>
            <w:vAlign w:val="center"/>
          </w:tcPr>
          <w:p w14:paraId="55776C32">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DD5E9C2">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6F89DE8D">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2467D27F">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571DC31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6" w:type="dxa"/>
            <w:vAlign w:val="center"/>
          </w:tcPr>
          <w:p w14:paraId="2616F168">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6F6A71D4">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94"/>
        <w:gridCol w:w="1607"/>
        <w:gridCol w:w="4959"/>
        <w:gridCol w:w="1575"/>
        <w:gridCol w:w="2875"/>
        <w:gridCol w:w="675"/>
        <w:gridCol w:w="588"/>
        <w:gridCol w:w="2"/>
      </w:tblGrid>
      <w:tr w14:paraId="4A648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DE12C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7A1EB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44" w:type="dxa"/>
            <w:gridSpan w:val="5"/>
            <w:vAlign w:val="center"/>
          </w:tcPr>
          <w:p w14:paraId="4AFE77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691" w:type="dxa"/>
            <w:gridSpan w:val="5"/>
            <w:vAlign w:val="center"/>
          </w:tcPr>
          <w:p w14:paraId="5E58B2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90" w:type="dxa"/>
            <w:gridSpan w:val="2"/>
            <w:vMerge w:val="restart"/>
            <w:vAlign w:val="center"/>
          </w:tcPr>
          <w:p w14:paraId="18786B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E31D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BB378D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0B7743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EBB86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5A8C6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0AAAA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7A7BB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2B396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94" w:type="dxa"/>
            <w:vAlign w:val="center"/>
          </w:tcPr>
          <w:p w14:paraId="4AB4FF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07" w:type="dxa"/>
            <w:vAlign w:val="center"/>
          </w:tcPr>
          <w:p w14:paraId="527B83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90DFE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59" w:type="dxa"/>
            <w:vAlign w:val="center"/>
          </w:tcPr>
          <w:p w14:paraId="16CFC7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75" w:type="dxa"/>
            <w:vAlign w:val="center"/>
          </w:tcPr>
          <w:p w14:paraId="6FE103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75" w:type="dxa"/>
            <w:vAlign w:val="center"/>
          </w:tcPr>
          <w:p w14:paraId="22D3FA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75" w:type="dxa"/>
            <w:vAlign w:val="center"/>
          </w:tcPr>
          <w:p w14:paraId="66A1B3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387B4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90" w:type="dxa"/>
            <w:gridSpan w:val="2"/>
            <w:vMerge w:val="continue"/>
            <w:vAlign w:val="center"/>
          </w:tcPr>
          <w:p w14:paraId="1136FB7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7F47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2" w:type="dxa"/>
          <w:trHeight w:val="13102" w:hRule="atLeast"/>
          <w:jc w:val="center"/>
        </w:trPr>
        <w:tc>
          <w:tcPr>
            <w:tcW w:w="406" w:type="dxa"/>
            <w:vAlign w:val="center"/>
          </w:tcPr>
          <w:p w14:paraId="7358AD6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28</w:t>
            </w:r>
          </w:p>
        </w:tc>
        <w:tc>
          <w:tcPr>
            <w:tcW w:w="476" w:type="dxa"/>
            <w:vAlign w:val="center"/>
          </w:tcPr>
          <w:p w14:paraId="28E2B58B">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1333D6ED">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对生产经营单位应急预案的编制、定期演练和备案等事项的监督检查</w:t>
            </w:r>
          </w:p>
        </w:tc>
        <w:tc>
          <w:tcPr>
            <w:tcW w:w="650" w:type="dxa"/>
            <w:vAlign w:val="center"/>
          </w:tcPr>
          <w:p w14:paraId="672A028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198D0E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1E09041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6094" w:type="dxa"/>
            <w:vAlign w:val="center"/>
          </w:tcPr>
          <w:p w14:paraId="43890E2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1.【法律】《中华人民共和国安全生产法》第八条</w:t>
            </w:r>
            <w:r>
              <w:rPr>
                <w:rFonts w:hint="default" w:ascii="Times New Roman" w:hAnsi="Times New Roman" w:eastAsia="仿宋_GB2312" w:cs="Times New Roman"/>
                <w:color w:val="000000"/>
                <w:kern w:val="0"/>
                <w:sz w:val="18"/>
                <w:szCs w:val="18"/>
                <w:highlight w:val="none"/>
                <w:lang w:eastAsia="zh-CN"/>
              </w:rPr>
              <w:t>第三款：乡、镇人民政</w:t>
            </w:r>
            <w:r>
              <w:rPr>
                <w:rFonts w:hint="default" w:ascii="Times New Roman" w:hAnsi="Times New Roman" w:eastAsia="仿宋_GB2312" w:cs="Times New Roman"/>
                <w:color w:val="000000"/>
                <w:kern w:val="0"/>
                <w:sz w:val="18"/>
                <w:szCs w:val="18"/>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07252F7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38B270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76746AB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71B73E2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CF5F04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0A81E0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0ECF7BE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第六十四</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安全生产监督检查人员应当忠于职守，坚持原则，秉公执法。</w:t>
            </w:r>
          </w:p>
          <w:p w14:paraId="6CDDA81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安全生产监督检查人员执行监督检查任务时，必须出示有效的监督执法证件；对涉及被检查单位的技术秘密和业务秘密，应当为其保密。</w:t>
            </w:r>
          </w:p>
          <w:p w14:paraId="44F2938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C4FB57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第六十六</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241B3CD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2.【行政法规】《生产安全事故应急条例》（2019年国务院令第708号）第三</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统一领导全国的生产安全事故应急工作，县级以上地方人民政府统一领导本行政区域内的生产安全事故应急工作。生产安全事故应急工作涉及两个以上行政区域的，由有关行政区域共同的上一级人民政府负责</w:t>
            </w:r>
            <w:r>
              <w:rPr>
                <w:rFonts w:hint="eastAsia" w:eastAsia="仿宋_GB2312" w:cs="Times New Roman"/>
                <w:color w:val="000000"/>
                <w:kern w:val="0"/>
                <w:sz w:val="18"/>
                <w:szCs w:val="18"/>
                <w:highlight w:val="none"/>
                <w:lang w:eastAsia="zh-CN"/>
              </w:rPr>
              <w:t>或者</w:t>
            </w:r>
            <w:r>
              <w:rPr>
                <w:rFonts w:hint="default" w:ascii="Times New Roman" w:hAnsi="Times New Roman" w:eastAsia="仿宋_GB2312" w:cs="Times New Roman"/>
                <w:color w:val="000000"/>
                <w:kern w:val="0"/>
                <w:sz w:val="18"/>
                <w:szCs w:val="18"/>
                <w:highlight w:val="none"/>
              </w:rPr>
              <w:t>由各有关行政区域的上一级人民政府共同负责。</w:t>
            </w:r>
          </w:p>
          <w:p w14:paraId="643E6F7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县级以上人民政府应急管理部门和其他对有关行业、领域的安全生产工作实施监督管理的部门（以下统称负有安全生产监督管理职责的部门）在各自职责范围内，做好有关行业、领域的生产安全事故应急工作。</w:t>
            </w:r>
          </w:p>
          <w:p w14:paraId="6DB3BF0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县级以上人民政府应急管理部门指导、协调本级人民政府其他负有安全生产监督管理职责的部门和下级人民政府的生产安全事故应急工作。</w:t>
            </w:r>
          </w:p>
          <w:p w14:paraId="4F53D79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乡、镇人民政府以及街道办事处等地方人民政府派出机关应当协助上级人民政府有关部门依法履行生产安全事故应急工作职责。</w:t>
            </w:r>
          </w:p>
          <w:p w14:paraId="4080B41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3.【部门规章】《生产安全事故应急预案管理办法》（2016年国家安全生产监督管理总局令第88号公布，2019年应急管理部令第2号修正）第四条第二款</w:t>
            </w:r>
            <w:r>
              <w:rPr>
                <w:rFonts w:hint="default" w:ascii="Times New Roman" w:hAnsi="Times New Roman" w:eastAsia="仿宋_GB2312" w:cs="Times New Roman"/>
                <w:color w:val="000000"/>
                <w:kern w:val="0"/>
                <w:sz w:val="18"/>
                <w:szCs w:val="18"/>
                <w:highlight w:val="none"/>
                <w:lang w:eastAsia="zh-CN"/>
              </w:rPr>
              <w:t>：</w:t>
            </w:r>
            <w:r>
              <w:rPr>
                <w:rFonts w:hint="default" w:ascii="Times New Roman" w:hAnsi="Times New Roman" w:eastAsia="仿宋_GB2312" w:cs="Times New Roman"/>
                <w:color w:val="000000"/>
                <w:kern w:val="0"/>
                <w:sz w:val="18"/>
                <w:szCs w:val="18"/>
                <w:highlight w:val="none"/>
              </w:rPr>
              <w:t>县级以上地方各级人民政府应急管理部门负责本行政区域内应急预案的综合协调管理工作。县级以上地方各级人民政府其他负有安全生产监督管理职责的部门按照各自的职责负责有关行业、领域应急预案的管理工作。</w:t>
            </w:r>
          </w:p>
        </w:tc>
        <w:tc>
          <w:tcPr>
            <w:tcW w:w="1607" w:type="dxa"/>
            <w:vAlign w:val="center"/>
          </w:tcPr>
          <w:p w14:paraId="4E198EE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1.告知责任：制定检查计划、方案，确定检查目标、对象、内容，公告或通知被检查单位（暗访不通知）。</w:t>
            </w:r>
          </w:p>
          <w:p w14:paraId="3C271F5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2.检查责任：检查时，执法人员不得少于2人，并出示相关证件进行检查；检查不得影响被检查单位正常的生产经营活动。</w:t>
            </w:r>
          </w:p>
          <w:p w14:paraId="14FD9F0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3.处理责任：制作检查记录，对检查发现的问题提出整改和处理意见。</w:t>
            </w:r>
          </w:p>
          <w:p w14:paraId="0EC9C0A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4.监管责任：按照检查计划、方案，对生产经营单位提取、使用和管理安全费用情况进行监督检查。</w:t>
            </w:r>
          </w:p>
          <w:p w14:paraId="0862D9E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5.其他法律法规规章文件规定应履行的责任。</w:t>
            </w:r>
          </w:p>
          <w:p w14:paraId="3F48847D">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left"/>
              <w:rPr>
                <w:rFonts w:hint="default" w:ascii="Times New Roman" w:hAnsi="Times New Roman" w:eastAsia="仿宋_GB2312" w:cs="Times New Roman"/>
                <w:color w:val="000000"/>
                <w:kern w:val="0"/>
                <w:sz w:val="18"/>
                <w:szCs w:val="18"/>
                <w:highlight w:val="none"/>
              </w:rPr>
            </w:pPr>
          </w:p>
          <w:p w14:paraId="6E0D9D84">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仿宋_GB2312" w:cs="Times New Roman"/>
                <w:color w:val="000000"/>
                <w:kern w:val="0"/>
                <w:sz w:val="18"/>
                <w:szCs w:val="18"/>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4959" w:type="dxa"/>
            <w:vAlign w:val="center"/>
          </w:tcPr>
          <w:p w14:paraId="0B10FC8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1.【法律】《中华人民共和国安全生产法》第五十九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0F63864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7BCA8F5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—1.</w:t>
            </w:r>
            <w:r>
              <w:rPr>
                <w:rFonts w:hint="default" w:ascii="Times New Roman" w:hAnsi="Times New Roman" w:eastAsia="仿宋_GB2312" w:cs="Times New Roman"/>
                <w:color w:val="000000"/>
                <w:kern w:val="0"/>
                <w:sz w:val="18"/>
                <w:szCs w:val="18"/>
                <w:highlight w:val="none"/>
              </w:rPr>
              <w:t>【法律】《中华人民共和国行政处罚法》第三十七</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D44676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—2.</w:t>
            </w:r>
            <w:r>
              <w:rPr>
                <w:rFonts w:hint="default" w:ascii="Times New Roman" w:hAnsi="Times New Roman" w:eastAsia="仿宋_GB2312" w:cs="Times New Roman"/>
                <w:color w:val="000000"/>
                <w:kern w:val="0"/>
                <w:sz w:val="18"/>
                <w:szCs w:val="18"/>
                <w:highlight w:val="none"/>
              </w:rPr>
              <w:t>【法律】《中华人民共和国行政处罚法》第六十二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03E395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04F3D05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3416A85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E4CCEC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642030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6B983F4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3.【法律】《中华人民共和国安全生产法》第六十五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06BABD9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4.【法律】《中华人民共和国安全生产法》第九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259BCFB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51039BB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575" w:type="dxa"/>
            <w:vAlign w:val="center"/>
          </w:tcPr>
          <w:p w14:paraId="36E7C52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1.在监督检查中发现重大事故隐患，不依法及时处理的；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2.在监督检查中滥用职权、玩忽职守、徇私舞弊行为的；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3.利用职务上的便利，索取或者收受他人财物、以权谋私的；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4.违反规定程序实施监督检查的；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5.其他违反法律法规规章文件规定的行为。</w:t>
            </w:r>
          </w:p>
          <w:p w14:paraId="75803B4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173658D">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2875" w:type="dxa"/>
            <w:vAlign w:val="center"/>
          </w:tcPr>
          <w:p w14:paraId="70B5756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75" w:type="dxa"/>
            <w:vAlign w:val="center"/>
          </w:tcPr>
          <w:p w14:paraId="02FAAC39">
            <w:pPr>
              <w:adjustRightInd w:val="0"/>
              <w:snapToGrid w:val="0"/>
              <w:spacing w:line="300" w:lineRule="exact"/>
              <w:jc w:val="center"/>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88" w:type="dxa"/>
            <w:vAlign w:val="center"/>
          </w:tcPr>
          <w:p w14:paraId="3729EFC5">
            <w:pPr>
              <w:keepNext w:val="0"/>
              <w:keepLines w:val="0"/>
              <w:pageBreakBefore w:val="0"/>
              <w:kinsoku/>
              <w:wordWrap/>
              <w:overflowPunct/>
              <w:topLinePunct w:val="0"/>
              <w:autoSpaceDE/>
              <w:autoSpaceDN/>
              <w:bidi w:val="0"/>
              <w:adjustRightInd w:val="0"/>
              <w:snapToGrid w:val="0"/>
              <w:spacing w:line="240" w:lineRule="exact"/>
              <w:jc w:val="left"/>
              <w:rPr>
                <w:rFonts w:hint="default" w:ascii="Times New Roman" w:hAnsi="Times New Roman" w:eastAsia="仿宋_GB2312" w:cs="Times New Roman"/>
                <w:kern w:val="0"/>
                <w:sz w:val="18"/>
                <w:szCs w:val="18"/>
                <w:highlight w:val="none"/>
              </w:rPr>
            </w:pPr>
          </w:p>
        </w:tc>
      </w:tr>
    </w:tbl>
    <w:p w14:paraId="3F547FD3">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25"/>
        <w:gridCol w:w="1500"/>
        <w:gridCol w:w="5666"/>
        <w:gridCol w:w="1650"/>
        <w:gridCol w:w="3040"/>
        <w:gridCol w:w="814"/>
        <w:gridCol w:w="793"/>
      </w:tblGrid>
      <w:tr w14:paraId="4390A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4EDBB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5EDCA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75" w:type="dxa"/>
            <w:gridSpan w:val="5"/>
            <w:vAlign w:val="center"/>
          </w:tcPr>
          <w:p w14:paraId="4B6DFD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70" w:type="dxa"/>
            <w:gridSpan w:val="5"/>
            <w:vAlign w:val="center"/>
          </w:tcPr>
          <w:p w14:paraId="40025E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3" w:type="dxa"/>
            <w:vMerge w:val="restart"/>
            <w:vAlign w:val="center"/>
          </w:tcPr>
          <w:p w14:paraId="15D6AE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109B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7F7FE2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6A1E06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B40F3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BC50C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426A8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9DCBA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71D31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25" w:type="dxa"/>
            <w:vAlign w:val="center"/>
          </w:tcPr>
          <w:p w14:paraId="221C11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101FB5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A8F8C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666" w:type="dxa"/>
            <w:vAlign w:val="center"/>
          </w:tcPr>
          <w:p w14:paraId="3E118A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0" w:type="dxa"/>
            <w:vAlign w:val="center"/>
          </w:tcPr>
          <w:p w14:paraId="1D25C1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40" w:type="dxa"/>
            <w:vAlign w:val="center"/>
          </w:tcPr>
          <w:p w14:paraId="6395E3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14" w:type="dxa"/>
            <w:vAlign w:val="center"/>
          </w:tcPr>
          <w:p w14:paraId="2DF794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C136E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3" w:type="dxa"/>
            <w:vMerge w:val="continue"/>
            <w:vAlign w:val="center"/>
          </w:tcPr>
          <w:p w14:paraId="57B9A06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69A7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4926649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29</w:t>
            </w:r>
          </w:p>
        </w:tc>
        <w:tc>
          <w:tcPr>
            <w:tcW w:w="476" w:type="dxa"/>
            <w:vAlign w:val="center"/>
          </w:tcPr>
          <w:p w14:paraId="0B28EE0B">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5503CF2B">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对非煤矿山外包工程安全生产的监督检查</w:t>
            </w:r>
          </w:p>
        </w:tc>
        <w:tc>
          <w:tcPr>
            <w:tcW w:w="650" w:type="dxa"/>
            <w:vAlign w:val="center"/>
          </w:tcPr>
          <w:p w14:paraId="4C30214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52A8BA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5A63F3E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4925" w:type="dxa"/>
            <w:vAlign w:val="center"/>
          </w:tcPr>
          <w:p w14:paraId="13541BBB">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48076726">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DDE62BD">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75296C9B">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855849D">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4885A76">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FDD34B2">
            <w:pPr>
              <w:widowControl/>
              <w:adjustRightInd w:val="0"/>
              <w:snapToGrid w:val="0"/>
              <w:spacing w:line="234" w:lineRule="exact"/>
              <w:ind w:firstLine="384" w:firstLineChars="200"/>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50B660D4">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2B940BDD">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1CBE6C51">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667F5EA0">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0F6E065B">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2.【部门规章】《非煤矿山外包工程安全管理暂行办法》（2013年国家安全监管总局令第62号公布，2015年国家安全监管总局令第78号修正）第二十九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安全生产监督管理部门应当加强对外包工程的安全生产监督检查，重点检查下列事项：</w:t>
            </w:r>
          </w:p>
          <w:p w14:paraId="57F8B9AA">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（一）发包单位非煤矿山安全生产许可证、安全生产管理协议、安全投入等情况；</w:t>
            </w:r>
          </w:p>
          <w:p w14:paraId="335C7763">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（二）承包单位的施工资质、应当依法取得的非煤矿山安全生产许可证、安全投入落实、承包单位及其项目部的安全生产管理机构、技术力量配备、相关人员的安全资格和持证等情况；</w:t>
            </w:r>
          </w:p>
          <w:p w14:paraId="69D916B6">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（三）违法发包、转包、分项发包等行为。</w:t>
            </w:r>
          </w:p>
        </w:tc>
        <w:tc>
          <w:tcPr>
            <w:tcW w:w="1500" w:type="dxa"/>
            <w:vAlign w:val="center"/>
          </w:tcPr>
          <w:p w14:paraId="2EEFB99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66A1E809">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5CD82FD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1538878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5DFD735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7EA1515E">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626B15D2">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666" w:type="dxa"/>
            <w:vAlign w:val="center"/>
          </w:tcPr>
          <w:p w14:paraId="7437BF3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31EF8BA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760A19C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7E48E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3A2BC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1CA85A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6F2B45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5670E6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B0DBEC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135CF85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3F5012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37A1D9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79BDE9D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650" w:type="dxa"/>
            <w:vAlign w:val="center"/>
          </w:tcPr>
          <w:p w14:paraId="49941F7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161960D1">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1.在监督检查中发现重大事故隐患，不依法及时处理的；</w:t>
            </w:r>
          </w:p>
          <w:p w14:paraId="0321BB3B">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2.在监督检查中滥用职权、玩忽职守、徇私舞弊行为的；</w:t>
            </w:r>
          </w:p>
          <w:p w14:paraId="3B53DA72">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011047B2">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4.违反规定程序实施监督检查的；</w:t>
            </w:r>
          </w:p>
          <w:p w14:paraId="239380B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AFCEAC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AC98E94">
            <w:pPr>
              <w:widowControl/>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p w14:paraId="5E866460">
            <w:pPr>
              <w:widowControl/>
              <w:adjustRightInd w:val="0"/>
              <w:snapToGrid w:val="0"/>
              <w:spacing w:line="300" w:lineRule="exact"/>
              <w:rPr>
                <w:rFonts w:hint="default" w:ascii="Times New Roman" w:hAnsi="Times New Roman" w:eastAsia="仿宋_GB2312" w:cs="Times New Roman"/>
                <w:kern w:val="0"/>
                <w:sz w:val="20"/>
                <w:szCs w:val="20"/>
                <w:highlight w:val="none"/>
              </w:rPr>
            </w:pPr>
          </w:p>
        </w:tc>
        <w:tc>
          <w:tcPr>
            <w:tcW w:w="3040" w:type="dxa"/>
            <w:vAlign w:val="center"/>
          </w:tcPr>
          <w:p w14:paraId="6ECE661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015D2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4AB7DF6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5DE1ED0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814" w:type="dxa"/>
            <w:vAlign w:val="center"/>
          </w:tcPr>
          <w:p w14:paraId="0A26C98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93" w:type="dxa"/>
            <w:vAlign w:val="center"/>
          </w:tcPr>
          <w:p w14:paraId="35B8D88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03A8A01F"/>
    <w:tbl>
      <w:tblPr>
        <w:tblStyle w:val="4"/>
        <w:tblW w:w="21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727"/>
        <w:gridCol w:w="3203"/>
        <w:gridCol w:w="3667"/>
        <w:gridCol w:w="1410"/>
        <w:gridCol w:w="930"/>
      </w:tblGrid>
      <w:tr w14:paraId="0B548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7FECC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C732F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41AC4A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7" w:type="dxa"/>
            <w:gridSpan w:val="5"/>
            <w:vAlign w:val="center"/>
          </w:tcPr>
          <w:p w14:paraId="3D83D6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30" w:type="dxa"/>
            <w:vMerge w:val="restart"/>
            <w:vAlign w:val="center"/>
          </w:tcPr>
          <w:p w14:paraId="22C962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5AC4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1DBCF1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160DC7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8EC9B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B378D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887A2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48C35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9531A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4B5921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130339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8A1E5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727" w:type="dxa"/>
            <w:vAlign w:val="center"/>
          </w:tcPr>
          <w:p w14:paraId="0032A2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203" w:type="dxa"/>
            <w:vAlign w:val="center"/>
          </w:tcPr>
          <w:p w14:paraId="539889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7" w:type="dxa"/>
            <w:vAlign w:val="center"/>
          </w:tcPr>
          <w:p w14:paraId="5EF3E7E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410" w:type="dxa"/>
            <w:vAlign w:val="center"/>
          </w:tcPr>
          <w:p w14:paraId="226B02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79AEA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30" w:type="dxa"/>
            <w:vMerge w:val="continue"/>
            <w:vAlign w:val="center"/>
          </w:tcPr>
          <w:p w14:paraId="28C7069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C1EE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26" w:hRule="atLeast"/>
          <w:jc w:val="center"/>
        </w:trPr>
        <w:tc>
          <w:tcPr>
            <w:tcW w:w="406" w:type="dxa"/>
            <w:vAlign w:val="center"/>
          </w:tcPr>
          <w:p w14:paraId="7B5D677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0</w:t>
            </w:r>
          </w:p>
        </w:tc>
        <w:tc>
          <w:tcPr>
            <w:tcW w:w="476" w:type="dxa"/>
            <w:vAlign w:val="center"/>
          </w:tcPr>
          <w:p w14:paraId="3047B028">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03FF1000">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经济              普查</w:t>
            </w:r>
          </w:p>
        </w:tc>
        <w:tc>
          <w:tcPr>
            <w:tcW w:w="650" w:type="dxa"/>
            <w:vAlign w:val="center"/>
          </w:tcPr>
          <w:p w14:paraId="2E7C577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40ACCE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4570E5C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经济发展服务中心</w:t>
            </w:r>
          </w:p>
        </w:tc>
        <w:tc>
          <w:tcPr>
            <w:tcW w:w="3259" w:type="dxa"/>
            <w:vAlign w:val="center"/>
          </w:tcPr>
          <w:p w14:paraId="3FAA7EF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经济普查条例》（2004年国务院令第415号发布，2018年国务院令第702号修订）第十六条：地方各级人民政府设立经济普查领导小组及其办公室，按照国务院经济普查领导小组及其办公室的统一规定和要求，具体组织实施当地的经济普查工作。</w:t>
            </w:r>
          </w:p>
          <w:p w14:paraId="22CA420D">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街道办事处和居（村）民委员会应当广泛动员和组织社会力量积极参与并认真做好经济普查工作。</w:t>
            </w:r>
          </w:p>
        </w:tc>
        <w:tc>
          <w:tcPr>
            <w:tcW w:w="1500" w:type="dxa"/>
            <w:vAlign w:val="center"/>
          </w:tcPr>
          <w:p w14:paraId="34C8DA0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1.启动阶段责任：广泛动员和组织社会力量积极参与经济普查工作。</w:t>
            </w:r>
          </w:p>
          <w:p w14:paraId="784193D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184300C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07FAC9D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167071C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347C598">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3727" w:type="dxa"/>
            <w:vAlign w:val="center"/>
          </w:tcPr>
          <w:p w14:paraId="56611A0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1.【行政法规】《全国经济普查条例》（2018年8月11日国务院令第702号公布  根据2018年8月11日《国务院关于修改〈全国经济普查条例〉的决定》修订 自公布之日起施行）第十六条：地方各级人民政府设立经济普查领导小组及其办公室，按照国务院经济普查领导小组及其办公室的统一规定和要求，具体组织实施当地的经济普查工作。街道办事处和居（村）民委员会应当广泛动员和组织社会力量积极参与并认真做好经济普查工作。</w:t>
            </w:r>
          </w:p>
          <w:p w14:paraId="201854A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2.【行政法规】《全国经济普查条例》（2018年8月11日国务院令第702号公布  根据2018年8月11日《国务院关于修改〈全国经济普查条例〉的决定》修订 自公布之日起施行）第二十五条：各级经济普查机构和经济普查人员依法独立行使调查、报告、监督的职权，任何单位和个人不得干涉。各地方、各部门、各单位的领导人对经济普查机构和经济普查人员依法提供的经济普查资料不得自行修改，不得强令或者授意经济普查机构、经济普查人员篡改经济普查资料或者编造虚假数据。</w:t>
            </w:r>
          </w:p>
          <w:p w14:paraId="7A03783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3.【行政法规】《全国经济普查条例》（2018年8月11日国务院令第702号公布  根据2018年8月11日《国务院关于修改〈全国经济普查条例〉的决定》修订）第二十七条：经济普查数据处理结束后，各级经济普查机构应当做好数据备份和数据入库工作，建立健全基本单位名录库及其数据库系统，并强化日常管理和维护更新。</w:t>
            </w:r>
          </w:p>
        </w:tc>
        <w:tc>
          <w:tcPr>
            <w:tcW w:w="3203" w:type="dxa"/>
            <w:vAlign w:val="center"/>
          </w:tcPr>
          <w:p w14:paraId="796A697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7024C83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5F89A84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1BB4D50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055CD01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2485F1F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6740CB9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5B6DCAE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820D65D">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3667" w:type="dxa"/>
            <w:vAlign w:val="center"/>
          </w:tcPr>
          <w:p w14:paraId="3E781A8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279C685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经济普查条例》第三十五条：地方、部门、单位的领导人自行修改经济普查资料、编造虚假数据或者强令、授意经济普查机构、经济普查人员篡改经济普查资料或者编造虚假数据的，依法给予处分,并由县级以上人民政府统计机构予以通报。</w:t>
            </w:r>
          </w:p>
          <w:p w14:paraId="37384A1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经济普查人员参与篡改经济普查资料、编造虚假数据的，由县级以上人民政府统计机构责令改正，依法给予处分</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建议有关部门、单位依法给予处分。</w:t>
            </w:r>
          </w:p>
          <w:p w14:paraId="4868865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323F7FCC">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410" w:type="dxa"/>
            <w:vAlign w:val="center"/>
          </w:tcPr>
          <w:p w14:paraId="3F4A0BA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30" w:type="dxa"/>
            <w:vAlign w:val="center"/>
          </w:tcPr>
          <w:p w14:paraId="28A6BAB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865B363"/>
    <w:tbl>
      <w:tblPr>
        <w:tblStyle w:val="4"/>
        <w:tblW w:w="22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505"/>
        <w:gridCol w:w="3100"/>
        <w:gridCol w:w="4833"/>
        <w:gridCol w:w="1178"/>
        <w:gridCol w:w="724"/>
      </w:tblGrid>
      <w:tr w14:paraId="2BF3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77087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D8119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7D943C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16" w:type="dxa"/>
            <w:gridSpan w:val="5"/>
            <w:vAlign w:val="center"/>
          </w:tcPr>
          <w:p w14:paraId="5702D3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4" w:type="dxa"/>
            <w:vMerge w:val="restart"/>
            <w:vAlign w:val="center"/>
          </w:tcPr>
          <w:p w14:paraId="6CB7FB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CC21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2ABE16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219AC2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21C28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1C83C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BB900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E45FA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8F8BB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0298C2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0FC112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62C1A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505" w:type="dxa"/>
            <w:vAlign w:val="center"/>
          </w:tcPr>
          <w:p w14:paraId="2E81F6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0" w:type="dxa"/>
            <w:vAlign w:val="center"/>
          </w:tcPr>
          <w:p w14:paraId="0686EC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833" w:type="dxa"/>
            <w:vAlign w:val="center"/>
          </w:tcPr>
          <w:p w14:paraId="7C79FB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67EB0E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D3946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4" w:type="dxa"/>
            <w:vMerge w:val="continue"/>
            <w:vAlign w:val="center"/>
          </w:tcPr>
          <w:p w14:paraId="0D7DEC5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E538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56" w:hRule="atLeast"/>
          <w:jc w:val="center"/>
        </w:trPr>
        <w:tc>
          <w:tcPr>
            <w:tcW w:w="406" w:type="dxa"/>
            <w:vAlign w:val="center"/>
          </w:tcPr>
          <w:p w14:paraId="2E3BB9B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1</w:t>
            </w:r>
          </w:p>
        </w:tc>
        <w:tc>
          <w:tcPr>
            <w:tcW w:w="476" w:type="dxa"/>
            <w:vAlign w:val="center"/>
          </w:tcPr>
          <w:p w14:paraId="5EFD55A3">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7B8E8250">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农业                普查</w:t>
            </w:r>
          </w:p>
        </w:tc>
        <w:tc>
          <w:tcPr>
            <w:tcW w:w="650" w:type="dxa"/>
            <w:vAlign w:val="center"/>
          </w:tcPr>
          <w:p w14:paraId="40C89A8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1AA20FF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7C4C81F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农业农村综合服务中心</w:t>
            </w:r>
          </w:p>
        </w:tc>
        <w:tc>
          <w:tcPr>
            <w:tcW w:w="3259" w:type="dxa"/>
            <w:vAlign w:val="center"/>
          </w:tcPr>
          <w:p w14:paraId="1955BD5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农业普查条例》（2006年国务院令第473号）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4D1C6B2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村民委员会应当在乡镇人民政府的指导下做好本区域内的农业普查工作。</w:t>
            </w:r>
          </w:p>
        </w:tc>
        <w:tc>
          <w:tcPr>
            <w:tcW w:w="1500" w:type="dxa"/>
            <w:vAlign w:val="center"/>
          </w:tcPr>
          <w:p w14:paraId="6FCF4D4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1.启动阶段责任：广泛动员和组织社会力量积极参与农业普查工作。</w:t>
            </w:r>
          </w:p>
          <w:p w14:paraId="62D20E7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0FFEC97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4E109B6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2F10AB5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6828649">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3505" w:type="dxa"/>
            <w:vAlign w:val="center"/>
          </w:tcPr>
          <w:p w14:paraId="44F9CA9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1.【行政法规】《全国农业普查条例》（2006年8月23日中华人民共和国国务院令 第473号发布）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13FB53E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村民委员会应当在乡镇人民政府的指导下做好本区域内的农业普查工作。</w:t>
            </w:r>
          </w:p>
          <w:p w14:paraId="1835940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2.【行政法规】《全国农业普查条例》（2006年8月23日中华人民共和国国务院令 第473号发布）第五条：各级农业普查领导小组办公室（以下简称普查办公室）和普查办公室工作人员、普查指导员、普查员（以下统称普查人员）依法独立行使调查、报告、监督的职权，任何单位和个人不得干涉。各地方、各部门、各单位的领导人对普查办公室和普查人员依法提供的农业普查资料不得自行修改，不得强令、授意普查办公室、普查人员和普查对象篡改农业普查资料或者编造虚假数据，不得对拒绝、抵制篡改农业普查资料或者拒绝、抵制编造虚假数据的人员打击报复。</w:t>
            </w:r>
          </w:p>
          <w:p w14:paraId="0F3D4F5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3.【行政法规】《全国农业普查条例》（2006年8月23日中华人民共和国国务院令 第473号发布）第二十六条：农业普查数据处理方案和实施办法，由国务院农业普查领导小组办公室制订。 地方普查办公室应当按照数据处理方案和实施办法的规定进行数据处理，并按时上报普查数据。</w:t>
            </w:r>
          </w:p>
        </w:tc>
        <w:tc>
          <w:tcPr>
            <w:tcW w:w="3100" w:type="dxa"/>
            <w:vAlign w:val="center"/>
          </w:tcPr>
          <w:p w14:paraId="5E83441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1391625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379BE9F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29D16FC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34BF444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3126328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4124548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1D28DB8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5461E71">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镇纪律检查委员会</w:t>
            </w:r>
            <w:r>
              <w:rPr>
                <w:rFonts w:hint="default" w:ascii="Times New Roman" w:hAnsi="Times New Roman" w:eastAsia="仿宋_GB2312" w:cs="Times New Roman"/>
                <w:kern w:val="0"/>
                <w:sz w:val="20"/>
                <w:szCs w:val="20"/>
                <w:highlight w:val="none"/>
                <w:lang w:eastAsia="zh-CN"/>
              </w:rPr>
              <w:t>）</w:t>
            </w:r>
          </w:p>
        </w:tc>
        <w:tc>
          <w:tcPr>
            <w:tcW w:w="4833" w:type="dxa"/>
            <w:vAlign w:val="center"/>
          </w:tcPr>
          <w:p w14:paraId="364AB89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1A4C7BD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农业普查条例》（2006年8月23日中华人民共和国国务院令第473号发布）第三十七条：地方、部门、单位的领导人自行修改农业普查资料，强令、授意普查办公室、普查人员和普查对象篡改农业普查资料或者编造虚假数据，对拒绝、抵制篡改农业普查资料或者拒绝、抵制编造虚假数据的人员打击报复的，依法给予行政处分或者纪律处分，并由县级以上人民政府统计机构或者国家统计局派出的调查队给予通报批评；构成犯罪的，依法追究刑事责任。</w:t>
            </w:r>
          </w:p>
          <w:p w14:paraId="730F1EF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八条：普查人员不执行普查方案，伪造、篡改普查资料，强令、授意普查对象提供虚假普查资料的，由县级以上人民政府统计机构或者国家统计局派出的调查队责令改正，依法给予行政处分或者纪律处分，并可以给予通报批评。</w:t>
            </w:r>
          </w:p>
          <w:p w14:paraId="7F945DA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63A93ED5">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0CE0654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24" w:type="dxa"/>
            <w:vAlign w:val="center"/>
          </w:tcPr>
          <w:p w14:paraId="53ECC3E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27CBD45"/>
    <w:tbl>
      <w:tblPr>
        <w:tblStyle w:val="4"/>
        <w:tblW w:w="22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39"/>
        <w:gridCol w:w="2000"/>
        <w:gridCol w:w="2900"/>
        <w:gridCol w:w="3625"/>
        <w:gridCol w:w="5733"/>
        <w:gridCol w:w="1178"/>
        <w:gridCol w:w="864"/>
      </w:tblGrid>
      <w:tr w14:paraId="3B39B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B0DF2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54F03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89" w:type="dxa"/>
            <w:gridSpan w:val="5"/>
            <w:vAlign w:val="center"/>
          </w:tcPr>
          <w:p w14:paraId="5AE8B8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36" w:type="dxa"/>
            <w:gridSpan w:val="5"/>
            <w:vAlign w:val="center"/>
          </w:tcPr>
          <w:p w14:paraId="1795DE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4" w:type="dxa"/>
            <w:vMerge w:val="restart"/>
            <w:vAlign w:val="center"/>
          </w:tcPr>
          <w:p w14:paraId="454F07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FBF8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3011A1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B35486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A1F54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7635C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A20FB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C7384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11911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39" w:type="dxa"/>
            <w:vAlign w:val="center"/>
          </w:tcPr>
          <w:p w14:paraId="34478E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00" w:type="dxa"/>
            <w:vAlign w:val="center"/>
          </w:tcPr>
          <w:p w14:paraId="4EF74A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EB74E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900" w:type="dxa"/>
            <w:vAlign w:val="center"/>
          </w:tcPr>
          <w:p w14:paraId="3C9AE2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625" w:type="dxa"/>
            <w:vAlign w:val="center"/>
          </w:tcPr>
          <w:p w14:paraId="669074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733" w:type="dxa"/>
            <w:vAlign w:val="center"/>
          </w:tcPr>
          <w:p w14:paraId="5C3C5D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6E21FB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89574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4" w:type="dxa"/>
            <w:vMerge w:val="continue"/>
            <w:vAlign w:val="center"/>
          </w:tcPr>
          <w:p w14:paraId="78290EA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933C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670AF50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32</w:t>
            </w:r>
          </w:p>
        </w:tc>
        <w:tc>
          <w:tcPr>
            <w:tcW w:w="476" w:type="dxa"/>
            <w:vAlign w:val="center"/>
          </w:tcPr>
          <w:p w14:paraId="5D0B35C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0DA7060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人口普查</w:t>
            </w:r>
          </w:p>
        </w:tc>
        <w:tc>
          <w:tcPr>
            <w:tcW w:w="650" w:type="dxa"/>
            <w:vAlign w:val="center"/>
          </w:tcPr>
          <w:p w14:paraId="38CF0F6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33C6361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05C8B22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经济发展服务中心</w:t>
            </w:r>
          </w:p>
        </w:tc>
        <w:tc>
          <w:tcPr>
            <w:tcW w:w="1939" w:type="dxa"/>
            <w:vAlign w:val="center"/>
          </w:tcPr>
          <w:p w14:paraId="5724E59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【行政法规】《全国人口普查条例》（2010年国务院令第576号）第三条：人口普查工作按照全国统一领导、部门分工协作、地方分级负责、各方共同参与的原则组织实施。</w:t>
            </w:r>
          </w:p>
          <w:p w14:paraId="63D79CC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国务院统一领导全国人口普查工作，研究决定人口普查中的重大问题。地方各级人民政府按照国务院的统一规定和要求，领导本行政区域的人口普查工作。</w:t>
            </w:r>
          </w:p>
          <w:p w14:paraId="01289C2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在人口普查工作期间，各级人民政府设立由统计机构和有关部门组成的人口普查机构（以下简称普查机构），负责人口普查的组织实施工作。</w:t>
            </w:r>
          </w:p>
          <w:p w14:paraId="278A617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村民委员会、居民委员会应当协助所在地人民政府动员和组织社会力量，做好本区域的人口普查工作。</w:t>
            </w:r>
          </w:p>
        </w:tc>
        <w:tc>
          <w:tcPr>
            <w:tcW w:w="2000" w:type="dxa"/>
            <w:vAlign w:val="center"/>
          </w:tcPr>
          <w:p w14:paraId="24A1AAC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1.启动阶段责任：广泛动员和组织社会力量积极参与人口普查工作。</w:t>
            </w:r>
          </w:p>
          <w:p w14:paraId="46BF138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6C7209B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23462FD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426546D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01EBB99">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2900" w:type="dxa"/>
            <w:vAlign w:val="center"/>
          </w:tcPr>
          <w:p w14:paraId="78135C2C">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1.【行政法规】《全国人口普查条例》（2010年5月12日中华人民共和国国务院令 第576号发布）第三条：人口普查工作按照全国统一领导、部门分工协作、地方分级负责、各方共同参与的原则组织实施。国务院统一领导全国人口普查工作，研究决定人口普查中的重大问题。地方各级人民政府按照国务院的统一规定和要求，领导本行政区域的人口普查工作。</w:t>
            </w:r>
          </w:p>
          <w:p w14:paraId="18E1D90D">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村民委员会、居民委员会应当协助所在地人民政府动员和组织社会力量，做好本区域的人口普查工作。</w:t>
            </w:r>
          </w:p>
          <w:p w14:paraId="5832F5E9">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2.【行政法规】《全国人口普查条例》（2010年5月12日中华人民共和国国务院令 第576号发布）第五条：普查机构和普查机构工作人员、普查指导员、普查员（以下统称普查人员）依法独立行使调查、报告、监督的职权，任何单位和个人不得干涉。地方各级人民政府、各部门、各单位及其负责人，不得自行修改普查机构和普查人员依法搜集、整理的人口普查资料，不得以任何方式要求普查机构和普查人员及其他单位和个人伪造、篡改人口普查资料，不得对依法履行职责或者拒绝、抵制人口普查违法行为的普查人员打击报复。</w:t>
            </w:r>
          </w:p>
          <w:p w14:paraId="094AA31B">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3.【行政法规】《全国人口普查条例》（2010年5月12日中华人民共和国国务院令 第576号发布）第二十九条：地方各级普查机构应当按照普查方案的规定进行数据处理，并按时上报人口普查资料。</w:t>
            </w:r>
          </w:p>
        </w:tc>
        <w:tc>
          <w:tcPr>
            <w:tcW w:w="3625" w:type="dxa"/>
            <w:vAlign w:val="center"/>
          </w:tcPr>
          <w:p w14:paraId="78241A8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2F78932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60689A6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5947405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6F80519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131F591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6BCC9A7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49F6772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2CAFFB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镇纪律检查委员会</w:t>
            </w:r>
            <w:r>
              <w:rPr>
                <w:rFonts w:hint="default" w:ascii="Times New Roman" w:hAnsi="Times New Roman" w:eastAsia="仿宋_GB2312" w:cs="Times New Roman"/>
                <w:kern w:val="0"/>
                <w:sz w:val="20"/>
                <w:szCs w:val="20"/>
                <w:highlight w:val="none"/>
                <w:lang w:eastAsia="zh-CN"/>
              </w:rPr>
              <w:t>）</w:t>
            </w:r>
          </w:p>
        </w:tc>
        <w:tc>
          <w:tcPr>
            <w:tcW w:w="5733" w:type="dxa"/>
            <w:vAlign w:val="center"/>
          </w:tcPr>
          <w:p w14:paraId="6F54031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10482C6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人口普查条例》（2010年5月12日中华人民共和国国务院令第576号发布）第三十四条：地方人民政府、政府统计机构或者有关部门、单位的负责人有下列行为之一的，由任免机关或者监察机关依法给予处分，并由县级以上人民政府统计机构予以通报；构成犯罪的，依法追究刑事责任：（一）自行修改人口普查资料、编造虚假人口普查数据的；（二）要求有关单位和个人伪造、篡改人口普查资料的；（三）不按照国家有关规定保存、销毁人口普查资料的；（四）违法公布人口普查资料的；（五）对依法履行职责或者拒绝、抵制人口普查违法行为的普查人员打击报复的；（六）对本地方、本部门、本单位发生的严重人口普查违法行为失察的。</w:t>
            </w:r>
          </w:p>
          <w:p w14:paraId="26EF4C3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五条：普查机构在组织实施人口普查活动中有下列违法行为之一的，由本级人民政府或者上级人民政府统计机构责令改正，予以通报；对直接负责的主管人员和其他直接责任人员，由任免机关或者监察机关依法给予处分：（一）不执行普查方案的；（二）伪造、篡改人口普查资料的；（三）要求人口普查对象提供不真实的人口普查资料的；（四）未按照普查方案的规定报送人口普查资料的；（五）违反国家有关规定，造成人口普查资料毁损、灭失的；（六）泄露或者向他人提供能够识别或者推断单个普查对象身份的资料的。</w:t>
            </w:r>
          </w:p>
          <w:p w14:paraId="18DAFFB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1298B1A3">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42866D1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64" w:type="dxa"/>
            <w:vAlign w:val="center"/>
          </w:tcPr>
          <w:p w14:paraId="1673F1A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51A5999"/>
    <w:p w14:paraId="7104121F"/>
    <w:p w14:paraId="312C78FB"/>
    <w:p w14:paraId="06CEAD6A"/>
    <w:tbl>
      <w:tblPr>
        <w:tblStyle w:val="4"/>
        <w:tblW w:w="21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00"/>
        <w:gridCol w:w="2987"/>
        <w:gridCol w:w="2329"/>
        <w:gridCol w:w="3377"/>
        <w:gridCol w:w="3438"/>
        <w:gridCol w:w="1638"/>
        <w:gridCol w:w="1043"/>
      </w:tblGrid>
      <w:tr w14:paraId="608F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4F8C6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ACB73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50" w:type="dxa"/>
            <w:gridSpan w:val="5"/>
            <w:vAlign w:val="center"/>
          </w:tcPr>
          <w:p w14:paraId="007D04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69" w:type="dxa"/>
            <w:gridSpan w:val="5"/>
            <w:vAlign w:val="center"/>
          </w:tcPr>
          <w:p w14:paraId="20A533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043" w:type="dxa"/>
            <w:vMerge w:val="restart"/>
            <w:vAlign w:val="center"/>
          </w:tcPr>
          <w:p w14:paraId="3D05E3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28F2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8E091D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41878C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52266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EF046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5465C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C89C8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DB0B4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00" w:type="dxa"/>
            <w:vAlign w:val="center"/>
          </w:tcPr>
          <w:p w14:paraId="198521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987" w:type="dxa"/>
            <w:vAlign w:val="center"/>
          </w:tcPr>
          <w:p w14:paraId="6215F6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2A969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329" w:type="dxa"/>
            <w:vAlign w:val="center"/>
          </w:tcPr>
          <w:p w14:paraId="572EC0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377" w:type="dxa"/>
            <w:vAlign w:val="center"/>
          </w:tcPr>
          <w:p w14:paraId="19FA40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438" w:type="dxa"/>
            <w:vAlign w:val="center"/>
          </w:tcPr>
          <w:p w14:paraId="127DB8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638" w:type="dxa"/>
            <w:vAlign w:val="center"/>
          </w:tcPr>
          <w:p w14:paraId="78879B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82979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043" w:type="dxa"/>
            <w:vMerge w:val="continue"/>
            <w:vAlign w:val="center"/>
          </w:tcPr>
          <w:p w14:paraId="728A49F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078B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37" w:hRule="atLeast"/>
          <w:jc w:val="center"/>
        </w:trPr>
        <w:tc>
          <w:tcPr>
            <w:tcW w:w="406" w:type="dxa"/>
            <w:vAlign w:val="center"/>
          </w:tcPr>
          <w:p w14:paraId="0ACFF71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3</w:t>
            </w:r>
          </w:p>
        </w:tc>
        <w:tc>
          <w:tcPr>
            <w:tcW w:w="476" w:type="dxa"/>
            <w:vAlign w:val="center"/>
          </w:tcPr>
          <w:p w14:paraId="2C36B42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6788EC81">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统计资料的补正</w:t>
            </w:r>
          </w:p>
        </w:tc>
        <w:tc>
          <w:tcPr>
            <w:tcW w:w="650" w:type="dxa"/>
            <w:vAlign w:val="center"/>
          </w:tcPr>
          <w:p w14:paraId="03805F4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0B412DF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42534BF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经济发展服务中心</w:t>
            </w:r>
          </w:p>
        </w:tc>
        <w:tc>
          <w:tcPr>
            <w:tcW w:w="2800" w:type="dxa"/>
            <w:vAlign w:val="center"/>
          </w:tcPr>
          <w:p w14:paraId="6F80D15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中华人民共和国统计法实施条例》（2017年国务院令第681号）第十九条：县级以上人民政府统计机构、有关部门和乡、镇统计人员，应当对统计调查对象提供的统计资料进行审核。统计资料不完整或者存在明显错误的，应当由统计调查对象依法予以补充或者改正。</w:t>
            </w:r>
          </w:p>
        </w:tc>
        <w:tc>
          <w:tcPr>
            <w:tcW w:w="2987" w:type="dxa"/>
            <w:vAlign w:val="center"/>
          </w:tcPr>
          <w:p w14:paraId="13BBBAD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1.对统计调查对象提供的统计资料进行审核；</w:t>
            </w:r>
          </w:p>
          <w:p w14:paraId="762CDB2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2.统计资料不完整或者存在明显错误的，督促指导统计调查对象依法予以补充或者改正。</w:t>
            </w:r>
          </w:p>
          <w:p w14:paraId="586BF9E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BE09E2A">
            <w:pPr>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2329" w:type="dxa"/>
            <w:vAlign w:val="center"/>
          </w:tcPr>
          <w:p w14:paraId="5C3B839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【行政法规】《中华人民共和国统计法实施条例》（2017年4月12日中华人民共和国国务院令 第681号发布）第十九条：县级以上人民政府统计机构、有关部门和乡、镇统计人员，应当对统计调查对象提供的统计资料进行审核。统计资料不完整或者存在明显错误的，应当由统计调查对象依法予以补充或者改正。</w:t>
            </w:r>
          </w:p>
        </w:tc>
        <w:tc>
          <w:tcPr>
            <w:tcW w:w="3377" w:type="dxa"/>
            <w:vAlign w:val="center"/>
          </w:tcPr>
          <w:p w14:paraId="5CB4620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6DC80E3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1.未对统计调查对象提供的统计资料进行审核；</w:t>
            </w:r>
          </w:p>
          <w:p w14:paraId="556442D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2.不督促指导统计调查对象依法予以补充或者改正。</w:t>
            </w:r>
          </w:p>
          <w:p w14:paraId="5F8EA22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BFFED0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镇纪律检查委员会</w:t>
            </w:r>
            <w:r>
              <w:rPr>
                <w:rFonts w:hint="default" w:ascii="Times New Roman" w:hAnsi="Times New Roman" w:eastAsia="仿宋_GB2312" w:cs="Times New Roman"/>
                <w:kern w:val="0"/>
                <w:sz w:val="20"/>
                <w:szCs w:val="20"/>
                <w:highlight w:val="none"/>
                <w:lang w:eastAsia="zh-CN"/>
              </w:rPr>
              <w:t>）</w:t>
            </w:r>
          </w:p>
        </w:tc>
        <w:tc>
          <w:tcPr>
            <w:tcW w:w="3438" w:type="dxa"/>
            <w:vAlign w:val="center"/>
          </w:tcPr>
          <w:p w14:paraId="6DBDDCC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tc>
        <w:tc>
          <w:tcPr>
            <w:tcW w:w="1638" w:type="dxa"/>
            <w:vAlign w:val="center"/>
          </w:tcPr>
          <w:p w14:paraId="59DA771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043" w:type="dxa"/>
            <w:vAlign w:val="center"/>
          </w:tcPr>
          <w:p w14:paraId="7BC90BB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DF3495A"/>
    <w:tbl>
      <w:tblPr>
        <w:tblStyle w:val="4"/>
        <w:tblW w:w="21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788"/>
        <w:gridCol w:w="2225"/>
        <w:gridCol w:w="4425"/>
        <w:gridCol w:w="2450"/>
        <w:gridCol w:w="3180"/>
        <w:gridCol w:w="922"/>
        <w:gridCol w:w="762"/>
      </w:tblGrid>
      <w:tr w14:paraId="543C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89053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A6754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838" w:type="dxa"/>
            <w:gridSpan w:val="5"/>
            <w:vAlign w:val="center"/>
          </w:tcPr>
          <w:p w14:paraId="00A0F9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202" w:type="dxa"/>
            <w:gridSpan w:val="5"/>
            <w:vAlign w:val="center"/>
          </w:tcPr>
          <w:p w14:paraId="14E704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469D6F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BF50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5119D7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C346E8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BAF6A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1E847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74ABA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673AB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6E29E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788" w:type="dxa"/>
            <w:vAlign w:val="center"/>
          </w:tcPr>
          <w:p w14:paraId="27CB9D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225" w:type="dxa"/>
            <w:vAlign w:val="center"/>
          </w:tcPr>
          <w:p w14:paraId="73740F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D3C1D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25" w:type="dxa"/>
            <w:vAlign w:val="center"/>
          </w:tcPr>
          <w:p w14:paraId="787DFC8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450" w:type="dxa"/>
            <w:vAlign w:val="center"/>
          </w:tcPr>
          <w:p w14:paraId="5907E5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094D26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180" w:type="dxa"/>
            <w:vAlign w:val="center"/>
          </w:tcPr>
          <w:p w14:paraId="07C264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2" w:type="dxa"/>
            <w:vAlign w:val="center"/>
          </w:tcPr>
          <w:p w14:paraId="124600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BEE3A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5919E21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FAF6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23" w:hRule="atLeast"/>
          <w:jc w:val="center"/>
        </w:trPr>
        <w:tc>
          <w:tcPr>
            <w:tcW w:w="406" w:type="dxa"/>
            <w:vAlign w:val="center"/>
          </w:tcPr>
          <w:p w14:paraId="0FC727F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4</w:t>
            </w:r>
          </w:p>
        </w:tc>
        <w:tc>
          <w:tcPr>
            <w:tcW w:w="476" w:type="dxa"/>
            <w:vAlign w:val="center"/>
          </w:tcPr>
          <w:p w14:paraId="7D3892D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行政许可</w:t>
            </w:r>
          </w:p>
        </w:tc>
        <w:tc>
          <w:tcPr>
            <w:tcW w:w="550" w:type="dxa"/>
            <w:vAlign w:val="center"/>
          </w:tcPr>
          <w:p w14:paraId="0D89EAC9">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林木采伐许可证核发</w:t>
            </w:r>
          </w:p>
        </w:tc>
        <w:tc>
          <w:tcPr>
            <w:tcW w:w="650" w:type="dxa"/>
            <w:vAlign w:val="center"/>
          </w:tcPr>
          <w:p w14:paraId="3255EBF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091DF74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3EE7586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农业农村综合服务中心</w:t>
            </w:r>
          </w:p>
        </w:tc>
        <w:tc>
          <w:tcPr>
            <w:tcW w:w="3788" w:type="dxa"/>
            <w:vAlign w:val="center"/>
          </w:tcPr>
          <w:p w14:paraId="16CE189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第五十六条：采伐林地上的林木应当申请采伐许可证，并按照采伐许可证的规定进行采伐；采伐自然保护区以外的竹林，不需要申请采伐许可证，但应当符合林木采伐技术规程。</w:t>
            </w:r>
          </w:p>
          <w:p w14:paraId="7C70FDE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农村居民采伐自留地和房前屋后个人所有的零星林木，不需要申请采伐许可证。</w:t>
            </w:r>
          </w:p>
          <w:p w14:paraId="4ACCB4C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非林地上的农田防护林、防风固沙林、护路林、护岸护堤林和城镇林木等的更新采伐，由有关主管部门按照有关规定管理。  采挖移植林木按照采伐林木管理。具体办法由国务院林业主管部门制定。</w:t>
            </w:r>
          </w:p>
          <w:p w14:paraId="6328727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禁止伪造、变造、买卖、租借采伐许可证。</w:t>
            </w:r>
          </w:p>
          <w:p w14:paraId="366D547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第五十七条：采伐许可证由县级以上人民政府林业主管部门核发。</w:t>
            </w:r>
          </w:p>
          <w:p w14:paraId="1544EB4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县级以上人民政府林业主管部门应当采取措施，方便申请人办理采伐许可证。</w:t>
            </w:r>
          </w:p>
          <w:p w14:paraId="28D9D8F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农村居民采伐自留山和个人承包集体林地上的林木，由县级人民政府林业主管部门或者其委托的乡镇人民政府核发采伐许可证。</w:t>
            </w:r>
          </w:p>
          <w:p w14:paraId="44A557F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中华人民共和国森林法实施条例》（2000年国务院令第278号发布，2018年国务院令第698号修订）第三十二条：除森林法已有明确规定的外，林木采伐许可证按照下列规定权限核发：（一）县属国有林场，由所在地的县级人民政府林业主管部门核发；（二）省、自治区、直辖市和设区的市、自治州所属的国有林业企业事业单位、其他国有企业事业单位，由所在地的省、自治区、直辖市人民政府林业主管部门核发；（三）重点林区的国有林业企业事业单位，由国务院林业主管部门核发。</w:t>
            </w:r>
          </w:p>
          <w:p w14:paraId="5695893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3.【规范性文件】《自治区党委编办关于印发〈广西赋予乡镇（街道）部分县级管理权限清单（第一批）〉的通知》（桂编办发〔2019〕195号）“林木采伐许可证核发（农村居民采伐自留山和个人承包集体的林木）”赋予乡镇人民政府（街道办事处）实施。</w:t>
            </w:r>
          </w:p>
        </w:tc>
        <w:tc>
          <w:tcPr>
            <w:tcW w:w="2225" w:type="dxa"/>
            <w:vAlign w:val="center"/>
          </w:tcPr>
          <w:p w14:paraId="0754D28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1.受理责任：公示依法应当提交的材料；一次性告知补正材料；依法受理或不予受理（不予受理应当告知理由）。</w:t>
            </w:r>
          </w:p>
          <w:p w14:paraId="2A1BDB0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2.审查责任：按照政策规定对书面材料进行审查，提出是否同意审批的初步意见，告知申请人、利害相关人享有听证权利；涉及公共利益的重大许可，向社会公告，并举行听证。</w:t>
            </w:r>
          </w:p>
          <w:p w14:paraId="558862C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3.决定责任：作出行政许可或者不予行政许可决定，法定告知（不予许可的应当书面告知理由）。</w:t>
            </w:r>
          </w:p>
          <w:p w14:paraId="63E98E0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4.送达责任：准予许可的制发送达审批决定；信息公开。</w:t>
            </w:r>
          </w:p>
          <w:p w14:paraId="655E5E3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5.事后监管责任：建立实施监督检查的运行机制和管理制度，开展定期和不定期检查，依法采取相关处置措施。</w:t>
            </w:r>
          </w:p>
          <w:p w14:paraId="45FCEF1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52A0907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A7468CE">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4425" w:type="dxa"/>
            <w:vAlign w:val="center"/>
          </w:tcPr>
          <w:p w14:paraId="6ED0CB5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 行政机关受理或者不予受理行政许可申请，应当出具加盖本行政机关专用印章和注明日期的书面凭证。</w:t>
            </w:r>
          </w:p>
          <w:p w14:paraId="346CEFC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05BFAD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71AB90E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59F5CDE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450" w:type="dxa"/>
            <w:vAlign w:val="center"/>
          </w:tcPr>
          <w:p w14:paraId="4A848A4A">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因不履行或不正确履行行政职责，有下列情形的行政机关及相关工作人员应承担相应的责任：</w:t>
            </w:r>
          </w:p>
          <w:p w14:paraId="109DB04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1.对符合法定条件的不予受理的；</w:t>
            </w:r>
          </w:p>
          <w:p w14:paraId="2FB347F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2.对不符合法定条件予以许可的；</w:t>
            </w:r>
          </w:p>
          <w:p w14:paraId="780877DA">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3.未严格审查申请材料造成纠纷或财产损失的；</w:t>
            </w:r>
          </w:p>
          <w:p w14:paraId="6B52FB6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4.擅自增设、变更审查程序或备案条件的；</w:t>
            </w:r>
          </w:p>
          <w:p w14:paraId="1FEF991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5.在项目审核中滥用职权、玩忽职守、徇私舞弊，造成林业资源遭受较大损失的；</w:t>
            </w:r>
          </w:p>
          <w:p w14:paraId="31831BC9">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6.其他违反法律法规规定的行为。</w:t>
            </w:r>
          </w:p>
          <w:p w14:paraId="3302AC20">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6B66FFF6">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镇纪律检查委员会</w:t>
            </w:r>
            <w:r>
              <w:rPr>
                <w:rFonts w:hint="default" w:ascii="Times New Roman" w:hAnsi="Times New Roman" w:eastAsia="仿宋_GB2312" w:cs="Times New Roman"/>
                <w:kern w:val="0"/>
                <w:sz w:val="20"/>
                <w:szCs w:val="20"/>
                <w:highlight w:val="none"/>
                <w:lang w:eastAsia="zh-CN"/>
              </w:rPr>
              <w:t>）</w:t>
            </w:r>
          </w:p>
        </w:tc>
        <w:tc>
          <w:tcPr>
            <w:tcW w:w="3180" w:type="dxa"/>
            <w:vAlign w:val="center"/>
          </w:tcPr>
          <w:p w14:paraId="22590EE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2003年主席令第七号公布，2019年4月23日修改）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2BDF4B4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16569DAC">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3.同2。</w:t>
            </w:r>
          </w:p>
          <w:p w14:paraId="71993149">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6E8C6160">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森林法》（1984年9月20日主席令第十七号公布，1985年1月1日起施行，2009年8月27日第二次修正）第四十六条：从事森林资源保护、林业监督管理工作的林业主管部门的工作人员和其他国家机关的有关工作人员滥用职权、玩忽职守、徇私舞弊，构成犯罪的，依法追究刑事责任；尚不构成犯罪的，依法给予行政处分。</w:t>
            </w:r>
          </w:p>
        </w:tc>
        <w:tc>
          <w:tcPr>
            <w:tcW w:w="922" w:type="dxa"/>
            <w:vAlign w:val="center"/>
          </w:tcPr>
          <w:p w14:paraId="7ADBB35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2" w:type="dxa"/>
            <w:vAlign w:val="center"/>
          </w:tcPr>
          <w:p w14:paraId="7DAA0FE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24FC4E6">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261"/>
        <w:gridCol w:w="2625"/>
        <w:gridCol w:w="7575"/>
        <w:gridCol w:w="3025"/>
        <w:gridCol w:w="1200"/>
        <w:gridCol w:w="831"/>
        <w:gridCol w:w="918"/>
      </w:tblGrid>
      <w:tr w14:paraId="08069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166B9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B3AF8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311" w:type="dxa"/>
            <w:gridSpan w:val="5"/>
            <w:vAlign w:val="center"/>
          </w:tcPr>
          <w:p w14:paraId="4829E9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256" w:type="dxa"/>
            <w:gridSpan w:val="5"/>
            <w:vAlign w:val="center"/>
          </w:tcPr>
          <w:p w14:paraId="08EBDB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8" w:type="dxa"/>
            <w:vMerge w:val="restart"/>
            <w:vAlign w:val="center"/>
          </w:tcPr>
          <w:p w14:paraId="2DAD48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2C62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E84CD7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5B8399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A5883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E7636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79EFF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6D62B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25157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261" w:type="dxa"/>
            <w:vAlign w:val="center"/>
          </w:tcPr>
          <w:p w14:paraId="1CAF39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625" w:type="dxa"/>
            <w:vAlign w:val="center"/>
          </w:tcPr>
          <w:p w14:paraId="08A8B0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E7625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575" w:type="dxa"/>
            <w:vAlign w:val="center"/>
          </w:tcPr>
          <w:p w14:paraId="2399B9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25" w:type="dxa"/>
            <w:vAlign w:val="center"/>
          </w:tcPr>
          <w:p w14:paraId="0F87B0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200" w:type="dxa"/>
            <w:vAlign w:val="center"/>
          </w:tcPr>
          <w:p w14:paraId="2091EC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31" w:type="dxa"/>
            <w:vAlign w:val="center"/>
          </w:tcPr>
          <w:p w14:paraId="7C6569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F375C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8" w:type="dxa"/>
            <w:vMerge w:val="continue"/>
            <w:vAlign w:val="center"/>
          </w:tcPr>
          <w:p w14:paraId="0CDFE19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C950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4517FE3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5</w:t>
            </w:r>
          </w:p>
        </w:tc>
        <w:tc>
          <w:tcPr>
            <w:tcW w:w="476" w:type="dxa"/>
            <w:vAlign w:val="center"/>
          </w:tcPr>
          <w:p w14:paraId="52088EA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行政处罚</w:t>
            </w:r>
          </w:p>
        </w:tc>
        <w:tc>
          <w:tcPr>
            <w:tcW w:w="550" w:type="dxa"/>
            <w:vAlign w:val="center"/>
          </w:tcPr>
          <w:p w14:paraId="14C597B7">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对滥伐林木行为的处罚</w:t>
            </w:r>
          </w:p>
        </w:tc>
        <w:tc>
          <w:tcPr>
            <w:tcW w:w="650" w:type="dxa"/>
            <w:vAlign w:val="center"/>
          </w:tcPr>
          <w:p w14:paraId="7EC0E39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33DB518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3720E35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农业农村综合服务中心</w:t>
            </w:r>
          </w:p>
        </w:tc>
        <w:tc>
          <w:tcPr>
            <w:tcW w:w="1261" w:type="dxa"/>
            <w:vAlign w:val="center"/>
          </w:tcPr>
          <w:p w14:paraId="1707A67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 第七十六条第二款：滥伐林木的，由县级以上人民政府林业主管部门责令限期在原地或者异地补种滥伐株数一倍以上三倍以下的树木，可以处滥伐林木价值三倍以上五倍以下的罚款。</w:t>
            </w:r>
          </w:p>
          <w:p w14:paraId="116B57E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2.【规范性文件】《自治区党委编办关于印发〈广西赋予乡镇（街道）部分县级管理权限清单（第一批）〉的通知》（桂编办发〔2019〕195号）“对滥伐森林或者其他林木行为的处罚”赋权至乡镇人民政府（街道办事处）实施。</w:t>
            </w:r>
          </w:p>
        </w:tc>
        <w:tc>
          <w:tcPr>
            <w:tcW w:w="2625" w:type="dxa"/>
            <w:vAlign w:val="center"/>
          </w:tcPr>
          <w:p w14:paraId="14D9AC3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1.立案责任：通过举报、巡查（或者下级林业部门上报及其他机关移送的违法案件等），发现涉嫌的违法行为，予以审查，决定是否立案。</w:t>
            </w:r>
          </w:p>
          <w:p w14:paraId="682CC48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2.调查取证责任：指定专人负责，及时组织调查取证，通过搜集证据、现场了解核实情况等进行调查，制作笔录。调查时应出示执法证件，执法人员不得少于二人，依法回避。</w:t>
            </w:r>
          </w:p>
          <w:p w14:paraId="21BD9B4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3.审查责任：审查案件调查报告，对案件违法事实、证据、调查取证程序、法律适用、处罚种类和幅度、当事人陈述和申辩理由等方面进行审查，提出处理意见。</w:t>
            </w:r>
          </w:p>
          <w:p w14:paraId="6A8B5A5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4.告知责任：作出行政处罚决定前，应制作《行政处罚告知书》送达当事人，告知违法事实及其享有的陈述、申辩等权利。符合听证规定的，告知听证权。</w:t>
            </w:r>
          </w:p>
          <w:p w14:paraId="7BE9C30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5.决定责任：据案件审查情况决定是否予以行政处罚。依法给予处罚的，制作行政处罚决定书。 对情节复杂或者重大违法行为给予较重的行政处罚，行政机关的负责人应当集体讨论决定。</w:t>
            </w:r>
          </w:p>
          <w:p w14:paraId="3CAA8DC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6.送达责任：当场送达或在七日内依照民事诉讼法的有关规定送达。</w:t>
            </w:r>
          </w:p>
          <w:p w14:paraId="04C8616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7.执行责任：依照生效的行政处罚决定，自觉履行或强制执行。</w:t>
            </w:r>
          </w:p>
          <w:p w14:paraId="45B0E35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8.其他法律法规规章文件规定应履行的责任。</w:t>
            </w:r>
          </w:p>
          <w:p w14:paraId="1E6A7DD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8D5C46C">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7575" w:type="dxa"/>
            <w:vAlign w:val="center"/>
          </w:tcPr>
          <w:p w14:paraId="530B37EE">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67995A88">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3008C963">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w:t>
            </w:r>
          </w:p>
          <w:p w14:paraId="606B3CDC">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7C04A74B">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2—2.【部门规章】《林业行政处罚程序规定》（1996年林业部令第8号）第十五条：林业行政执法人员在调查处理林业行政处罚案件时与当事人有利害关系的，应当自行回避。</w:t>
            </w:r>
          </w:p>
          <w:p w14:paraId="2490DC70">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5F13E30C">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拒绝听取当事人的陈述、申辩，行政处罚决定不能成立；当事人放弃陈述或者申辩权利的除外。</w:t>
            </w:r>
          </w:p>
          <w:p w14:paraId="2B4FEB5E">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40ED59DC">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5—1.同3.</w:t>
            </w:r>
          </w:p>
          <w:p w14:paraId="22A4B6A5">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5—2.【法律】《中华人民共和国行政处罚法》第三十九条：行政机关依照本法第三十八条的规定给予行政处罚，应当制作行政处罚决定书。</w:t>
            </w:r>
          </w:p>
          <w:p w14:paraId="462678D7">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0B60D923">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025" w:type="dxa"/>
            <w:vAlign w:val="center"/>
          </w:tcPr>
          <w:p w14:paraId="04B6A3B4">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因不履行或不正确履行行政职责，有下列情形的，主管机构及相关工作人员应承担相应责任：</w:t>
            </w:r>
          </w:p>
          <w:p w14:paraId="65CD6AB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1.没有法定的行政处罚依据的；</w:t>
            </w:r>
          </w:p>
          <w:p w14:paraId="1CC912F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2.擅自改变行政处罚种类、幅度的；</w:t>
            </w:r>
          </w:p>
          <w:p w14:paraId="7C7A2F1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3.违反法定的行政处罚程序的；</w:t>
            </w:r>
          </w:p>
          <w:p w14:paraId="1B2583C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4.违反本法第十八条关于委托处罚的规定的；</w:t>
            </w:r>
          </w:p>
          <w:p w14:paraId="00A88F1A">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5.进行处罚时，不使用罚款、没收财物单据或者使用非法定部门制发的罚款、没收财物单据的；</w:t>
            </w:r>
          </w:p>
          <w:p w14:paraId="6D4B1237">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6.违反法律规定自行收缴罚款的，或向案件承办机构返还罚款或者拍卖款项的；</w:t>
            </w:r>
          </w:p>
          <w:p w14:paraId="48E328B9">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7.将罚款、没收的违法所得或者财物截留、私分或者变相私分的；</w:t>
            </w:r>
          </w:p>
          <w:p w14:paraId="5D10FF36">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8.利用职务上的便利，索取或者收受他人财物、收缴罚款据为己有；</w:t>
            </w:r>
          </w:p>
          <w:p w14:paraId="31C72712">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9.使用或者损毁扣押的财物，对当事人造成损失的；</w:t>
            </w:r>
          </w:p>
          <w:p w14:paraId="021E285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10.违法实行检查措施或者执行措施，给公民人身或者财产造成损害、给法人或者其他组织造成损失的；</w:t>
            </w:r>
          </w:p>
          <w:p w14:paraId="17F78A2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11.为牟取本单位私利，对应当依法移交司法机关追究刑事责任的不移交，以行政处罚代替刑罚的；</w:t>
            </w:r>
          </w:p>
          <w:p w14:paraId="6305CAA5">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12.玩忽职守，对应当予以制止和处罚的违法行为不予制止、处罚，致使公民、法人或者其他组织的合法权益、公共利益和社会秩序遭受损害或徇私舞弊、包庇纵容违法行为的。</w:t>
            </w:r>
          </w:p>
          <w:p w14:paraId="409B245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6917E5C0">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镇纪律检查委员会</w:t>
            </w:r>
            <w:r>
              <w:rPr>
                <w:rFonts w:hint="default" w:ascii="Times New Roman" w:hAnsi="Times New Roman" w:eastAsia="仿宋_GB2312" w:cs="Times New Roman"/>
                <w:kern w:val="0"/>
                <w:sz w:val="20"/>
                <w:szCs w:val="20"/>
                <w:highlight w:val="none"/>
                <w:lang w:eastAsia="zh-CN"/>
              </w:rPr>
              <w:t>）</w:t>
            </w:r>
          </w:p>
        </w:tc>
        <w:tc>
          <w:tcPr>
            <w:tcW w:w="1200" w:type="dxa"/>
            <w:vAlign w:val="center"/>
          </w:tcPr>
          <w:p w14:paraId="5910D77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【法律】《中华人民共和国森林法》（1984年9月20日中华人民共和国主席令第十七号公布）第四十六条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831" w:type="dxa"/>
            <w:vAlign w:val="center"/>
          </w:tcPr>
          <w:p w14:paraId="3B3DDAD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8" w:type="dxa"/>
            <w:vAlign w:val="center"/>
          </w:tcPr>
          <w:p w14:paraId="3B0598B2">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对滥伐林木行为的处罚”与《自治区党委编办关于印发〈广西赋予乡镇（街道）部分县级管理权限清单（第一批）〉的通知》（桂编办发〔2019〕195号）中的“对滥伐森林或者其他林木行为的处罚”为同一事项。</w:t>
            </w:r>
          </w:p>
        </w:tc>
      </w:tr>
    </w:tbl>
    <w:p w14:paraId="68CCFE25">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2703"/>
        <w:gridCol w:w="3315"/>
        <w:gridCol w:w="2345"/>
        <w:gridCol w:w="3350"/>
        <w:gridCol w:w="1100"/>
        <w:gridCol w:w="1164"/>
      </w:tblGrid>
      <w:tr w14:paraId="43C1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D0E14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C6787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5537F3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13" w:type="dxa"/>
            <w:gridSpan w:val="5"/>
            <w:vAlign w:val="center"/>
          </w:tcPr>
          <w:p w14:paraId="4DAB9C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64" w:type="dxa"/>
            <w:vMerge w:val="restart"/>
            <w:vAlign w:val="center"/>
          </w:tcPr>
          <w:p w14:paraId="47261B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9476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A96467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902855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62DAA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B3FC3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CB458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0622B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4063E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08F418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03" w:type="dxa"/>
            <w:vAlign w:val="center"/>
          </w:tcPr>
          <w:p w14:paraId="263D07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BDF50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15" w:type="dxa"/>
            <w:vAlign w:val="center"/>
          </w:tcPr>
          <w:p w14:paraId="13ABD1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45" w:type="dxa"/>
            <w:vAlign w:val="center"/>
          </w:tcPr>
          <w:p w14:paraId="744D55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4C88C8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350" w:type="dxa"/>
            <w:vAlign w:val="center"/>
          </w:tcPr>
          <w:p w14:paraId="7DAA27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00" w:type="dxa"/>
            <w:vAlign w:val="center"/>
          </w:tcPr>
          <w:p w14:paraId="379166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8097F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64" w:type="dxa"/>
            <w:vMerge w:val="continue"/>
            <w:vAlign w:val="center"/>
          </w:tcPr>
          <w:p w14:paraId="3D5492C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420A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1" w:hRule="atLeast"/>
          <w:jc w:val="center"/>
        </w:trPr>
        <w:tc>
          <w:tcPr>
            <w:tcW w:w="406" w:type="dxa"/>
            <w:vAlign w:val="center"/>
          </w:tcPr>
          <w:p w14:paraId="0E60776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6</w:t>
            </w:r>
          </w:p>
        </w:tc>
        <w:tc>
          <w:tcPr>
            <w:tcW w:w="476" w:type="dxa"/>
            <w:vAlign w:val="center"/>
          </w:tcPr>
          <w:p w14:paraId="2BB18C2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行政强制</w:t>
            </w:r>
          </w:p>
        </w:tc>
        <w:tc>
          <w:tcPr>
            <w:tcW w:w="550" w:type="dxa"/>
            <w:vAlign w:val="center"/>
          </w:tcPr>
          <w:p w14:paraId="6A3D3D60">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代为恢复植被和林业生产条件或代为补种树木</w:t>
            </w:r>
          </w:p>
        </w:tc>
        <w:tc>
          <w:tcPr>
            <w:tcW w:w="650" w:type="dxa"/>
            <w:vAlign w:val="center"/>
          </w:tcPr>
          <w:p w14:paraId="298DFFA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408EFE6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0656081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农业农村综合服务中心</w:t>
            </w:r>
          </w:p>
        </w:tc>
        <w:tc>
          <w:tcPr>
            <w:tcW w:w="3572" w:type="dxa"/>
            <w:vAlign w:val="center"/>
          </w:tcPr>
          <w:p w14:paraId="01D2C24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第八十一条：违反本法规定，有下列情形之一的，由县级以上人民政府林业主管部门依法组织代为履行，代为履行所需费用由违法者承担：（一）拒不恢复植被和林业生产条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恢复植被和林业生产条件不符合国家有关规定；（二）拒不补种树木</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补种不符合国家有关规定。</w:t>
            </w:r>
          </w:p>
          <w:p w14:paraId="66C5F39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恢复植被和林业生产条件、树木补种的标准，由省级以上人民政府林业主管部门制定。</w:t>
            </w:r>
          </w:p>
          <w:p w14:paraId="62F07F8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中华人民共和国森林法实施条例》（2000年国务院令第278号发布，2018年国务院令第698号修订）第四十一条：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w:t>
            </w:r>
          </w:p>
          <w:p w14:paraId="5EAB65E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违反森林法和本条例规定，擅自开垦林地，致使森林、林木受到毁坏的，依照森林法第四十四条的规定予以处罚……。</w:t>
            </w:r>
          </w:p>
          <w:p w14:paraId="24BCD9C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3.【规范性文件】《自治区党委编办关于印发〈广西赋予乡镇（街道）部分县级管理权限清单（第一批）〉的通知》（桂编办发〔2019〕195号） “代为补种树木”赋权至乡镇人民政府（街道办事处）实施。</w:t>
            </w:r>
          </w:p>
        </w:tc>
        <w:tc>
          <w:tcPr>
            <w:tcW w:w="2703" w:type="dxa"/>
            <w:vAlign w:val="center"/>
          </w:tcPr>
          <w:p w14:paraId="1A0AC9A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1.审查催告责任：审查当事人是否逾期未履行义务；书面催告当事人履行义务的期限、方式（涉及金钱给付的，明确告知金额和给付方式）及享有的陈述权和申辩权，催告当事人履行义务。</w:t>
            </w:r>
          </w:p>
          <w:p w14:paraId="494785C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2.决定责任：充分听取当事人提出的事实、理由和证据，进行记录和复核，无正当理由的，向本行政机关负责人报告，经批准作出代履行决定书并送达当事人。</w:t>
            </w:r>
          </w:p>
          <w:p w14:paraId="580A3E4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3.代履行责任：代履行三日前，催告当事人履行，当事人履行的，停止代履行；代履行时到场监督；代履行完毕，到场监督的工作人员、代履行人和当事人或者见证人在执行文书上签名或者盖章。</w:t>
            </w:r>
          </w:p>
          <w:p w14:paraId="6C7FA26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4.追缴代履行费用责任：核算代履行费用，并向被履行单位追缴费用。</w:t>
            </w:r>
          </w:p>
          <w:p w14:paraId="4819602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5.其他法律法规规章文件规定应履行的责任。</w:t>
            </w:r>
          </w:p>
          <w:p w14:paraId="17E912F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6CC555D">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3315" w:type="dxa"/>
            <w:vAlign w:val="center"/>
          </w:tcPr>
          <w:p w14:paraId="6E2A177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强制法》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14:paraId="50E8D00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强制法》第五十条：行政机关依法作出要求当事人履行排除妨碍、恢复原状等义务的行政决定，当事人逾期不履行，经催告仍不履行，其后果已经或者将危害交通安全、造成环境污染或者破坏自然资源的，行政机关可以代履行</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委托没有利害关系的第三人代履行。</w:t>
            </w:r>
          </w:p>
          <w:p w14:paraId="07D991A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强制法》第五十一条第一款：代履行应当遵守下列规定：（一）代履行前送达决定书，代履行决定书应当载明当事人的姓名或者名称、地址，代履行的理由和依据、方式和时间、标的、费用预算以及代履行人；（二）代履行三日前，催告当事人履行，当事人履行的，停止代履行；（三）代履行时，作出决定的行政机关应当派员到场监督；（四）代履行完毕，行政机关到场监督的工作人员、代履行人和当事人或者见证人应当在执行文书上签名或者盖章。</w:t>
            </w:r>
          </w:p>
          <w:p w14:paraId="1D5B4CF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4.【法律】《中华人民共和国行政强制法》第五十一条第二款：代履行的费用按照成本合理确定，由当事人承担。但是，法律另有规定的除外。</w:t>
            </w:r>
          </w:p>
        </w:tc>
        <w:tc>
          <w:tcPr>
            <w:tcW w:w="2345" w:type="dxa"/>
            <w:vAlign w:val="center"/>
          </w:tcPr>
          <w:p w14:paraId="647B1B4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1.无法定依据或者超越法定权限实施行政强制的；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2.违反法定程序实施行政强制的；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3.不具备行政执法资格实施行政强制的；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4.使用、丢失或损毁先行登记的财物，给行政相对人造成损失的；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5.在实施行政强制过程中滥用职权、玩忽职守、徇私舞弊的；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6.利用行政强制权为单位或者个人谋取利益的；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7.其他违反法律法规规章文件规定的行为。</w:t>
            </w:r>
          </w:p>
          <w:p w14:paraId="1DB050F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79618444">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镇纪律检查委员会</w:t>
            </w:r>
            <w:r>
              <w:rPr>
                <w:rFonts w:hint="default" w:ascii="Times New Roman" w:hAnsi="Times New Roman" w:eastAsia="仿宋_GB2312" w:cs="Times New Roman"/>
                <w:kern w:val="0"/>
                <w:sz w:val="20"/>
                <w:szCs w:val="20"/>
                <w:highlight w:val="none"/>
                <w:lang w:eastAsia="zh-CN"/>
              </w:rPr>
              <w:t>）</w:t>
            </w:r>
          </w:p>
        </w:tc>
        <w:tc>
          <w:tcPr>
            <w:tcW w:w="3350" w:type="dxa"/>
            <w:vAlign w:val="center"/>
          </w:tcPr>
          <w:p w14:paraId="7568383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6.同1.</w:t>
            </w:r>
          </w:p>
        </w:tc>
        <w:tc>
          <w:tcPr>
            <w:tcW w:w="1100" w:type="dxa"/>
            <w:vAlign w:val="center"/>
          </w:tcPr>
          <w:p w14:paraId="570F31E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164" w:type="dxa"/>
            <w:vAlign w:val="center"/>
          </w:tcPr>
          <w:p w14:paraId="1F23C02A">
            <w:pPr>
              <w:adjustRightInd w:val="0"/>
              <w:snapToGrid w:val="0"/>
              <w:spacing w:line="26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代为恢复植被和林业生产条件或代为补种树木”与《自治区党委编办关于印发〈广西赋予乡镇（街道）部分县级管理权限清单（第一批）〉的通知》（桂编办发〔2019〕195号）中的“代为补种树木”为同一事项。</w:t>
            </w:r>
          </w:p>
        </w:tc>
      </w:tr>
    </w:tbl>
    <w:p w14:paraId="56192F1F"/>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3096"/>
        <w:gridCol w:w="2533"/>
        <w:gridCol w:w="3089"/>
        <w:gridCol w:w="3232"/>
        <w:gridCol w:w="1125"/>
        <w:gridCol w:w="902"/>
      </w:tblGrid>
      <w:tr w14:paraId="325E4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ACC4B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72249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666841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761C04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4EE344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DBB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4F3DE5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DA16DB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4D35A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66107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3CE28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87F71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0064F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51FDF9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3096" w:type="dxa"/>
            <w:vAlign w:val="center"/>
          </w:tcPr>
          <w:p w14:paraId="4247A5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83DF7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533" w:type="dxa"/>
            <w:vAlign w:val="center"/>
          </w:tcPr>
          <w:p w14:paraId="45E80A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89" w:type="dxa"/>
            <w:vAlign w:val="center"/>
          </w:tcPr>
          <w:p w14:paraId="3B8504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232" w:type="dxa"/>
            <w:vAlign w:val="center"/>
          </w:tcPr>
          <w:p w14:paraId="1F5AD5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25" w:type="dxa"/>
            <w:vAlign w:val="center"/>
          </w:tcPr>
          <w:p w14:paraId="422CB5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A0E07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74B51E4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D7A3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56" w:hRule="atLeast"/>
          <w:jc w:val="center"/>
        </w:trPr>
        <w:tc>
          <w:tcPr>
            <w:tcW w:w="406" w:type="dxa"/>
            <w:vAlign w:val="center"/>
          </w:tcPr>
          <w:p w14:paraId="3EE75B5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7</w:t>
            </w:r>
          </w:p>
        </w:tc>
        <w:tc>
          <w:tcPr>
            <w:tcW w:w="476" w:type="dxa"/>
            <w:vAlign w:val="center"/>
          </w:tcPr>
          <w:p w14:paraId="09AC38B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行政确认</w:t>
            </w:r>
          </w:p>
        </w:tc>
        <w:tc>
          <w:tcPr>
            <w:tcW w:w="550" w:type="dxa"/>
            <w:vAlign w:val="center"/>
          </w:tcPr>
          <w:p w14:paraId="5F92F59B">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在承包经营期内，对承包经营者使用的草原进行微调的批准</w:t>
            </w:r>
          </w:p>
        </w:tc>
        <w:tc>
          <w:tcPr>
            <w:tcW w:w="650" w:type="dxa"/>
            <w:vAlign w:val="center"/>
          </w:tcPr>
          <w:p w14:paraId="6FF3EF4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36F5317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6CD8C87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镇农业农村综合服务中心</w:t>
            </w:r>
          </w:p>
        </w:tc>
        <w:tc>
          <w:tcPr>
            <w:tcW w:w="3572" w:type="dxa"/>
            <w:vAlign w:val="center"/>
          </w:tcPr>
          <w:p w14:paraId="3F6E268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tc>
        <w:tc>
          <w:tcPr>
            <w:tcW w:w="3096" w:type="dxa"/>
            <w:vAlign w:val="center"/>
          </w:tcPr>
          <w:p w14:paraId="212D7BC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1.受理责任：公示依法应当提交的材料；一次性告知补正材料；依法受理或不予受理（不予受理应当告知理由）。</w:t>
            </w:r>
          </w:p>
          <w:p w14:paraId="19EB289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2.审查责任：按照政策规定，审查申请材料。</w:t>
            </w:r>
          </w:p>
          <w:p w14:paraId="0D44800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3.决定责任：作出行政确认或者不予行政确认决定，法定告知（不予行政确认的应当书面告知理由）。</w:t>
            </w:r>
          </w:p>
          <w:p w14:paraId="062C86D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4.送达责任：准予确认的制发送达行政确认决定；信息公开。</w:t>
            </w:r>
          </w:p>
          <w:p w14:paraId="008E4B0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5.事后监管责任：建立实施监督检查的运行机制和管理制度，开展定期和不定期检查，依法采取相关处置措施。</w:t>
            </w:r>
          </w:p>
          <w:p w14:paraId="2786A27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6BF6BA7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0F678E4">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镇农业农村综合服务中心</w:t>
            </w:r>
            <w:r>
              <w:rPr>
                <w:rFonts w:hint="default" w:ascii="Times New Roman" w:hAnsi="Times New Roman" w:eastAsia="仿宋_GB2312" w:cs="Times New Roman"/>
                <w:kern w:val="0"/>
                <w:sz w:val="20"/>
                <w:szCs w:val="20"/>
                <w:highlight w:val="none"/>
                <w:lang w:eastAsia="zh-CN"/>
              </w:rPr>
              <w:t>）</w:t>
            </w:r>
          </w:p>
        </w:tc>
        <w:tc>
          <w:tcPr>
            <w:tcW w:w="2533" w:type="dxa"/>
            <w:vAlign w:val="center"/>
          </w:tcPr>
          <w:p w14:paraId="61782E0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p w14:paraId="3F8367A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4932451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3.同1。</w:t>
            </w:r>
          </w:p>
          <w:p w14:paraId="3D5366F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4.同1。</w:t>
            </w:r>
          </w:p>
          <w:p w14:paraId="73D2ECD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5.同1。</w:t>
            </w:r>
          </w:p>
        </w:tc>
        <w:tc>
          <w:tcPr>
            <w:tcW w:w="3089" w:type="dxa"/>
            <w:vAlign w:val="center"/>
          </w:tcPr>
          <w:p w14:paraId="59FE1D60">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因不履行或不正确履行行政职责，有下列情形的，行政机关及相关工作人员应承担相应责任：</w:t>
            </w:r>
          </w:p>
          <w:p w14:paraId="24B78AC8">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1.对符合条件不予受理或不应该受理而受理造成不良后果的；</w:t>
            </w:r>
          </w:p>
          <w:p w14:paraId="3FADBD6B">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2.没有严格按照工作规程组织鉴定，违反公开、透明、公正的原则，未能真实反映情况的；</w:t>
            </w:r>
          </w:p>
          <w:p w14:paraId="1CEB28ED">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3.收受贿赂或向当事人索取财物的；</w:t>
            </w:r>
          </w:p>
          <w:p w14:paraId="60D861E1">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4.办理人员弄虚作假、</w:t>
            </w:r>
            <w:r>
              <w:rPr>
                <w:rFonts w:hint="eastAsia" w:eastAsia="仿宋_GB2312" w:cs="Times New Roman"/>
                <w:color w:val="auto"/>
                <w:kern w:val="0"/>
                <w:sz w:val="20"/>
                <w:szCs w:val="20"/>
                <w:highlight w:val="none"/>
                <w:lang w:eastAsia="zh-CN"/>
              </w:rPr>
              <w:t>徇私舞弊</w:t>
            </w:r>
            <w:r>
              <w:rPr>
                <w:rFonts w:hint="default" w:ascii="Times New Roman" w:hAnsi="Times New Roman" w:eastAsia="仿宋_GB2312" w:cs="Times New Roman"/>
                <w:color w:val="auto"/>
                <w:kern w:val="0"/>
                <w:sz w:val="20"/>
                <w:szCs w:val="20"/>
                <w:highlight w:val="none"/>
              </w:rPr>
              <w:t>、提供不实材料，导致不正确鉴定结论的；</w:t>
            </w:r>
          </w:p>
          <w:p w14:paraId="77EEA230">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5.其他违反法律法规规章文件规定的行为。</w:t>
            </w:r>
          </w:p>
          <w:p w14:paraId="53D275BD">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p>
          <w:p w14:paraId="13792CD8">
            <w:pPr>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镇纪律检查委员会</w:t>
            </w:r>
            <w:r>
              <w:rPr>
                <w:rFonts w:hint="default" w:ascii="Times New Roman" w:hAnsi="Times New Roman" w:eastAsia="仿宋_GB2312" w:cs="Times New Roman"/>
                <w:kern w:val="0"/>
                <w:sz w:val="20"/>
                <w:szCs w:val="20"/>
                <w:highlight w:val="none"/>
                <w:lang w:eastAsia="zh-CN"/>
              </w:rPr>
              <w:t>）</w:t>
            </w:r>
          </w:p>
        </w:tc>
        <w:tc>
          <w:tcPr>
            <w:tcW w:w="3232" w:type="dxa"/>
            <w:vAlign w:val="center"/>
          </w:tcPr>
          <w:p w14:paraId="7545CED9">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lang w:val="en-US" w:eastAsia="zh-CN"/>
              </w:rPr>
            </w:pPr>
            <w:r>
              <w:rPr>
                <w:rFonts w:hint="default" w:ascii="Times New Roman" w:hAnsi="Times New Roman" w:eastAsia="仿宋_GB2312" w:cs="Times New Roman"/>
                <w:color w:val="auto"/>
                <w:kern w:val="0"/>
                <w:sz w:val="20"/>
                <w:szCs w:val="20"/>
                <w:highlight w:val="none"/>
                <w:lang w:val="en-US" w:eastAsia="zh-CN"/>
              </w:rPr>
              <w:t>1.</w:t>
            </w:r>
            <w:r>
              <w:rPr>
                <w:rFonts w:hint="default" w:ascii="Times New Roman" w:hAnsi="Times New Roman" w:eastAsia="仿宋_GB2312" w:cs="Times New Roman"/>
                <w:color w:val="auto"/>
                <w:kern w:val="0"/>
                <w:sz w:val="20"/>
                <w:szCs w:val="20"/>
                <w:highlight w:val="none"/>
              </w:rPr>
              <w:t>【法律】《中华人民共和国草原法》第六十一条 草原行政主管部门工作人员及其他国家机关有关工作人员玩忽职守、滥用职权，不依法履行监督管理职责</w:t>
            </w:r>
            <w:r>
              <w:rPr>
                <w:rFonts w:hint="eastAsia" w:eastAsia="仿宋_GB2312" w:cs="Times New Roman"/>
                <w:color w:val="auto"/>
                <w:kern w:val="0"/>
                <w:sz w:val="20"/>
                <w:szCs w:val="20"/>
                <w:highlight w:val="none"/>
                <w:lang w:eastAsia="zh-CN"/>
              </w:rPr>
              <w:t>或者</w:t>
            </w:r>
            <w:r>
              <w:rPr>
                <w:rFonts w:hint="default" w:ascii="Times New Roman" w:hAnsi="Times New Roman" w:eastAsia="仿宋_GB2312" w:cs="Times New Roman"/>
                <w:color w:val="auto"/>
                <w:kern w:val="0"/>
                <w:sz w:val="20"/>
                <w:szCs w:val="20"/>
                <w:highlight w:val="none"/>
              </w:rPr>
              <w:t>发现违法行为不予查处，造成严重后果，构成犯罪的，依法追究刑事责任;尚不够刑事处罚的，依法给予行政处分。</w:t>
            </w:r>
            <w:r>
              <w:rPr>
                <w:rFonts w:hint="default" w:ascii="Times New Roman" w:hAnsi="Times New Roman" w:eastAsia="仿宋_GB2312" w:cs="Times New Roman"/>
                <w:color w:val="auto"/>
                <w:kern w:val="0"/>
                <w:sz w:val="20"/>
                <w:szCs w:val="20"/>
                <w:highlight w:val="none"/>
                <w:lang w:val="en-US" w:eastAsia="zh-CN"/>
              </w:rPr>
              <w:t xml:space="preserve">    </w:t>
            </w:r>
          </w:p>
          <w:p w14:paraId="1BA8012A">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2.【法律】《中华人民共和国公务员法》</w:t>
            </w:r>
          </w:p>
          <w:p w14:paraId="1DA0EA05">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第一百零四条 公务员主管部门的工作人员，违反本法规定，滥用职权、玩忽职守、徇私舞弊，构成犯罪的，依法追究刑事责任；尚不构成犯罪的，给予处分。</w:t>
            </w:r>
          </w:p>
          <w:p w14:paraId="25720A27">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3.《中华人民共和国行政许可法》（2003年8月27日第十届全国人民代表大会常务委员会第四次会议通过）</w:t>
            </w:r>
          </w:p>
          <w:p w14:paraId="7479662A">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auto"/>
                <w:kern w:val="0"/>
                <w:sz w:val="20"/>
                <w:szCs w:val="20"/>
                <w:highlight w:val="none"/>
              </w:rPr>
              <w:t>第七十三条行政机关工作人员办理行政许可、实施监督检查，索取或者收受他人财物或者谋取其他利益，构成犯罪的，依法追究刑事责任；尚不构成犯罪的，依法给予行政处分</w:t>
            </w:r>
          </w:p>
        </w:tc>
        <w:tc>
          <w:tcPr>
            <w:tcW w:w="1125" w:type="dxa"/>
            <w:vAlign w:val="center"/>
          </w:tcPr>
          <w:p w14:paraId="526FB26E">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auto"/>
                <w:kern w:val="0"/>
                <w:sz w:val="20"/>
                <w:szCs w:val="20"/>
                <w:highlight w:val="none"/>
              </w:rPr>
              <w:t>法律法规规定的免责情形及市委、市人民政府有关文件中明确的免责情形。</w:t>
            </w:r>
          </w:p>
        </w:tc>
        <w:tc>
          <w:tcPr>
            <w:tcW w:w="902" w:type="dxa"/>
            <w:vAlign w:val="center"/>
          </w:tcPr>
          <w:p w14:paraId="4ACB9A4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57FE01B"/>
    <w:p w14:paraId="45C24C8D"/>
    <w:p w14:paraId="420D84D5"/>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1950"/>
        <w:gridCol w:w="6425"/>
        <w:gridCol w:w="1725"/>
        <w:gridCol w:w="2125"/>
        <w:gridCol w:w="850"/>
        <w:gridCol w:w="902"/>
      </w:tblGrid>
      <w:tr w14:paraId="16710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79FB0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63A68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3A212D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2D137F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5AAA54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7AFF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F12AE4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6E1083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6761D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0B8C8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128A3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3D97D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B31E8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3B2F20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0" w:type="dxa"/>
            <w:vAlign w:val="center"/>
          </w:tcPr>
          <w:p w14:paraId="3D730F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8FA4D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25" w:type="dxa"/>
            <w:vAlign w:val="center"/>
          </w:tcPr>
          <w:p w14:paraId="73944F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25" w:type="dxa"/>
            <w:vAlign w:val="center"/>
          </w:tcPr>
          <w:p w14:paraId="648557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25" w:type="dxa"/>
            <w:vAlign w:val="center"/>
          </w:tcPr>
          <w:p w14:paraId="465A2F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50" w:type="dxa"/>
            <w:vAlign w:val="center"/>
          </w:tcPr>
          <w:p w14:paraId="16AE2B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585C4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06E913E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DE8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7" w:hRule="atLeast"/>
          <w:jc w:val="center"/>
        </w:trPr>
        <w:tc>
          <w:tcPr>
            <w:tcW w:w="406" w:type="dxa"/>
            <w:vAlign w:val="center"/>
          </w:tcPr>
          <w:p w14:paraId="16813B8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8</w:t>
            </w:r>
          </w:p>
        </w:tc>
        <w:tc>
          <w:tcPr>
            <w:tcW w:w="476" w:type="dxa"/>
            <w:vAlign w:val="center"/>
          </w:tcPr>
          <w:p w14:paraId="0F6DBED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行政检查</w:t>
            </w:r>
          </w:p>
        </w:tc>
        <w:tc>
          <w:tcPr>
            <w:tcW w:w="550" w:type="dxa"/>
            <w:vAlign w:val="center"/>
          </w:tcPr>
          <w:p w14:paraId="4D32F4F3">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消防安全</w:t>
            </w:r>
          </w:p>
          <w:p w14:paraId="41556E73">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检查</w:t>
            </w:r>
          </w:p>
        </w:tc>
        <w:tc>
          <w:tcPr>
            <w:tcW w:w="650" w:type="dxa"/>
            <w:vAlign w:val="center"/>
          </w:tcPr>
          <w:p w14:paraId="011890D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56BFA65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镇人民政府</w:t>
            </w:r>
          </w:p>
        </w:tc>
        <w:tc>
          <w:tcPr>
            <w:tcW w:w="933" w:type="dxa"/>
            <w:vAlign w:val="center"/>
          </w:tcPr>
          <w:p w14:paraId="5583FC0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p>
        </w:tc>
        <w:tc>
          <w:tcPr>
            <w:tcW w:w="3572" w:type="dxa"/>
            <w:vAlign w:val="center"/>
          </w:tcPr>
          <w:p w14:paraId="3B3B477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消防法》第三十一条：在农业收获季节、森林和草原防火期间、重大节假日期间以及火灾多发季节，地方各级人民政府应当组织开展有针对性的消防宣传教育，采取防火措施，进行消防安全检查。</w:t>
            </w:r>
          </w:p>
          <w:p w14:paraId="025DA54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6DC087C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6287956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val="en-US" w:eastAsia="zh-CN"/>
              </w:rPr>
              <w:t>3</w:t>
            </w:r>
            <w:r>
              <w:rPr>
                <w:rFonts w:hint="default" w:ascii="Times New Roman" w:hAnsi="Times New Roman" w:eastAsia="仿宋_GB2312" w:cs="Times New Roman"/>
                <w:kern w:val="0"/>
                <w:sz w:val="20"/>
                <w:szCs w:val="20"/>
                <w:highlight w:val="none"/>
              </w:rPr>
              <w:t>.【规范性文件】《消防安全责任制实施办法》（国办发〔2017〕87号）第九条：乡镇人民政府消防工作职责：（六）部署消防安全整治，组织开展消防安全检查，督促整改火灾隐患。</w:t>
            </w:r>
          </w:p>
          <w:p w14:paraId="2BA8115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街道办事处应当履行前款第（一）、（四）、（五）、（六）、（七）项职责，并保障消防工作经费。</w:t>
            </w:r>
          </w:p>
          <w:p w14:paraId="48673FA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4</w:t>
            </w:r>
            <w:r>
              <w:rPr>
                <w:rFonts w:hint="default" w:ascii="Times New Roman" w:hAnsi="Times New Roman" w:eastAsia="仿宋_GB2312" w:cs="Times New Roman"/>
                <w:kern w:val="0"/>
                <w:sz w:val="20"/>
                <w:szCs w:val="20"/>
                <w:highlight w:val="none"/>
              </w:rPr>
              <w:t>.【规范性文件】《广西壮族自治区消防安全责任制实施细则》（桂政办发〔2019〕57号）第五条：乡镇人民政府（街道办事处）履行下列职责：每季度组织相关部门开展针对性的消防安全检查，火灾多发季节、重大节假日期间、农业收获季节和民俗活动期间，加强防火检查频次。</w:t>
            </w:r>
          </w:p>
        </w:tc>
        <w:tc>
          <w:tcPr>
            <w:tcW w:w="1950" w:type="dxa"/>
            <w:vAlign w:val="center"/>
          </w:tcPr>
          <w:p w14:paraId="052C694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1.告知责任：确定检查目标、对象、内容，公告或通知被检查单位（暗访不通知）。</w:t>
            </w:r>
          </w:p>
          <w:p w14:paraId="36136DD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2.检查责任：按照上级要求和相关标准，对单位开展消防安全检查；属于监督执法检查时，执法人员不得少于2人，并按照有关规定进行。</w:t>
            </w:r>
          </w:p>
          <w:p w14:paraId="01C71BB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3.处理责任：制作检查记录，对检查发现的问题提出整改和处理意见，并督促整改消防安全违法行为和火灾隐患，对重大消防问题或者火灾隐患实行专项督办。</w:t>
            </w:r>
          </w:p>
          <w:p w14:paraId="0BF1F0F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监管责任：部署消防安全整治，组织开展消防安全检查，督促整改火灾隐患，开展有针对性的消防宣传教育，对社会单位履行消防安全主体责任进行监督检查，将消防安全工作纳入安全生产和社会管理综合治理考核；对本级人民政府有关部门履行消防安全职责的情况进行监督检查。</w:t>
            </w:r>
          </w:p>
          <w:p w14:paraId="3D7FA06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5.其他法律法规规章文件规定应履行的责任。</w:t>
            </w:r>
          </w:p>
          <w:p w14:paraId="7D33EB0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DADB796">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eastAsia="zh-CN"/>
              </w:rPr>
              <w:t>）</w:t>
            </w:r>
          </w:p>
        </w:tc>
        <w:tc>
          <w:tcPr>
            <w:tcW w:w="6425" w:type="dxa"/>
            <w:vAlign w:val="center"/>
          </w:tcPr>
          <w:p w14:paraId="3CF3B55D">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地方政府规章】《广西壮族自治区行政执法程序规定》（1997年广西壮族自治区人民政府令第13号）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技术秘密等，依法应当保密的，不得擅自公开或者泄露；（六）检查中需对物品进行常规性抽样检测时，应按照常规抽检规定的数量和频次进行。依法需要进行临时性抽样检测的，应出具抽样检测通知书，抽样样品数量应以合理为限。抽样检测后，应将抽检结果书面通知相对人，被抽检后的物品仍有使用价值，应退回相对人。</w:t>
            </w:r>
          </w:p>
          <w:p w14:paraId="236A8E70">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7B1D15B5">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DEA6DA7">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71E373CF">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2.【地方性法规】《广西壮族自治区实施〈中华人民共和国消防法〉办法》（2012年广西壮族自治区第十一届人民代表大会常务委员会第三十次会议通过）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10DFC82A">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3—3.【规范性文件】《消防安全责任制实施办法》（国办发〔2017〕87号）第九</w:t>
            </w:r>
            <w:r>
              <w:rPr>
                <w:rFonts w:hint="default" w:ascii="Times New Roman" w:hAnsi="Times New Roman" w:eastAsia="仿宋_GB2312" w:cs="Times New Roman"/>
                <w:kern w:val="0"/>
                <w:sz w:val="20"/>
                <w:szCs w:val="20"/>
                <w:highlight w:val="none"/>
                <w:lang w:eastAsia="zh-CN"/>
              </w:rPr>
              <w:t>条：</w:t>
            </w:r>
            <w:r>
              <w:rPr>
                <w:rFonts w:hint="default" w:ascii="Times New Roman" w:hAnsi="Times New Roman" w:eastAsia="仿宋_GB2312" w:cs="Times New Roman"/>
                <w:kern w:val="0"/>
                <w:sz w:val="20"/>
                <w:szCs w:val="20"/>
                <w:highlight w:val="none"/>
              </w:rPr>
              <w:t>乡镇人民政府工作职责：（六）部署消防安全整治，组织开展消防安全检查，督促整改火灾隐患。</w:t>
            </w:r>
          </w:p>
          <w:p w14:paraId="47FB4562">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1.【法律】《中华人民共和国消防法》第五十二条：地方各级人民政府应当落实消防工作责任制，对本级人民政府有关部门履行消防安全职责的情况进行监督检查。县级以上地方人民政府有关部门应当根据本系统的特点，有针对性地开展消防安全检查，及时督促整改火灾隐患。</w:t>
            </w:r>
          </w:p>
          <w:p w14:paraId="1D270CFF">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4—2.【规范性文件】《消防安全责任制实施办法》（国办发〔2017〕87号）第九</w:t>
            </w:r>
            <w:r>
              <w:rPr>
                <w:rFonts w:hint="default" w:ascii="Times New Roman" w:hAnsi="Times New Roman" w:eastAsia="仿宋_GB2312" w:cs="Times New Roman"/>
                <w:kern w:val="0"/>
                <w:sz w:val="20"/>
                <w:szCs w:val="20"/>
                <w:highlight w:val="none"/>
                <w:lang w:eastAsia="zh-CN"/>
              </w:rPr>
              <w:t>条：</w:t>
            </w:r>
            <w:r>
              <w:rPr>
                <w:rFonts w:hint="default" w:ascii="Times New Roman" w:hAnsi="Times New Roman" w:eastAsia="仿宋_GB2312" w:cs="Times New Roman"/>
                <w:kern w:val="0"/>
                <w:sz w:val="20"/>
                <w:szCs w:val="20"/>
                <w:highlight w:val="none"/>
              </w:rPr>
              <w:t>乡镇人民政府工作职责：（六）部署消防安全整治，组织开展消防安全检查，督促整改火灾隐患。</w:t>
            </w:r>
          </w:p>
        </w:tc>
        <w:tc>
          <w:tcPr>
            <w:tcW w:w="1725" w:type="dxa"/>
            <w:vAlign w:val="center"/>
          </w:tcPr>
          <w:p w14:paraId="28177D06">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因不履行或不正确履行行政职责，有下列情形的，资质认定机关及相关工作人员应承担相应责任：</w:t>
            </w:r>
          </w:p>
          <w:p w14:paraId="10F6E5D1">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1.不按照法定程序进行监督检查；</w:t>
            </w:r>
          </w:p>
          <w:p w14:paraId="05AB53BB">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2.对监督检查中发现的事故隐患和违法行为不按照法律要求进行处置；</w:t>
            </w:r>
          </w:p>
          <w:p w14:paraId="7A4A0C2F">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3.严重失职、渎职、玩忽职守或弄虚作假、借机谋取私利等行为的；</w:t>
            </w:r>
          </w:p>
          <w:p w14:paraId="463EF8F9">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4.其他违反法律法规规章文件规定的行为。</w:t>
            </w:r>
          </w:p>
          <w:p w14:paraId="224650F1">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p>
          <w:p w14:paraId="765DD11E">
            <w:pPr>
              <w:adjustRightInd w:val="0"/>
              <w:snapToGrid w:val="0"/>
              <w:spacing w:line="274" w:lineRule="exact"/>
              <w:ind w:left="0" w:leftChars="0" w:firstLine="0" w:firstLineChars="0"/>
              <w:jc w:val="center"/>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镇纪律检查委员会</w:t>
            </w:r>
            <w:r>
              <w:rPr>
                <w:rFonts w:hint="default" w:ascii="Times New Roman" w:hAnsi="Times New Roman" w:eastAsia="仿宋_GB2312" w:cs="Times New Roman"/>
                <w:kern w:val="0"/>
                <w:sz w:val="20"/>
                <w:szCs w:val="20"/>
                <w:highlight w:val="none"/>
                <w:lang w:eastAsia="zh-CN"/>
              </w:rPr>
              <w:t>）</w:t>
            </w:r>
          </w:p>
          <w:p w14:paraId="031D4662">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p>
        </w:tc>
        <w:tc>
          <w:tcPr>
            <w:tcW w:w="2125" w:type="dxa"/>
            <w:vAlign w:val="center"/>
          </w:tcPr>
          <w:p w14:paraId="74D5BD88">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【法律】《中华人民共和国消防法》第七十一条　住房和城乡建设主管部门、消防救援机构的工作人员滥用职权、玩忽职守、徇私舞弊，有下列行为之一，尚不构成犯罪的，依法给予处分：</w:t>
            </w:r>
          </w:p>
          <w:p w14:paraId="7CA604C3">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（一）对不符合消防安全要求的消防设计文件、建设工程、场所准予审查合格、消防验收合格、消防安全检查合格的；</w:t>
            </w:r>
          </w:p>
          <w:p w14:paraId="04A863C6">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（二）无故拖延消防设计审查、消防验收、消防安全检查，不在法定期限内履行职责的；</w:t>
            </w:r>
          </w:p>
          <w:p w14:paraId="5754E49A">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（三）发现火灾隐患不及时通知有关单位或者个人整改的；</w:t>
            </w:r>
          </w:p>
          <w:p w14:paraId="78706F06">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（四）利用职务为用户、建设单位指定或者变相指定消防产品的品牌、销售单位或者消防技术服务机构、消防设施施工单位的；</w:t>
            </w:r>
          </w:p>
          <w:p w14:paraId="5355ADE0">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（五）将消防车、消防艇以及消防器材、装备和设施用于与消防和应急救援无关的事项的；</w:t>
            </w:r>
          </w:p>
          <w:p w14:paraId="435D766B">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（六）其他滥用职权、玩忽职守、徇私舞弊的行为。</w:t>
            </w:r>
          </w:p>
          <w:p w14:paraId="4FACFE48">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产品质量监督、工商行政管理等其他有关行政主管部门的工作人员在消防工作中滥用职权、玩忽职守、徇私舞弊，尚不构成犯罪的，依法给予处分。</w:t>
            </w:r>
          </w:p>
          <w:p w14:paraId="5FFBD54A">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第七十二条　违反本法规定，构成犯罪的，依法追究刑事责任。</w:t>
            </w:r>
          </w:p>
        </w:tc>
        <w:tc>
          <w:tcPr>
            <w:tcW w:w="850" w:type="dxa"/>
            <w:vAlign w:val="center"/>
          </w:tcPr>
          <w:p w14:paraId="4ADAF05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02" w:type="dxa"/>
            <w:vAlign w:val="center"/>
          </w:tcPr>
          <w:p w14:paraId="332BC21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5D4B93C"/>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1797"/>
        <w:gridCol w:w="4875"/>
        <w:gridCol w:w="2225"/>
        <w:gridCol w:w="4075"/>
        <w:gridCol w:w="950"/>
        <w:gridCol w:w="843"/>
      </w:tblGrid>
      <w:tr w14:paraId="3617A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A9DF6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61025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19A8DA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922" w:type="dxa"/>
            <w:gridSpan w:val="5"/>
            <w:vAlign w:val="center"/>
          </w:tcPr>
          <w:p w14:paraId="77015B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154E65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5968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B2B33F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CF7BC3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1522E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2849A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9382A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79A3F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DE109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008A44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97" w:type="dxa"/>
            <w:vAlign w:val="center"/>
          </w:tcPr>
          <w:p w14:paraId="797A75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8918B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875" w:type="dxa"/>
            <w:vAlign w:val="center"/>
          </w:tcPr>
          <w:p w14:paraId="65F584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225" w:type="dxa"/>
            <w:vAlign w:val="center"/>
          </w:tcPr>
          <w:p w14:paraId="5EA716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496FB8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2E25CE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DD8EE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4880A13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20CA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814" w:hRule="atLeast"/>
          <w:jc w:val="center"/>
        </w:trPr>
        <w:tc>
          <w:tcPr>
            <w:tcW w:w="406" w:type="dxa"/>
            <w:vAlign w:val="center"/>
          </w:tcPr>
          <w:p w14:paraId="477F8D1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39</w:t>
            </w:r>
          </w:p>
        </w:tc>
        <w:tc>
          <w:tcPr>
            <w:tcW w:w="476" w:type="dxa"/>
            <w:vAlign w:val="center"/>
          </w:tcPr>
          <w:p w14:paraId="5800B111">
            <w:pPr>
              <w:widowControl/>
              <w:adjustRightInd w:val="0"/>
              <w:snapToGrid w:val="0"/>
              <w:jc w:val="center"/>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行政许可</w:t>
            </w:r>
          </w:p>
        </w:tc>
        <w:tc>
          <w:tcPr>
            <w:tcW w:w="550" w:type="dxa"/>
            <w:vAlign w:val="center"/>
          </w:tcPr>
          <w:p w14:paraId="7D57E4E7">
            <w:pPr>
              <w:widowControl/>
              <w:adjustRightInd w:val="0"/>
              <w:snapToGrid w:val="0"/>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设置非公路标志审批</w:t>
            </w:r>
          </w:p>
        </w:tc>
        <w:tc>
          <w:tcPr>
            <w:tcW w:w="650" w:type="dxa"/>
            <w:vAlign w:val="center"/>
          </w:tcPr>
          <w:p w14:paraId="26CAAC5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23E2E3F7">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百寿镇人民政府</w:t>
            </w:r>
          </w:p>
        </w:tc>
        <w:tc>
          <w:tcPr>
            <w:tcW w:w="933" w:type="dxa"/>
            <w:vAlign w:val="center"/>
          </w:tcPr>
          <w:p w14:paraId="5BC1E39E">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百寿镇乡村建设综合服务中心</w:t>
            </w:r>
          </w:p>
        </w:tc>
        <w:tc>
          <w:tcPr>
            <w:tcW w:w="2815" w:type="dxa"/>
            <w:vAlign w:val="center"/>
          </w:tcPr>
          <w:p w14:paraId="2923ED1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1.【法律】《中华人民共和国公路法》第五十四条：任何单位和个人未经县级以上地方人民政府交通主管部门批准，不得在公路用地范围内设置公路标志以外的其他标志。</w:t>
            </w:r>
          </w:p>
          <w:p w14:paraId="54E551A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2.【行政法规】《公路安全保护条例》（2011年国务院令第593号） 第二十七条：进行下列涉路施工活动，建设单位应当向公路管理机构提出申请：（五）利用跨越公路的设施悬挂非公路标志。</w:t>
            </w:r>
          </w:p>
          <w:p w14:paraId="0F30C6D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6D9592D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4.【规范性文件】《自治区党委编办关于</w:t>
            </w:r>
            <w:r>
              <w:rPr>
                <w:rFonts w:hint="eastAsia" w:eastAsia="仿宋_GB2312" w:cs="Times New Roman"/>
                <w:kern w:val="0"/>
                <w:sz w:val="20"/>
                <w:szCs w:val="20"/>
                <w:highlight w:val="none"/>
                <w:lang w:eastAsia="zh-CN"/>
              </w:rPr>
              <w:t>印发</w:t>
            </w:r>
            <w:r>
              <w:rPr>
                <w:rFonts w:hint="default" w:ascii="Times New Roman" w:hAnsi="Times New Roman" w:eastAsia="仿宋_GB2312" w:cs="Times New Roman"/>
                <w:kern w:val="0"/>
                <w:sz w:val="20"/>
                <w:szCs w:val="20"/>
                <w:highlight w:val="none"/>
              </w:rPr>
              <w:t>〈广西赋予乡镇（街道）部分县级管理权限清单（第一批）〉的通知》（桂编办发〔2019〕195号）《广西赋予乡镇（街道）部分县级管理权限清单（第一批）》第4项。</w:t>
            </w:r>
          </w:p>
        </w:tc>
        <w:tc>
          <w:tcPr>
            <w:tcW w:w="1797" w:type="dxa"/>
            <w:vAlign w:val="center"/>
          </w:tcPr>
          <w:p w14:paraId="3A43096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1．受理责任：公示设置非公路标志审批依法应当提交的材料；一次性告知补正材料；依法受理或不予受理（不予受理应当告知理由）。</w:t>
            </w:r>
          </w:p>
          <w:p w14:paraId="3BF4BD9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2.审查责任：材料审核（主要包括项目批准文件等法定材料）；提出审查意见。</w:t>
            </w:r>
          </w:p>
          <w:p w14:paraId="04E2DB3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3.决定责任：作出决定（不予行政许可的应当告知理由）；按时办结；</w:t>
            </w:r>
          </w:p>
          <w:p w14:paraId="2981A90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4.送达责任：制发送达许可证书；信息公开。</w:t>
            </w:r>
          </w:p>
          <w:p w14:paraId="0BECBBC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5.事后监管责任：加强设置非公路标志的监督检查，保护公路路产路权免遭破坏。</w:t>
            </w:r>
          </w:p>
          <w:p w14:paraId="3153778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6.其他法律法规规章文件规定应履行的责任。（相关站所）</w:t>
            </w:r>
          </w:p>
          <w:p w14:paraId="1E3B60C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DBC5807">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eastAsia="zh-CN"/>
              </w:rPr>
              <w:t>）</w:t>
            </w:r>
          </w:p>
        </w:tc>
        <w:tc>
          <w:tcPr>
            <w:tcW w:w="4875" w:type="dxa"/>
            <w:vAlign w:val="center"/>
          </w:tcPr>
          <w:p w14:paraId="0CC43C1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71A05BE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2DEC4FA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2—2.【法律】《中华人民共和国行政许可法》第四十六条：法律、法规、规章规定实施行政许可应当听证的事项</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行政机关认为需要听证的其他涉及公共利益的重大行政许可事项，行政机关应当向社会公告，并举行听证。</w:t>
            </w:r>
          </w:p>
          <w:p w14:paraId="640D4C9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w:t>
            </w:r>
          </w:p>
          <w:p w14:paraId="1E4C19F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076542D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225" w:type="dxa"/>
            <w:vAlign w:val="center"/>
          </w:tcPr>
          <w:p w14:paraId="2C452A6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因不履行或不正确履行行政职责，有下列情形的，行政机关及相关工作人员应承担相应责任：    </w:t>
            </w:r>
          </w:p>
          <w:p w14:paraId="4D1B7B0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1.对符合条件的申请不予办理或不在法定期限内办理；    </w:t>
            </w:r>
          </w:p>
          <w:p w14:paraId="73EA9E2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2.对不符合许可条件的予以许可的；    </w:t>
            </w:r>
          </w:p>
          <w:p w14:paraId="67DA19E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3.未严格审查申报材料或弄虚作假审批、有失职行为，造成公路路产路权受到损害的；    </w:t>
            </w:r>
          </w:p>
          <w:p w14:paraId="0494332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4.不按照法定条件或者违反法定程序审核、审批，以及乱收费用，情节严重的；    </w:t>
            </w:r>
          </w:p>
          <w:p w14:paraId="4BF54B6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5.在审批过程中徇私舞弊、滥用职权、玩忽职守的；    </w:t>
            </w:r>
          </w:p>
          <w:p w14:paraId="504115E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6.利用职务上的便利，索取他人财物，为他人谋取利益的；    </w:t>
            </w:r>
          </w:p>
          <w:p w14:paraId="01444BD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7.除以上追责情形外，其他违反法律法规规章的行为依法追究相应责任。</w:t>
            </w:r>
          </w:p>
          <w:p w14:paraId="4DAAAA8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2D09DDD">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4075" w:type="dxa"/>
            <w:vAlign w:val="center"/>
          </w:tcPr>
          <w:p w14:paraId="3C86DBF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w:t>
            </w:r>
          </w:p>
          <w:p w14:paraId="513BA23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p>
          <w:p w14:paraId="521D753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3.同2。    </w:t>
            </w:r>
          </w:p>
          <w:p w14:paraId="3B0FFFB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    </w:t>
            </w:r>
          </w:p>
          <w:p w14:paraId="17CE0B4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     </w:t>
            </w:r>
          </w:p>
          <w:p w14:paraId="31D1AB4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    </w:t>
            </w:r>
          </w:p>
          <w:p w14:paraId="08AC6CA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709BAF8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43" w:type="dxa"/>
            <w:vAlign w:val="center"/>
          </w:tcPr>
          <w:p w14:paraId="1FACBFD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B3EC299"/>
    <w:p w14:paraId="244A2635"/>
    <w:p w14:paraId="41EF871B"/>
    <w:p w14:paraId="7DB5D28A"/>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37"/>
        <w:gridCol w:w="2050"/>
        <w:gridCol w:w="4550"/>
        <w:gridCol w:w="1875"/>
        <w:gridCol w:w="4075"/>
        <w:gridCol w:w="950"/>
        <w:gridCol w:w="843"/>
      </w:tblGrid>
      <w:tr w14:paraId="2A475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65ADE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9F4A8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287" w:type="dxa"/>
            <w:gridSpan w:val="5"/>
            <w:vAlign w:val="center"/>
          </w:tcPr>
          <w:p w14:paraId="43236F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0" w:type="dxa"/>
            <w:gridSpan w:val="5"/>
            <w:vAlign w:val="center"/>
          </w:tcPr>
          <w:p w14:paraId="428903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075068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0FC6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67FEB4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7221D1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80DD6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F95A8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830EA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59D9F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D9F88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37" w:type="dxa"/>
            <w:vAlign w:val="center"/>
          </w:tcPr>
          <w:p w14:paraId="623EC9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50" w:type="dxa"/>
            <w:vAlign w:val="center"/>
          </w:tcPr>
          <w:p w14:paraId="5DE6B4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638E2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550" w:type="dxa"/>
            <w:vAlign w:val="center"/>
          </w:tcPr>
          <w:p w14:paraId="223AF7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75" w:type="dxa"/>
            <w:vAlign w:val="center"/>
          </w:tcPr>
          <w:p w14:paraId="41C4C8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44C3F4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391F91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9A544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3B93259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0980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301" w:hRule="atLeast"/>
          <w:jc w:val="center"/>
        </w:trPr>
        <w:tc>
          <w:tcPr>
            <w:tcW w:w="406" w:type="dxa"/>
            <w:vAlign w:val="center"/>
          </w:tcPr>
          <w:p w14:paraId="1AD38BB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40</w:t>
            </w:r>
          </w:p>
        </w:tc>
        <w:tc>
          <w:tcPr>
            <w:tcW w:w="476" w:type="dxa"/>
            <w:vAlign w:val="center"/>
          </w:tcPr>
          <w:p w14:paraId="1097992C">
            <w:pPr>
              <w:widowControl/>
              <w:adjustRightInd w:val="0"/>
              <w:snapToGrid w:val="0"/>
              <w:jc w:val="center"/>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行政许可</w:t>
            </w:r>
          </w:p>
        </w:tc>
        <w:tc>
          <w:tcPr>
            <w:tcW w:w="550" w:type="dxa"/>
            <w:vAlign w:val="center"/>
          </w:tcPr>
          <w:p w14:paraId="2D8DD6DC">
            <w:pPr>
              <w:widowControl/>
              <w:adjustRightInd w:val="0"/>
              <w:snapToGrid w:val="0"/>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在公路增设或改造平面交叉道口审批</w:t>
            </w:r>
          </w:p>
        </w:tc>
        <w:tc>
          <w:tcPr>
            <w:tcW w:w="650" w:type="dxa"/>
          </w:tcPr>
          <w:p w14:paraId="5B5B593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065BFBD9">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百寿镇人民政府</w:t>
            </w:r>
          </w:p>
        </w:tc>
        <w:tc>
          <w:tcPr>
            <w:tcW w:w="933" w:type="dxa"/>
            <w:vAlign w:val="center"/>
          </w:tcPr>
          <w:p w14:paraId="7AF5019A">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百寿镇乡村建设综合服务中心</w:t>
            </w:r>
          </w:p>
        </w:tc>
        <w:tc>
          <w:tcPr>
            <w:tcW w:w="3237" w:type="dxa"/>
            <w:vAlign w:val="center"/>
          </w:tcPr>
          <w:p w14:paraId="57E533F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1.【法律】《中华人民共和国公路法》第五十五条： 在公路上增设平面交叉道口，必须按照国家有关规定经过批准，并按照国家规定的技术标准建设。</w:t>
            </w:r>
          </w:p>
          <w:p w14:paraId="30C4B17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2.【行政法规】《公路安全保护条例》（2011年国务院令第593号） 第二十七条： 进行下列涉路施工活动，建设单位应当向公路管理机构提出申请：（六）在公路上增设或者改造平面交叉道口。</w:t>
            </w:r>
          </w:p>
          <w:p w14:paraId="278CC7B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地方性法规】《广西壮族自治区实施〈中华人民共和国公路法〉办法》（2005年广西壮族自治区第十届人民代表大会常务委员会第十六次会议，通过2019年第三次修正）第十九条规定，依法应当经公路管理机构同意的作业，当事人必须按照国家的有关规定提交申请材料，公路管理机构按照下列权限审批：（一）涉及国道、省道的，由设区的市公路管理机构审批，报自治区公路管理机构备案；（二）涉及县道、乡道的，由县级公路管理机构审批，报设区的市公路管理机构备案；（三）涉及高速公路的，由自治区高速公路管理机构审批。</w:t>
            </w:r>
          </w:p>
          <w:p w14:paraId="3A46709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0F50B96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5.【规范性文件】《自治区党委编办关于</w:t>
            </w:r>
            <w:r>
              <w:rPr>
                <w:rFonts w:hint="eastAsia" w:eastAsia="仿宋_GB2312" w:cs="Times New Roman"/>
                <w:kern w:val="0"/>
                <w:sz w:val="20"/>
                <w:szCs w:val="20"/>
                <w:highlight w:val="none"/>
                <w:lang w:eastAsia="zh-CN"/>
              </w:rPr>
              <w:t>印发</w:t>
            </w:r>
            <w:r>
              <w:rPr>
                <w:rFonts w:hint="default" w:ascii="Times New Roman" w:hAnsi="Times New Roman" w:eastAsia="仿宋_GB2312" w:cs="Times New Roman"/>
                <w:kern w:val="0"/>
                <w:sz w:val="20"/>
                <w:szCs w:val="20"/>
                <w:highlight w:val="none"/>
              </w:rPr>
              <w:t>〈广西赋予乡镇（街道）部分县级管理权限清单（第一批）〉的通知》（桂编办发〔2019〕195号）《广西赋予乡镇（街道）部分县级管理权限清单（第一批）》第5项。</w:t>
            </w:r>
          </w:p>
        </w:tc>
        <w:tc>
          <w:tcPr>
            <w:tcW w:w="2050" w:type="dxa"/>
            <w:vAlign w:val="center"/>
          </w:tcPr>
          <w:p w14:paraId="219ED5A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1．受理责任：公示在公路增设或改造平面交叉道口审批依法应当提交的材料；一次性告知补正材料；依法受理或不予受理（不予受理应当告知理由）。</w:t>
            </w:r>
          </w:p>
          <w:p w14:paraId="00398E0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2.审查责任：材料审核（主要包括项目批准文件等法定材料）；提出审查意见。</w:t>
            </w:r>
          </w:p>
          <w:p w14:paraId="6AAFA76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3.决定责任：作出决定（不予行政许可的应当告知理由）；按时办结；</w:t>
            </w:r>
          </w:p>
          <w:p w14:paraId="70D9EFC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4.送达责任：制发送达许可证书；信息公开。</w:t>
            </w:r>
          </w:p>
          <w:p w14:paraId="7E823D6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5.事后监管责任：加强在公路增设或改造平面交叉道口审批的监督检查，保护公路路产路权免遭破坏。</w:t>
            </w:r>
          </w:p>
          <w:p w14:paraId="26A2047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46FB63E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30A2441">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w:t>
            </w:r>
            <w:r>
              <w:rPr>
                <w:rFonts w:hint="eastAsia" w:eastAsia="仿宋_GB2312" w:cs="Times New Roman"/>
                <w:kern w:val="0"/>
                <w:sz w:val="20"/>
                <w:szCs w:val="20"/>
                <w:highlight w:val="none"/>
                <w:lang w:val="en-US" w:eastAsia="zh-CN"/>
              </w:rPr>
              <w:t>百寿镇</w:t>
            </w:r>
            <w:r>
              <w:rPr>
                <w:rFonts w:hint="default" w:ascii="Times New Roman" w:hAnsi="Times New Roman" w:eastAsia="仿宋_GB2312" w:cs="Times New Roman"/>
                <w:kern w:val="0"/>
                <w:sz w:val="20"/>
                <w:szCs w:val="20"/>
                <w:highlight w:val="none"/>
              </w:rPr>
              <w:t>乡村建设综合服务中心）</w:t>
            </w:r>
          </w:p>
        </w:tc>
        <w:tc>
          <w:tcPr>
            <w:tcW w:w="4550" w:type="dxa"/>
            <w:vAlign w:val="center"/>
          </w:tcPr>
          <w:p w14:paraId="2E42117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5CCF681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10D558C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2—2.【法律】《中华人民共和国行政许可法》第四十六条：法律、法规、规章规定实施行政许可应当听证的事项</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行政机关认为需要听证的其他涉及公共利益的重大行政许可事项，行政机关应当向社会公告，并举行听证。</w:t>
            </w:r>
          </w:p>
          <w:p w14:paraId="6A75B23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w:t>
            </w:r>
          </w:p>
          <w:p w14:paraId="7348131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46E9B85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1875" w:type="dxa"/>
            <w:vAlign w:val="center"/>
          </w:tcPr>
          <w:p w14:paraId="61F80CE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59B5FA2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1.对符合条件的申请不予办理或不在法定期限内办理；</w:t>
            </w:r>
          </w:p>
          <w:p w14:paraId="3A3C8F1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2.对不符合许可条件的予以许可的；</w:t>
            </w:r>
          </w:p>
          <w:p w14:paraId="722AB38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3.未严格审查申报材料或弄虚作假审批、有失职行为，造成公路路产路权受到损害的；</w:t>
            </w:r>
          </w:p>
          <w:p w14:paraId="7121DF6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4.不按照法定条件或者违反法定程序审核、审批，以及乱收费用，情节严重的；</w:t>
            </w:r>
          </w:p>
          <w:p w14:paraId="5500EAC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5.在审批过程中徇私舞弊、滥用职权、玩忽职守的；</w:t>
            </w:r>
          </w:p>
          <w:p w14:paraId="65A8F39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6.利用职务上的便利，索取他人财物，为他人谋取利益的；</w:t>
            </w:r>
          </w:p>
          <w:p w14:paraId="06078A5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7.除以上追责情形外，其他违反法律法规规章的行为依法追究相应责任。</w:t>
            </w:r>
          </w:p>
          <w:p w14:paraId="59484D5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6FFF914">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4075" w:type="dxa"/>
            <w:vAlign w:val="center"/>
          </w:tcPr>
          <w:p w14:paraId="757A0E3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6E97F63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14:paraId="0667F63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3.同2。</w:t>
            </w:r>
          </w:p>
          <w:p w14:paraId="3DA0462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15E3B20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751D721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w:t>
            </w:r>
          </w:p>
          <w:p w14:paraId="285F8D4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2D13DFE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43" w:type="dxa"/>
          </w:tcPr>
          <w:p w14:paraId="2D638DC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A251C1C"/>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883"/>
        <w:gridCol w:w="1725"/>
        <w:gridCol w:w="2625"/>
        <w:gridCol w:w="2760"/>
        <w:gridCol w:w="6794"/>
        <w:gridCol w:w="950"/>
        <w:gridCol w:w="843"/>
      </w:tblGrid>
      <w:tr w14:paraId="7C1E0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F8843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BB4AC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33" w:type="dxa"/>
            <w:gridSpan w:val="5"/>
            <w:vAlign w:val="center"/>
          </w:tcPr>
          <w:p w14:paraId="1585A0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54" w:type="dxa"/>
            <w:gridSpan w:val="5"/>
            <w:vAlign w:val="center"/>
          </w:tcPr>
          <w:p w14:paraId="29AC35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3CA623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D3BB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9BE798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B450AC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FB7EA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EA764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55FE7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5FDCC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6ABD3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883" w:type="dxa"/>
            <w:vAlign w:val="center"/>
          </w:tcPr>
          <w:p w14:paraId="780B05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25" w:type="dxa"/>
            <w:vAlign w:val="center"/>
          </w:tcPr>
          <w:p w14:paraId="4CF180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1976F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625" w:type="dxa"/>
            <w:vAlign w:val="center"/>
          </w:tcPr>
          <w:p w14:paraId="7AFB3F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60" w:type="dxa"/>
            <w:vAlign w:val="center"/>
          </w:tcPr>
          <w:p w14:paraId="59C2C8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1968C8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6794" w:type="dxa"/>
            <w:vAlign w:val="center"/>
          </w:tcPr>
          <w:p w14:paraId="2EB6A4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5A883D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8F3BE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29CAB07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9AC4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86" w:hRule="atLeast"/>
          <w:jc w:val="center"/>
        </w:trPr>
        <w:tc>
          <w:tcPr>
            <w:tcW w:w="406" w:type="dxa"/>
            <w:vAlign w:val="center"/>
          </w:tcPr>
          <w:p w14:paraId="3CA5165A">
            <w:pPr>
              <w:keepNext w:val="0"/>
              <w:keepLines w:val="0"/>
              <w:pageBreakBefore w:val="0"/>
              <w:kinsoku/>
              <w:wordWrap/>
              <w:overflowPunct/>
              <w:topLinePunct w:val="0"/>
              <w:autoSpaceDE/>
              <w:autoSpaceDN/>
              <w:bidi w:val="0"/>
              <w:adjustRightInd w:val="0"/>
              <w:snapToGrid w:val="0"/>
              <w:spacing w:line="300" w:lineRule="exact"/>
              <w:ind w:firstLine="0" w:firstLineChars="0"/>
              <w:jc w:val="center"/>
              <w:textAlignment w:val="auto"/>
              <w:rPr>
                <w:rFonts w:hint="default"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41</w:t>
            </w:r>
          </w:p>
        </w:tc>
        <w:tc>
          <w:tcPr>
            <w:tcW w:w="476" w:type="dxa"/>
            <w:vAlign w:val="center"/>
          </w:tcPr>
          <w:p w14:paraId="113642BA">
            <w:pPr>
              <w:keepNext w:val="0"/>
              <w:keepLines w:val="0"/>
              <w:pageBreakBefore w:val="0"/>
              <w:widowControl/>
              <w:shd w:val="clear"/>
              <w:kinsoku/>
              <w:wordWrap/>
              <w:overflowPunct/>
              <w:topLinePunct w:val="0"/>
              <w:autoSpaceDE/>
              <w:autoSpaceDN/>
              <w:bidi w:val="0"/>
              <w:adjustRightInd w:val="0"/>
              <w:snapToGrid w:val="0"/>
              <w:spacing w:line="300" w:lineRule="exact"/>
              <w:ind w:firstLine="0" w:firstLineChars="0"/>
              <w:textAlignment w:val="auto"/>
              <w:rPr>
                <w:rFonts w:hint="eastAsia" w:ascii="仿宋_GB2312" w:hAnsi="Times New Roman" w:eastAsia="仿宋_GB2312"/>
                <w:kern w:val="0"/>
                <w:sz w:val="20"/>
                <w:szCs w:val="20"/>
                <w:highlight w:val="none"/>
              </w:rPr>
            </w:pPr>
            <w:r>
              <w:rPr>
                <w:rFonts w:hint="eastAsia" w:ascii="Times New Roman" w:hAnsi="Times New Roman" w:eastAsia="仿宋_GB2312"/>
                <w:color w:val="auto"/>
                <w:kern w:val="0"/>
                <w:sz w:val="20"/>
                <w:szCs w:val="20"/>
                <w:highlight w:val="none"/>
              </w:rPr>
              <w:t>行政检查</w:t>
            </w:r>
          </w:p>
        </w:tc>
        <w:tc>
          <w:tcPr>
            <w:tcW w:w="550" w:type="dxa"/>
            <w:vAlign w:val="center"/>
          </w:tcPr>
          <w:p w14:paraId="51768642">
            <w:pPr>
              <w:widowControl/>
              <w:shd w:val="clear"/>
              <w:adjustRightInd w:val="0"/>
              <w:snapToGrid w:val="0"/>
              <w:spacing w:line="300" w:lineRule="exact"/>
              <w:rPr>
                <w:rFonts w:hint="eastAsia" w:ascii="仿宋_GB2312" w:hAnsi="Times New Roman" w:eastAsia="仿宋_GB2312"/>
                <w:kern w:val="0"/>
                <w:sz w:val="20"/>
                <w:szCs w:val="20"/>
                <w:highlight w:val="none"/>
              </w:rPr>
            </w:pPr>
            <w:r>
              <w:rPr>
                <w:rFonts w:hint="eastAsia" w:ascii="Times New Roman" w:hAnsi="Times New Roman" w:eastAsia="仿宋_GB2312"/>
                <w:color w:val="auto"/>
                <w:kern w:val="0"/>
                <w:sz w:val="20"/>
                <w:szCs w:val="20"/>
                <w:highlight w:val="none"/>
              </w:rPr>
              <w:t>对草原保护、建设和利用情况的监督检查</w:t>
            </w:r>
          </w:p>
        </w:tc>
        <w:tc>
          <w:tcPr>
            <w:tcW w:w="650" w:type="dxa"/>
            <w:vAlign w:val="center"/>
          </w:tcPr>
          <w:p w14:paraId="2AB07F98">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0427B28E">
            <w:pPr>
              <w:widowControl/>
              <w:shd w:val="clear"/>
              <w:adjustRightInd w:val="0"/>
              <w:snapToGrid w:val="0"/>
              <w:spacing w:line="300" w:lineRule="exact"/>
              <w:rPr>
                <w:rFonts w:hint="eastAsia" w:eastAsia="仿宋_GB2312"/>
                <w:color w:val="auto"/>
                <w:kern w:val="0"/>
                <w:sz w:val="20"/>
                <w:szCs w:val="20"/>
                <w:highlight w:val="none"/>
                <w:lang w:val="en-US" w:eastAsia="zh-CN"/>
              </w:rPr>
            </w:pPr>
            <w:r>
              <w:rPr>
                <w:rFonts w:hint="eastAsia" w:eastAsia="仿宋_GB2312"/>
                <w:color w:val="auto"/>
                <w:kern w:val="0"/>
                <w:sz w:val="20"/>
                <w:szCs w:val="20"/>
                <w:highlight w:val="none"/>
                <w:lang w:val="en-US" w:eastAsia="zh-CN"/>
              </w:rPr>
              <w:t>百寿镇镇人民政府</w:t>
            </w:r>
          </w:p>
        </w:tc>
        <w:tc>
          <w:tcPr>
            <w:tcW w:w="933" w:type="dxa"/>
            <w:vAlign w:val="center"/>
          </w:tcPr>
          <w:p w14:paraId="1992707A">
            <w:pPr>
              <w:widowControl/>
              <w:shd w:val="clear"/>
              <w:adjustRightInd w:val="0"/>
              <w:snapToGrid w:val="0"/>
              <w:spacing w:line="300" w:lineRule="exact"/>
              <w:jc w:val="center"/>
              <w:rPr>
                <w:rFonts w:hint="eastAsia" w:eastAsia="仿宋_GB2312"/>
                <w:color w:val="auto"/>
                <w:kern w:val="0"/>
                <w:sz w:val="20"/>
                <w:szCs w:val="20"/>
                <w:highlight w:val="none"/>
                <w:lang w:val="en-US" w:eastAsia="zh-CN"/>
              </w:rPr>
            </w:pP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镇农业农村综合服务中心</w:t>
            </w:r>
          </w:p>
        </w:tc>
        <w:tc>
          <w:tcPr>
            <w:tcW w:w="1883" w:type="dxa"/>
            <w:vAlign w:val="center"/>
          </w:tcPr>
          <w:p w14:paraId="7EA86D95">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【法律】《中华人民共和国草原法》第八</w:t>
            </w:r>
            <w:r>
              <w:rPr>
                <w:rFonts w:hint="eastAsia" w:ascii="Times New Roman" w:hAnsi="Times New Roman" w:eastAsia="仿宋_GB2312"/>
                <w:color w:val="auto"/>
                <w:kern w:val="0"/>
                <w:sz w:val="20"/>
                <w:szCs w:val="20"/>
                <w:highlight w:val="none"/>
                <w:lang w:eastAsia="zh-CN"/>
              </w:rPr>
              <w:t>条：</w:t>
            </w:r>
            <w:r>
              <w:rPr>
                <w:rFonts w:hint="eastAsia" w:ascii="Times New Roman" w:hAnsi="Times New Roman" w:eastAsia="仿宋_GB2312"/>
                <w:color w:val="auto"/>
                <w:kern w:val="0"/>
                <w:sz w:val="20"/>
                <w:szCs w:val="20"/>
                <w:highlight w:val="none"/>
              </w:rPr>
              <w:t>国务院草原行政主管部门主管全国草原监督管理工作。县级以上地方人民政府草原行政主管部门主管本行政区域内草原监督管理工作。乡（镇）人民政府应当加强对本行政区域内草原保护、建设和利用情况的监督检查，根据需要可以设专职或者兼职人员负责具体监督检查工作。</w:t>
            </w:r>
          </w:p>
        </w:tc>
        <w:tc>
          <w:tcPr>
            <w:tcW w:w="1725" w:type="dxa"/>
            <w:vAlign w:val="center"/>
          </w:tcPr>
          <w:p w14:paraId="754728DC">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1.选案责任：根据随机抽查细则、举报或上级安排以及日常管理中发现的问题确定检查对象。一般需提前1—2日通知被检查对象。</w:t>
            </w:r>
          </w:p>
          <w:p w14:paraId="1DD0E1AF">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2.检查责任：（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p>
          <w:p w14:paraId="797693EC">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3.处理责任：核实检查报告及其他有关材料，对违法行为做出处理决定。</w:t>
            </w:r>
          </w:p>
          <w:p w14:paraId="1B263A2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4.其他法律法规规章文件规定应履行的责任。</w:t>
            </w:r>
          </w:p>
          <w:p w14:paraId="563EE5A5">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p>
          <w:p w14:paraId="45D4F8FB">
            <w:pPr>
              <w:widowControl/>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olor w:val="auto"/>
                <w:kern w:val="0"/>
                <w:sz w:val="20"/>
                <w:szCs w:val="20"/>
                <w:highlight w:val="none"/>
                <w:lang w:eastAsia="zh-CN"/>
              </w:rPr>
              <w:t>（</w:t>
            </w:r>
            <w:r>
              <w:rPr>
                <w:rFonts w:hint="eastAsia" w:eastAsia="仿宋_GB2312" w:cs="Times New Roman"/>
                <w:kern w:val="0"/>
                <w:sz w:val="20"/>
                <w:szCs w:val="20"/>
                <w:highlight w:val="none"/>
                <w:lang w:val="en-US" w:eastAsia="zh-CN"/>
              </w:rPr>
              <w:t>百寿</w:t>
            </w:r>
            <w:r>
              <w:rPr>
                <w:rFonts w:hint="default" w:ascii="Times New Roman" w:hAnsi="Times New Roman" w:eastAsia="仿宋_GB2312" w:cs="Times New Roman"/>
                <w:kern w:val="0"/>
                <w:sz w:val="20"/>
                <w:szCs w:val="20"/>
                <w:highlight w:val="none"/>
                <w:lang w:val="en-US" w:eastAsia="zh-CN"/>
              </w:rPr>
              <w:t>镇农业农村综合服务中心</w:t>
            </w:r>
            <w:r>
              <w:rPr>
                <w:rFonts w:hint="eastAsia" w:eastAsia="仿宋_GB2312"/>
                <w:color w:val="auto"/>
                <w:kern w:val="0"/>
                <w:sz w:val="20"/>
                <w:szCs w:val="20"/>
                <w:highlight w:val="none"/>
                <w:lang w:eastAsia="zh-CN"/>
              </w:rPr>
              <w:t>）</w:t>
            </w:r>
          </w:p>
        </w:tc>
        <w:tc>
          <w:tcPr>
            <w:tcW w:w="2625" w:type="dxa"/>
            <w:vAlign w:val="center"/>
          </w:tcPr>
          <w:p w14:paraId="66582444">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p>
          <w:p w14:paraId="3EF95369">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2.【法律】《中华人民共和国行政处罚法》第三十七条第一款：行政机关在调查或者进行检查时，执法人员不得少于两人，并应当向当事人或者有关人员出示证件。当事人或者有关人员应当如实回答询问，并协助调查或者检查，不得阻挠。询问或者检查应当制作笔录。</w:t>
            </w:r>
          </w:p>
          <w:p w14:paraId="1A099D50">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2760" w:type="dxa"/>
            <w:vAlign w:val="center"/>
          </w:tcPr>
          <w:p w14:paraId="55369D52">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因不履行或不正确履行行政职责，有下列情形的，行政机关及相关工作人员应承担相应责任：</w:t>
            </w:r>
          </w:p>
          <w:p w14:paraId="0DC7BA71">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1.在实施监督检查时，索取或者收受他人钱物、谋取不正当利益的；</w:t>
            </w:r>
          </w:p>
          <w:p w14:paraId="5929B2B9">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2.违法实施行监督检查，给当事人的合法权益造成损害的；</w:t>
            </w:r>
          </w:p>
          <w:p w14:paraId="56A77211">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3.在实施行政检查中，滥用职权、玩忽职守、徇私舞弊的；</w:t>
            </w:r>
          </w:p>
          <w:p w14:paraId="582BD246">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4.在检查中对已发现的违法行为不给予制止或纠正，造成影响的；</w:t>
            </w:r>
          </w:p>
          <w:p w14:paraId="46F84D5F">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5.将行政检查所需经费违法进行摊派或向被检查人收取检查费的；</w:t>
            </w:r>
          </w:p>
          <w:p w14:paraId="45AF6C51">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6.违反法定程序实施行政检查的；</w:t>
            </w:r>
          </w:p>
          <w:p w14:paraId="2B2FF444">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7.超出规定时间、次数或范围实施行政检查的；</w:t>
            </w:r>
          </w:p>
          <w:p w14:paraId="620B3E17">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8.违反规定对同一被检查人开展重复检查的；</w:t>
            </w:r>
          </w:p>
          <w:p w14:paraId="6C5FF2FE">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9.其他违反法律法规等规定的行为。</w:t>
            </w:r>
          </w:p>
          <w:p w14:paraId="242C9477">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p>
          <w:p w14:paraId="655C745B">
            <w:pPr>
              <w:shd w:val="clear"/>
              <w:adjustRightInd w:val="0"/>
              <w:snapToGrid w:val="0"/>
              <w:spacing w:line="28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百寿</w:t>
            </w:r>
            <w:r>
              <w:rPr>
                <w:rFonts w:hint="eastAsia" w:ascii="Times New Roman" w:hAnsi="Times New Roman" w:eastAsia="仿宋_GB2312" w:cs="Times New Roman"/>
                <w:kern w:val="0"/>
                <w:sz w:val="20"/>
                <w:szCs w:val="20"/>
                <w:highlight w:val="none"/>
                <w:lang w:val="en-US" w:eastAsia="zh-CN"/>
              </w:rPr>
              <w:t>镇纪律检查委员会</w:t>
            </w:r>
            <w:r>
              <w:rPr>
                <w:rFonts w:hint="eastAsia" w:ascii="Times New Roman" w:hAnsi="Times New Roman" w:eastAsia="仿宋_GB2312" w:cs="Times New Roman"/>
                <w:kern w:val="0"/>
                <w:sz w:val="20"/>
                <w:szCs w:val="20"/>
                <w:highlight w:val="none"/>
                <w:lang w:eastAsia="zh-CN"/>
              </w:rPr>
              <w:t>）</w:t>
            </w:r>
          </w:p>
        </w:tc>
        <w:tc>
          <w:tcPr>
            <w:tcW w:w="6794" w:type="dxa"/>
            <w:vAlign w:val="center"/>
          </w:tcPr>
          <w:p w14:paraId="4B6809C7">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【法律】《行政处罚法》（中华人民共和国主席令第七十号</w:t>
            </w:r>
            <w:r>
              <w:rPr>
                <w:rFonts w:hint="eastAsia" w:ascii="Times New Roman" w:hAnsi="Times New Roman" w:eastAsia="仿宋_GB2312"/>
                <w:color w:val="auto"/>
                <w:kern w:val="0"/>
                <w:sz w:val="20"/>
                <w:szCs w:val="20"/>
                <w:highlight w:val="none"/>
                <w:lang w:eastAsia="zh-CN"/>
              </w:rPr>
              <w:t>，</w:t>
            </w:r>
            <w:r>
              <w:rPr>
                <w:rFonts w:hint="eastAsia" w:ascii="Times New Roman" w:hAnsi="Times New Roman" w:eastAsia="仿宋_GB2312"/>
                <w:color w:val="auto"/>
                <w:kern w:val="0"/>
                <w:sz w:val="20"/>
                <w:szCs w:val="20"/>
                <w:highlight w:val="none"/>
              </w:rPr>
              <w:t>由中华人民共和国第十三届全国人民代表大会常务委员会第二十五次会议于2021年1月22日修订通过，现予公布，自2021年7月15日起施行。）</w:t>
            </w:r>
          </w:p>
          <w:p w14:paraId="07B7534A">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第七十六条　行政机关实施行政处罚，有下列情形之一，由上级行政机关或者有关机关责令改正，对直接负责的主管人员和其他直接责任人员依法给予处分：</w:t>
            </w:r>
          </w:p>
          <w:p w14:paraId="1222D49F">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（一）没有法定的行政处罚依据的；</w:t>
            </w:r>
          </w:p>
          <w:p w14:paraId="7457DDF7">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（二）擅自改变行政处罚种类、幅度的；</w:t>
            </w:r>
          </w:p>
          <w:p w14:paraId="07509164">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（三）违反法定的行政处罚程序的；</w:t>
            </w:r>
          </w:p>
          <w:p w14:paraId="4A67CFAC">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（四）违反本法第二十条关于委托处罚的规定的；</w:t>
            </w:r>
          </w:p>
          <w:p w14:paraId="37E47C59">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（五）执法人员未取得执法证件的。</w:t>
            </w:r>
          </w:p>
          <w:p w14:paraId="42BE2A6B">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 行政机关对符合立案标准的案件不及时立案的，依照前款规定予以处理。</w:t>
            </w:r>
          </w:p>
          <w:p w14:paraId="0A2CA935">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 </w:t>
            </w:r>
          </w:p>
          <w:p w14:paraId="4DD6A7D6">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2BFF0AC0">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160185C3">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12164757">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执法人员利用职务上的便利，索取或者收受他人财物、将收缴罚款据为己有，构成犯罪的，依法追究刑事责任；情节轻微不构成犯罪的，依法给予处分。</w:t>
            </w:r>
          </w:p>
          <w:p w14:paraId="67C850AD">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第八十条　行政机关使用或者损毁查封、扣押的财物，对当事人造成损失的，应当依法予以赔偿，对直接负责的主管人员和其他直接责任人员依法给予处分。</w:t>
            </w:r>
          </w:p>
          <w:p w14:paraId="3A06BD2B">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63C7656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1E57B6D3">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950" w:type="dxa"/>
            <w:vAlign w:val="center"/>
          </w:tcPr>
          <w:p w14:paraId="56E75951">
            <w:pPr>
              <w:widowControl/>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法律法规规定的免责情形及市委、市人民政府有关文件中明确的免责情形。</w:t>
            </w:r>
          </w:p>
        </w:tc>
        <w:tc>
          <w:tcPr>
            <w:tcW w:w="843" w:type="dxa"/>
            <w:vAlign w:val="center"/>
          </w:tcPr>
          <w:p w14:paraId="2ED5F629">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tc>
      </w:tr>
    </w:tbl>
    <w:p w14:paraId="0E15E26A"/>
    <w:p w14:paraId="4982B0C6">
      <w:pPr>
        <w:adjustRightInd w:val="0"/>
        <w:snapToGrid w:val="0"/>
        <w:spacing w:line="20" w:lineRule="exact"/>
        <w:rPr>
          <w:rFonts w:hint="default" w:ascii="Times New Roman" w:hAnsi="Times New Roman" w:eastAsia="方正小标宋_GBK" w:cs="Times New Roman"/>
          <w:sz w:val="44"/>
          <w:szCs w:val="44"/>
        </w:rPr>
      </w:pPr>
    </w:p>
    <w:sectPr>
      <w:headerReference r:id="rId3" w:type="default"/>
      <w:footerReference r:id="rId4" w:type="default"/>
      <w:footerReference r:id="rId5"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6202A">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2EB46">
    <w:pPr>
      <w:pStyle w:val="2"/>
      <w:framePr w:wrap="around" w:vAnchor="text" w:hAnchor="margin" w:xAlign="center" w:y="1"/>
      <w:rPr>
        <w:rStyle w:val="6"/>
      </w:rPr>
    </w:pPr>
    <w:r>
      <w:fldChar w:fldCharType="begin"/>
    </w:r>
    <w:r>
      <w:rPr>
        <w:rStyle w:val="6"/>
      </w:rPr>
      <w:instrText xml:space="preserve">PAGE  </w:instrText>
    </w:r>
    <w:r>
      <w:fldChar w:fldCharType="end"/>
    </w:r>
  </w:p>
  <w:p w14:paraId="547B106D">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D466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3774A"/>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1A7294A"/>
    <w:rsid w:val="021C2858"/>
    <w:rsid w:val="024033F0"/>
    <w:rsid w:val="02611FFF"/>
    <w:rsid w:val="029E7CF4"/>
    <w:rsid w:val="046D5BE8"/>
    <w:rsid w:val="049F4759"/>
    <w:rsid w:val="04DE1281"/>
    <w:rsid w:val="05960C1E"/>
    <w:rsid w:val="05ED3831"/>
    <w:rsid w:val="08FB6F71"/>
    <w:rsid w:val="09734B94"/>
    <w:rsid w:val="09B9576E"/>
    <w:rsid w:val="09D45935"/>
    <w:rsid w:val="0CC939DF"/>
    <w:rsid w:val="0CE96E2B"/>
    <w:rsid w:val="0D7E5D0B"/>
    <w:rsid w:val="0EA45892"/>
    <w:rsid w:val="10A47105"/>
    <w:rsid w:val="11510D3B"/>
    <w:rsid w:val="12423FE3"/>
    <w:rsid w:val="15114DFC"/>
    <w:rsid w:val="17EC5BA0"/>
    <w:rsid w:val="181F5E92"/>
    <w:rsid w:val="185C5B9E"/>
    <w:rsid w:val="1A2D0B9A"/>
    <w:rsid w:val="1A2E35DE"/>
    <w:rsid w:val="1A660C6E"/>
    <w:rsid w:val="1CBE514B"/>
    <w:rsid w:val="1F78577B"/>
    <w:rsid w:val="213F5933"/>
    <w:rsid w:val="21CE327E"/>
    <w:rsid w:val="22777497"/>
    <w:rsid w:val="239311D8"/>
    <w:rsid w:val="2FDE310B"/>
    <w:rsid w:val="31117A65"/>
    <w:rsid w:val="31D60F8C"/>
    <w:rsid w:val="36304799"/>
    <w:rsid w:val="3897206C"/>
    <w:rsid w:val="3F0E1B49"/>
    <w:rsid w:val="42695476"/>
    <w:rsid w:val="42B1307B"/>
    <w:rsid w:val="43252179"/>
    <w:rsid w:val="44047985"/>
    <w:rsid w:val="44293C48"/>
    <w:rsid w:val="44B3641C"/>
    <w:rsid w:val="4542741E"/>
    <w:rsid w:val="46D05324"/>
    <w:rsid w:val="481E2B26"/>
    <w:rsid w:val="4825361B"/>
    <w:rsid w:val="4A673DF3"/>
    <w:rsid w:val="4D2E3251"/>
    <w:rsid w:val="4EEC0A30"/>
    <w:rsid w:val="500127B4"/>
    <w:rsid w:val="522257E7"/>
    <w:rsid w:val="53DE4469"/>
    <w:rsid w:val="541076EA"/>
    <w:rsid w:val="564F659A"/>
    <w:rsid w:val="56D21F5B"/>
    <w:rsid w:val="58714BAD"/>
    <w:rsid w:val="59BA331C"/>
    <w:rsid w:val="5A0728B5"/>
    <w:rsid w:val="5B67780C"/>
    <w:rsid w:val="5BC60911"/>
    <w:rsid w:val="5C605B42"/>
    <w:rsid w:val="5F0D5900"/>
    <w:rsid w:val="60674AF3"/>
    <w:rsid w:val="606E1521"/>
    <w:rsid w:val="63FA102A"/>
    <w:rsid w:val="64DD1FA3"/>
    <w:rsid w:val="66C04989"/>
    <w:rsid w:val="67464D59"/>
    <w:rsid w:val="69D929E0"/>
    <w:rsid w:val="69DE0E2C"/>
    <w:rsid w:val="6AE81A73"/>
    <w:rsid w:val="6B033098"/>
    <w:rsid w:val="6DF30E17"/>
    <w:rsid w:val="6E4F0CE1"/>
    <w:rsid w:val="6FE03087"/>
    <w:rsid w:val="7079273B"/>
    <w:rsid w:val="70A215D0"/>
    <w:rsid w:val="71707189"/>
    <w:rsid w:val="717F6301"/>
    <w:rsid w:val="72373FF2"/>
    <w:rsid w:val="745B25E9"/>
    <w:rsid w:val="747C3DCB"/>
    <w:rsid w:val="75015C9D"/>
    <w:rsid w:val="759D05FB"/>
    <w:rsid w:val="75CD2B14"/>
    <w:rsid w:val="76342770"/>
    <w:rsid w:val="773550B4"/>
    <w:rsid w:val="79CC4891"/>
    <w:rsid w:val="79E303B1"/>
    <w:rsid w:val="7AE56FC4"/>
    <w:rsid w:val="7B610EB2"/>
    <w:rsid w:val="7B9C1394"/>
    <w:rsid w:val="7C0155B9"/>
    <w:rsid w:val="7F811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font21"/>
    <w:qFormat/>
    <w:uiPriority w:val="0"/>
    <w:rPr>
      <w:rFonts w:hint="eastAsia" w:ascii="宋体" w:hAnsi="宋体" w:eastAsia="宋体"/>
      <w:color w:val="000000"/>
      <w:sz w:val="20"/>
      <w:szCs w:val="20"/>
      <w:u w:val="none"/>
    </w:rPr>
  </w:style>
  <w:style w:type="character" w:customStyle="1" w:styleId="8">
    <w:name w:val="font61"/>
    <w:qFormat/>
    <w:uiPriority w:val="0"/>
    <w:rPr>
      <w:rFonts w:hint="default" w:ascii="Times New Roman" w:hAnsi="Times New Roman" w:cs="Times New Roman"/>
      <w:color w:val="000000"/>
      <w:sz w:val="20"/>
      <w:szCs w:val="20"/>
      <w:u w:val="none"/>
    </w:rPr>
  </w:style>
  <w:style w:type="character" w:customStyle="1" w:styleId="9">
    <w:name w:val="font51"/>
    <w:qFormat/>
    <w:uiPriority w:val="0"/>
    <w:rPr>
      <w:rFonts w:hint="eastAsia" w:ascii="宋体" w:hAnsi="宋体" w:eastAsia="宋体"/>
      <w:color w:val="000000"/>
      <w:sz w:val="20"/>
      <w:szCs w:val="20"/>
      <w:u w:val="none"/>
    </w:rPr>
  </w:style>
  <w:style w:type="character" w:customStyle="1" w:styleId="10">
    <w:name w:val="font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42</Pages>
  <Words>39788</Words>
  <Characters>40693</Characters>
  <Lines>1</Lines>
  <Paragraphs>1</Paragraphs>
  <TotalTime>2</TotalTime>
  <ScaleCrop>false</ScaleCrop>
  <LinksUpToDate>false</LinksUpToDate>
  <CharactersWithSpaces>41084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dcterms:modified xsi:type="dcterms:W3CDTF">2025-02-28T08:40:38Z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eyJoZGlkIjoiYjI0YTdhNDdiNmJjODcxNWQwMGMyMWVkZDRiMjFmNTciLCJ1c2VySWQiOiIxMjgyNTcxNDYwIn0=</vt:lpwstr>
  </property>
  <property fmtid="{D5CDD505-2E9C-101B-9397-08002B2CF9AE}" pid="4" name="ICV">
    <vt:lpwstr>6878A182D3754B7594E456A4709E92FF_12</vt:lpwstr>
  </property>
</Properties>
</file>