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ascii="黑体" w:hAnsi="黑体" w:eastAsia="黑体"/>
          <w:sz w:val="32"/>
          <w:szCs w:val="32"/>
        </w:rPr>
      </w:pPr>
      <w:r>
        <w:rPr>
          <w:rFonts w:hint="eastAsia" w:ascii="黑体" w:hAnsi="黑体" w:eastAsia="黑体"/>
          <w:sz w:val="32"/>
          <w:szCs w:val="32"/>
        </w:rPr>
        <w:t>附件1</w:t>
      </w:r>
    </w:p>
    <w:p>
      <w:pPr>
        <w:adjustRightInd w:val="0"/>
        <w:snapToGrid w:val="0"/>
        <w:spacing w:line="520" w:lineRule="exact"/>
        <w:jc w:val="center"/>
        <w:rPr>
          <w:rFonts w:ascii="方正小标宋_GBK" w:eastAsia="方正小标宋_GBK"/>
          <w:sz w:val="44"/>
          <w:szCs w:val="44"/>
        </w:rPr>
      </w:pPr>
      <w:r>
        <w:rPr>
          <w:rFonts w:hint="eastAsia" w:ascii="方正小标宋_GBK" w:eastAsia="方正小标宋_GBK"/>
          <w:sz w:val="44"/>
          <w:szCs w:val="44"/>
          <w:lang w:eastAsia="zh-CN"/>
        </w:rPr>
        <w:t>永福县委统战部</w:t>
      </w:r>
      <w:r>
        <w:rPr>
          <w:rFonts w:hint="eastAsia" w:ascii="方正小标宋_GBK" w:eastAsia="方正小标宋_GBK"/>
          <w:color w:val="000000" w:themeColor="text1"/>
          <w:sz w:val="44"/>
          <w:szCs w:val="44"/>
          <w:lang w:val="en-US" w:eastAsia="zh-CN"/>
          <w14:textFill>
            <w14:solidFill>
              <w14:schemeClr w14:val="tx1"/>
            </w14:solidFill>
          </w14:textFill>
        </w:rPr>
        <w:t>(侨务工作)</w:t>
      </w:r>
      <w:r>
        <w:rPr>
          <w:rFonts w:hint="eastAsia" w:ascii="方正小标宋_GBK" w:eastAsia="方正小标宋_GBK"/>
          <w:color w:val="000000" w:themeColor="text1"/>
          <w:sz w:val="44"/>
          <w:szCs w:val="44"/>
          <w14:textFill>
            <w14:solidFill>
              <w14:schemeClr w14:val="tx1"/>
            </w14:solidFill>
          </w14:textFill>
        </w:rPr>
        <w:t>权责</w:t>
      </w:r>
      <w:r>
        <w:rPr>
          <w:rFonts w:hint="eastAsia" w:ascii="方正小标宋_GBK" w:eastAsia="方正小标宋_GBK"/>
          <w:sz w:val="44"/>
          <w:szCs w:val="44"/>
        </w:rPr>
        <w:t>清单</w:t>
      </w:r>
      <w:r>
        <w:rPr>
          <w:rFonts w:hint="eastAsia" w:ascii="方正小标宋_GBK" w:eastAsia="方正小标宋_GBK"/>
          <w:sz w:val="44"/>
          <w:szCs w:val="44"/>
          <w:lang w:eastAsia="zh-CN"/>
        </w:rPr>
        <w:t>（征求意见稿）</w:t>
      </w:r>
    </w:p>
    <w:tbl>
      <w:tblPr>
        <w:tblStyle w:val="5"/>
        <w:tblW w:w="19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219"/>
        <w:gridCol w:w="266"/>
        <w:gridCol w:w="361"/>
        <w:gridCol w:w="359"/>
        <w:gridCol w:w="510"/>
        <w:gridCol w:w="598"/>
        <w:gridCol w:w="4225"/>
        <w:gridCol w:w="1653"/>
        <w:gridCol w:w="4861"/>
        <w:gridCol w:w="2535"/>
        <w:gridCol w:w="3219"/>
        <w:gridCol w:w="488"/>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326" w:hRule="atLeast"/>
          <w:tblHeader/>
          <w:jc w:val="center"/>
        </w:trPr>
        <w:tc>
          <w:tcPr>
            <w:tcW w:w="219"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26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05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275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4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845" w:hRule="atLeast"/>
          <w:tblHeader/>
          <w:jc w:val="center"/>
        </w:trPr>
        <w:tc>
          <w:tcPr>
            <w:tcW w:w="219"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26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35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9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22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5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21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4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494" w:hRule="atLeast"/>
          <w:jc w:val="center"/>
        </w:trPr>
        <w:tc>
          <w:tcPr>
            <w:tcW w:w="219" w:type="dxa"/>
            <w:vAlign w:val="center"/>
          </w:tcPr>
          <w:p>
            <w:pPr>
              <w:adjustRightInd w:val="0"/>
              <w:snapToGrid w:val="0"/>
              <w:spacing w:line="300" w:lineRule="exact"/>
              <w:jc w:val="both"/>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w:t>
            </w:r>
          </w:p>
        </w:tc>
        <w:tc>
          <w:tcPr>
            <w:tcW w:w="266" w:type="dxa"/>
            <w:vAlign w:val="center"/>
          </w:tcPr>
          <w:p>
            <w:pPr>
              <w:widowControl/>
              <w:adjustRightInd w:val="0"/>
              <w:snapToGrid w:val="0"/>
              <w:spacing w:line="296" w:lineRule="exact"/>
              <w:jc w:val="center"/>
              <w:rPr>
                <w:rFonts w:hint="eastAsia" w:ascii="仿宋" w:hAnsi="仿宋" w:eastAsia="仿宋" w:cs="仿宋"/>
                <w:kern w:val="0"/>
                <w:sz w:val="21"/>
                <w:szCs w:val="21"/>
              </w:rPr>
            </w:pPr>
            <w:r>
              <w:rPr>
                <w:rFonts w:hint="eastAsia" w:ascii="仿宋" w:hAnsi="仿宋" w:eastAsia="仿宋" w:cs="仿宋"/>
                <w:snapToGrid w:val="0"/>
                <w:color w:val="000000"/>
                <w:sz w:val="21"/>
                <w:szCs w:val="21"/>
              </w:rPr>
              <w:t>行政确认</w:t>
            </w:r>
          </w:p>
        </w:tc>
        <w:tc>
          <w:tcPr>
            <w:tcW w:w="361" w:type="dxa"/>
            <w:vAlign w:val="center"/>
          </w:tcPr>
          <w:p>
            <w:pPr>
              <w:widowControl/>
              <w:adjustRightInd w:val="0"/>
              <w:snapToGrid w:val="0"/>
              <w:spacing w:line="296" w:lineRule="exact"/>
              <w:rPr>
                <w:rFonts w:hint="eastAsia" w:ascii="仿宋" w:hAnsi="仿宋" w:eastAsia="仿宋" w:cs="仿宋"/>
                <w:kern w:val="0"/>
                <w:sz w:val="21"/>
                <w:szCs w:val="21"/>
              </w:rPr>
            </w:pPr>
            <w:r>
              <w:rPr>
                <w:rFonts w:hint="eastAsia" w:ascii="仿宋" w:hAnsi="仿宋" w:eastAsia="仿宋" w:cs="仿宋"/>
                <w:snapToGrid w:val="0"/>
                <w:color w:val="000000"/>
                <w:sz w:val="21"/>
                <w:szCs w:val="21"/>
              </w:rPr>
              <w:t>归侨、侨眷身份认定</w:t>
            </w:r>
          </w:p>
        </w:tc>
        <w:tc>
          <w:tcPr>
            <w:tcW w:w="359" w:type="dxa"/>
            <w:vAlign w:val="center"/>
          </w:tcPr>
          <w:p>
            <w:pPr>
              <w:widowControl/>
              <w:adjustRightInd w:val="0"/>
              <w:snapToGrid w:val="0"/>
              <w:spacing w:line="296" w:lineRule="exact"/>
              <w:rPr>
                <w:rFonts w:hint="eastAsia" w:ascii="仿宋" w:hAnsi="仿宋" w:eastAsia="仿宋" w:cs="仿宋"/>
                <w:kern w:val="0"/>
                <w:sz w:val="21"/>
                <w:szCs w:val="21"/>
              </w:rPr>
            </w:pPr>
          </w:p>
        </w:tc>
        <w:tc>
          <w:tcPr>
            <w:tcW w:w="510" w:type="dxa"/>
            <w:vAlign w:val="center"/>
          </w:tcPr>
          <w:p>
            <w:pPr>
              <w:adjustRightInd w:val="0"/>
              <w:snapToGrid w:val="0"/>
              <w:spacing w:line="30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永福县委统战部</w:t>
            </w:r>
          </w:p>
        </w:tc>
        <w:tc>
          <w:tcPr>
            <w:tcW w:w="598" w:type="dxa"/>
            <w:vAlign w:val="center"/>
          </w:tcPr>
          <w:p>
            <w:pPr>
              <w:adjustRightInd w:val="0"/>
              <w:snapToGrid w:val="0"/>
              <w:spacing w:line="300" w:lineRule="exact"/>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永福县委统战部综合股</w:t>
            </w:r>
          </w:p>
        </w:tc>
        <w:tc>
          <w:tcPr>
            <w:tcW w:w="4225" w:type="dxa"/>
            <w:vAlign w:val="center"/>
          </w:tcPr>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1.【行政法规】《中华人民共和国归侨侨眷权益保护法实施办法》（2004年国务院令第410号）第二条：归侨、侨眷的身份，由其常住户口所在地的县级以上地方人民政府负责侨务工作的机构根据本人申请审核认定。</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与华侨、归侨有长期扶养关系的亲属申请认定侨眷身份的，应当提供由公证机构出具的扶养证明。</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snapToGrid w:val="0"/>
                <w:color w:val="000000"/>
                <w:sz w:val="21"/>
                <w:szCs w:val="21"/>
              </w:rPr>
              <w:t>2.【地方性法规】《广西壮族自治区实施〈中华人民共和国归侨侨眷权益保护法〉办法》（1994年自治区第八届人大常委会第七次会议通过，2005年自治区人大常委会公告十届第77号修订）第三条第一款：归侨、侨眷的身份，由其常住户口所在地的县级以上人民政府负责侨务工作的机构根据本人申请，并按照法律法规的有关规定进行审核认定。</w:t>
            </w:r>
          </w:p>
        </w:tc>
        <w:tc>
          <w:tcPr>
            <w:tcW w:w="1653" w:type="dxa"/>
            <w:vAlign w:val="center"/>
          </w:tcPr>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1.受理责任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：公示应当提交的材料；一次性告知补正材料；依法受理或不予受理（不予受理应当告知理由）。</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2.审查责任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：审查申请材料，进行调查核实。</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3.决定责任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：对申请人作出认定或不予认定决定；不予认定的，应当说明理由。</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4.送达责任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：出具归侨侨眷身份证明，通知申请人领取。</w:t>
            </w:r>
          </w:p>
          <w:p>
            <w:p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5.其他法律法规规章文件规定应履行的责任。</w:t>
            </w:r>
          </w:p>
        </w:tc>
        <w:tc>
          <w:tcPr>
            <w:tcW w:w="4861" w:type="dxa"/>
            <w:vAlign w:val="center"/>
          </w:tcPr>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地方性法规】《广西壮族自治区实施〈中华人民共和国归侨侨眷权益保护法〉办法》（1994年自治区第八届人大常委会第七次会议通过，2005年自治区人大常委会公告十届第77号修订）第三条：归侨、侨眷的身份，由其常住户口所在地的县级以上人民政府负责侨务工作的机构根据本人申请，并按照法律法规的有关规定进行审核认定。</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规范性文件】《自治区外侨办关于调整侨务“一事通办”事项“八统一”标准的通知》要求，由申请人提供身份证、户口本、证明归侨身份相关材料、申请人亲属户口本、申请人亲属身份证、申请人与华侨归侨关系证明、申请人与华侨归侨存在扶养关系证明以及其他证明材料等，向其常住户口所在地的县级以上人民政府负责侨务工作的机构提出申请，由侨务部门对材料进行审查。</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3.【规范性文件】《自治区外侨办关于调整侨务“一事通办”事项“八统一”标准的通知》要求，受理申请的侨务部门应当在5个工作日内完成申请审核，并作出认定或不予认定决定。不予认定的，应当说明理由。</w:t>
            </w:r>
          </w:p>
          <w:p>
            <w:pPr>
              <w:adjustRightInd w:val="0"/>
              <w:snapToGrid w:val="0"/>
              <w:spacing w:line="300" w:lineRule="exact"/>
              <w:ind w:firstLine="420" w:firstLineChars="200"/>
              <w:rPr>
                <w:rFonts w:hint="eastAsia" w:ascii="仿宋" w:hAnsi="仿宋" w:eastAsia="仿宋" w:cs="仿宋"/>
                <w:snapToGrid w:val="0"/>
                <w:color w:val="000000"/>
                <w:sz w:val="21"/>
                <w:szCs w:val="21"/>
                <w:lang w:val="en-US" w:eastAsia="zh-CN"/>
              </w:rPr>
            </w:pPr>
            <w:r>
              <w:rPr>
                <w:rFonts w:hint="eastAsia" w:ascii="仿宋" w:hAnsi="仿宋" w:eastAsia="仿宋" w:cs="仿宋"/>
                <w:snapToGrid w:val="0"/>
                <w:color w:val="000000"/>
                <w:sz w:val="21"/>
                <w:szCs w:val="21"/>
              </w:rPr>
              <w:t>4.【规范性文件】《自治区外侨办关于调整侨务“一事通办”事项“八统一”标准的通知》要求，予以认定归侨侨眷身份的，应当为申请人开具证明。</w:t>
            </w:r>
          </w:p>
        </w:tc>
        <w:tc>
          <w:tcPr>
            <w:tcW w:w="2535" w:type="dxa"/>
            <w:vAlign w:val="center"/>
          </w:tcPr>
          <w:p>
            <w:pPr>
              <w:adjustRightInd w:val="0"/>
              <w:snapToGrid w:val="0"/>
              <w:spacing w:line="280" w:lineRule="exact"/>
              <w:rPr>
                <w:rFonts w:hint="eastAsia" w:ascii="仿宋" w:hAnsi="仿宋" w:eastAsia="仿宋" w:cs="仿宋"/>
                <w:kern w:val="0"/>
                <w:sz w:val="21"/>
                <w:szCs w:val="21"/>
              </w:rPr>
            </w:pPr>
            <w:r>
              <w:rPr>
                <w:rFonts w:hint="eastAsia" w:ascii="仿宋" w:hAnsi="仿宋" w:eastAsia="仿宋" w:cs="仿宋"/>
                <w:kern w:val="0"/>
                <w:sz w:val="21"/>
                <w:szCs w:val="21"/>
              </w:rPr>
              <w:t>因不履行或不正确履行行政职责，有下列情形的，行政机关及相关工作人员应承担相应责任：</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1.对符合法定条件的申请不予受理的；对不符合</w:t>
            </w:r>
            <w:r>
              <w:rPr>
                <w:rFonts w:hint="eastAsia" w:ascii="仿宋" w:hAnsi="仿宋" w:eastAsia="仿宋" w:cs="仿宋"/>
                <w:snapToGrid w:val="0"/>
                <w:color w:val="000000"/>
                <w:sz w:val="21"/>
                <w:szCs w:val="21"/>
              </w:rPr>
              <w:t>归侨、侨眷身份认定</w:t>
            </w:r>
            <w:r>
              <w:rPr>
                <w:rFonts w:hint="eastAsia" w:ascii="仿宋" w:hAnsi="仿宋" w:eastAsia="仿宋" w:cs="仿宋"/>
                <w:kern w:val="0"/>
                <w:sz w:val="21"/>
                <w:szCs w:val="21"/>
              </w:rPr>
              <w:t>、核发申请人准予</w:t>
            </w:r>
            <w:r>
              <w:rPr>
                <w:rFonts w:hint="eastAsia" w:ascii="仿宋" w:hAnsi="仿宋" w:eastAsia="仿宋" w:cs="仿宋"/>
                <w:kern w:val="0"/>
                <w:sz w:val="21"/>
                <w:szCs w:val="21"/>
                <w:lang w:eastAsia="zh-CN"/>
              </w:rPr>
              <w:t>出具证明</w:t>
            </w:r>
            <w:r>
              <w:rPr>
                <w:rFonts w:hint="eastAsia" w:ascii="仿宋" w:hAnsi="仿宋" w:eastAsia="仿宋" w:cs="仿宋"/>
                <w:kern w:val="0"/>
                <w:sz w:val="21"/>
                <w:szCs w:val="21"/>
              </w:rPr>
              <w:t>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2.对符合</w:t>
            </w:r>
            <w:r>
              <w:rPr>
                <w:rFonts w:hint="eastAsia" w:ascii="仿宋" w:hAnsi="仿宋" w:eastAsia="仿宋" w:cs="仿宋"/>
                <w:snapToGrid w:val="0"/>
                <w:color w:val="000000"/>
                <w:sz w:val="21"/>
                <w:szCs w:val="21"/>
              </w:rPr>
              <w:t>归侨、侨眷身份认定</w:t>
            </w:r>
            <w:r>
              <w:rPr>
                <w:rFonts w:hint="eastAsia" w:ascii="仿宋" w:hAnsi="仿宋" w:eastAsia="仿宋" w:cs="仿宋"/>
                <w:kern w:val="0"/>
                <w:sz w:val="21"/>
                <w:szCs w:val="21"/>
              </w:rPr>
              <w:t>条件的申请人不予</w:t>
            </w:r>
            <w:r>
              <w:rPr>
                <w:rFonts w:hint="eastAsia" w:ascii="仿宋" w:hAnsi="仿宋" w:eastAsia="仿宋" w:cs="仿宋"/>
                <w:snapToGrid w:val="0"/>
                <w:color w:val="000000"/>
                <w:sz w:val="21"/>
                <w:szCs w:val="21"/>
                <w:lang w:eastAsia="zh-CN"/>
              </w:rPr>
              <w:t>办理</w:t>
            </w:r>
            <w:r>
              <w:rPr>
                <w:rFonts w:hint="eastAsia" w:ascii="仿宋" w:hAnsi="仿宋" w:eastAsia="仿宋" w:cs="仿宋"/>
                <w:kern w:val="0"/>
                <w:sz w:val="21"/>
                <w:szCs w:val="21"/>
              </w:rPr>
              <w:t>或者不在法定期限内作出准予</w:t>
            </w:r>
            <w:r>
              <w:rPr>
                <w:rFonts w:hint="eastAsia" w:ascii="仿宋" w:hAnsi="仿宋" w:eastAsia="仿宋" w:cs="仿宋"/>
                <w:snapToGrid w:val="0"/>
                <w:color w:val="000000"/>
                <w:sz w:val="21"/>
                <w:szCs w:val="21"/>
                <w:lang w:eastAsia="zh-CN"/>
              </w:rPr>
              <w:t>出具</w:t>
            </w:r>
            <w:r>
              <w:rPr>
                <w:rFonts w:hint="eastAsia" w:ascii="仿宋" w:hAnsi="仿宋" w:eastAsia="仿宋" w:cs="仿宋"/>
                <w:snapToGrid w:val="0"/>
                <w:color w:val="000000"/>
                <w:sz w:val="21"/>
                <w:szCs w:val="21"/>
              </w:rPr>
              <w:t>归侨、侨眷身份</w:t>
            </w:r>
            <w:r>
              <w:rPr>
                <w:rFonts w:hint="eastAsia" w:ascii="仿宋" w:hAnsi="仿宋" w:eastAsia="仿宋" w:cs="仿宋"/>
                <w:snapToGrid w:val="0"/>
                <w:color w:val="000000"/>
                <w:sz w:val="21"/>
                <w:szCs w:val="21"/>
                <w:lang w:eastAsia="zh-CN"/>
              </w:rPr>
              <w:t>证明</w:t>
            </w:r>
            <w:r>
              <w:rPr>
                <w:rFonts w:hint="eastAsia" w:ascii="仿宋" w:hAnsi="仿宋" w:eastAsia="仿宋" w:cs="仿宋"/>
                <w:kern w:val="0"/>
                <w:sz w:val="21"/>
                <w:szCs w:val="21"/>
              </w:rPr>
              <w:t>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3.未严格审查验收</w:t>
            </w:r>
            <w:r>
              <w:rPr>
                <w:rFonts w:hint="eastAsia" w:ascii="仿宋" w:hAnsi="仿宋" w:eastAsia="仿宋" w:cs="仿宋"/>
                <w:snapToGrid w:val="0"/>
                <w:color w:val="000000"/>
                <w:sz w:val="21"/>
                <w:szCs w:val="21"/>
              </w:rPr>
              <w:t>归侨、侨眷身份认定</w:t>
            </w:r>
            <w:r>
              <w:rPr>
                <w:rFonts w:hint="eastAsia" w:ascii="仿宋" w:hAnsi="仿宋" w:eastAsia="仿宋" w:cs="仿宋"/>
                <w:snapToGrid w:val="0"/>
                <w:color w:val="000000"/>
                <w:sz w:val="21"/>
                <w:szCs w:val="21"/>
                <w:lang w:eastAsia="zh-CN"/>
              </w:rPr>
              <w:t>材料</w:t>
            </w:r>
            <w:r>
              <w:rPr>
                <w:rFonts w:hint="eastAsia" w:ascii="仿宋" w:hAnsi="仿宋" w:eastAsia="仿宋" w:cs="仿宋"/>
                <w:kern w:val="0"/>
                <w:sz w:val="21"/>
                <w:szCs w:val="21"/>
              </w:rPr>
              <w:t>，导致公民人身健康.生命财产安全存在重大安全隐患的；造成严重后果的；（驻统战部纪检监察组）。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w:t>
            </w:r>
            <w:r>
              <w:rPr>
                <w:rFonts w:hint="eastAsia" w:ascii="仿宋" w:hAnsi="仿宋" w:eastAsia="仿宋" w:cs="仿宋"/>
                <w:kern w:val="0"/>
                <w:sz w:val="21"/>
                <w:szCs w:val="21"/>
              </w:rPr>
              <w:t>.擅自增设.变更</w:t>
            </w:r>
            <w:r>
              <w:rPr>
                <w:rFonts w:hint="eastAsia" w:ascii="仿宋" w:hAnsi="仿宋" w:eastAsia="仿宋" w:cs="仿宋"/>
                <w:snapToGrid w:val="0"/>
                <w:color w:val="000000"/>
                <w:sz w:val="21"/>
                <w:szCs w:val="21"/>
              </w:rPr>
              <w:t>归侨、侨眷身份认定</w:t>
            </w:r>
            <w:r>
              <w:rPr>
                <w:rFonts w:hint="eastAsia" w:ascii="仿宋" w:hAnsi="仿宋" w:eastAsia="仿宋" w:cs="仿宋"/>
                <w:snapToGrid w:val="0"/>
                <w:color w:val="000000"/>
                <w:sz w:val="21"/>
                <w:szCs w:val="21"/>
                <w:lang w:eastAsia="zh-CN"/>
              </w:rPr>
              <w:t>材料</w:t>
            </w:r>
            <w:r>
              <w:rPr>
                <w:rFonts w:hint="eastAsia" w:ascii="仿宋" w:hAnsi="仿宋" w:eastAsia="仿宋" w:cs="仿宋"/>
                <w:kern w:val="0"/>
                <w:sz w:val="21"/>
                <w:szCs w:val="21"/>
              </w:rPr>
              <w:t>，核发审批程序或审批条件的；在</w:t>
            </w:r>
            <w:r>
              <w:rPr>
                <w:rFonts w:hint="eastAsia" w:ascii="仿宋" w:hAnsi="仿宋" w:eastAsia="仿宋" w:cs="仿宋"/>
                <w:snapToGrid w:val="0"/>
                <w:color w:val="000000"/>
                <w:sz w:val="21"/>
                <w:szCs w:val="21"/>
              </w:rPr>
              <w:t>归侨、侨眷身份认定</w:t>
            </w:r>
            <w:r>
              <w:rPr>
                <w:rFonts w:hint="eastAsia" w:ascii="仿宋" w:hAnsi="仿宋" w:eastAsia="仿宋" w:cs="仿宋"/>
                <w:kern w:val="0"/>
                <w:sz w:val="21"/>
                <w:szCs w:val="21"/>
              </w:rPr>
              <w:t>，核发</w:t>
            </w:r>
            <w:r>
              <w:rPr>
                <w:rFonts w:hint="eastAsia" w:ascii="仿宋" w:hAnsi="仿宋" w:eastAsia="仿宋" w:cs="仿宋"/>
                <w:kern w:val="0"/>
                <w:sz w:val="21"/>
                <w:szCs w:val="21"/>
                <w:lang w:eastAsia="zh-CN"/>
              </w:rPr>
              <w:t>确认</w:t>
            </w:r>
            <w:r>
              <w:rPr>
                <w:rFonts w:hint="eastAsia" w:ascii="仿宋" w:hAnsi="仿宋" w:eastAsia="仿宋" w:cs="仿宋"/>
                <w:kern w:val="0"/>
                <w:sz w:val="21"/>
                <w:szCs w:val="21"/>
              </w:rPr>
              <w:t>审</w:t>
            </w:r>
            <w:r>
              <w:rPr>
                <w:rFonts w:hint="eastAsia" w:ascii="仿宋" w:hAnsi="仿宋" w:eastAsia="仿宋" w:cs="仿宋"/>
                <w:kern w:val="0"/>
                <w:sz w:val="21"/>
                <w:szCs w:val="21"/>
                <w:lang w:eastAsia="zh-CN"/>
              </w:rPr>
              <w:t>核</w:t>
            </w:r>
            <w:r>
              <w:rPr>
                <w:rFonts w:hint="eastAsia" w:ascii="仿宋" w:hAnsi="仿宋" w:eastAsia="仿宋" w:cs="仿宋"/>
                <w:kern w:val="0"/>
                <w:sz w:val="21"/>
                <w:szCs w:val="21"/>
              </w:rPr>
              <w:t xml:space="preserve">过程中违法收取费用的；（驻统战部纪检监察组）。                </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w:t>
            </w:r>
            <w:r>
              <w:rPr>
                <w:rFonts w:hint="eastAsia" w:ascii="仿宋" w:hAnsi="仿宋" w:eastAsia="仿宋" w:cs="仿宋"/>
                <w:kern w:val="0"/>
                <w:sz w:val="21"/>
                <w:szCs w:val="21"/>
              </w:rPr>
              <w:t>.其他违反法律法规政策规定的行为.（驻统战部纪检监察组）。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p>
        </w:tc>
        <w:tc>
          <w:tcPr>
            <w:tcW w:w="3219" w:type="dxa"/>
            <w:vAlign w:val="center"/>
          </w:tcPr>
          <w:p>
            <w:pPr>
              <w:adjustRightInd w:val="0"/>
              <w:snapToGrid w:val="0"/>
              <w:spacing w:line="300" w:lineRule="exact"/>
              <w:rPr>
                <w:rFonts w:hint="eastAsia" w:ascii="仿宋" w:hAnsi="仿宋" w:eastAsia="仿宋" w:cs="仿宋"/>
                <w:kern w:val="0"/>
                <w:sz w:val="21"/>
                <w:szCs w:val="21"/>
              </w:rPr>
            </w:pP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w:t>
            </w:r>
            <w:r>
              <w:rPr>
                <w:rFonts w:hint="eastAsia" w:ascii="仿宋" w:hAnsi="仿宋" w:eastAsia="仿宋" w:cs="仿宋"/>
                <w:kern w:val="0"/>
                <w:sz w:val="21"/>
                <w:szCs w:val="21"/>
              </w:rPr>
              <w:t>.【行政法规】《行政机关公务员处十条有下列行为之一的，给予记过、记大过处分；情节较重的，给予降级或者撤职处分；情节严重的，给予开除处分：（四）其他玩忽职守、贻误工作的行为。</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2.【行政法规】《行政机关公务员处分条例》（国务院令第495号）第ニ十三条有贪污、索贿、受贿、行贿、介绍贿赂、挪用公款、利用职务之便为</w:t>
            </w:r>
            <w:bookmarkStart w:id="0" w:name="_GoBack"/>
            <w:bookmarkEnd w:id="0"/>
            <w:r>
              <w:rPr>
                <w:rFonts w:hint="eastAsia" w:ascii="仿宋" w:hAnsi="仿宋" w:eastAsia="仿宋" w:cs="仿宋"/>
                <w:kern w:val="0"/>
                <w:sz w:val="21"/>
                <w:szCs w:val="21"/>
                <w:lang w:eastAsia="zh-CN"/>
              </w:rPr>
              <w:t>自己</w:t>
            </w:r>
            <w:r>
              <w:rPr>
                <w:rFonts w:hint="eastAsia" w:ascii="仿宋" w:hAnsi="仿宋" w:eastAsia="仿宋" w:cs="仿宋"/>
                <w:kern w:val="0"/>
                <w:sz w:val="21"/>
                <w:szCs w:val="21"/>
              </w:rPr>
              <w:t>或者他人谋取私利、巨额财产来源不明等违反廉政纪律行为的，给子记过或者记大过处分；情节较重的，给予降级或者撤职处分；情节严重的，给子开除处分。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3.【行政法规】《行政机关公务员处分条例》（国务院令第495号）第ニ十八条严重违反公务员职业道德，工作作风懈怠、工作态度恶劣，造成不良影响的，给予警告、记过或者记大过处分。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法律】《中华人民共和国公务员法》（中华人民共和国主席令第三十五号，自2006年1月1日起施行。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5.同4.</w:t>
            </w:r>
          </w:p>
        </w:tc>
        <w:tc>
          <w:tcPr>
            <w:tcW w:w="488" w:type="dxa"/>
            <w:vAlign w:val="center"/>
          </w:tcPr>
          <w:p>
            <w:pPr>
              <w:adjustRightInd w:val="0"/>
              <w:snapToGrid w:val="0"/>
              <w:spacing w:line="30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法律法规规定的免责情形及市委、市人民政府有关文件中明确的免责情形。</w:t>
            </w:r>
          </w:p>
        </w:tc>
        <w:tc>
          <w:tcPr>
            <w:tcW w:w="346" w:type="dxa"/>
            <w:vAlign w:val="center"/>
          </w:tcPr>
          <w:p>
            <w:pPr>
              <w:adjustRightInd w:val="0"/>
              <w:snapToGrid w:val="0"/>
              <w:spacing w:line="300" w:lineRule="exact"/>
              <w:jc w:val="center"/>
              <w:rPr>
                <w:rFonts w:hint="eastAsia" w:ascii="仿宋" w:hAnsi="仿宋" w:eastAsia="仿宋"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6127" w:hRule="atLeast"/>
          <w:jc w:val="center"/>
        </w:trPr>
        <w:tc>
          <w:tcPr>
            <w:tcW w:w="219" w:type="dxa"/>
            <w:vAlign w:val="center"/>
          </w:tcPr>
          <w:p>
            <w:pPr>
              <w:adjustRightInd w:val="0"/>
              <w:snapToGrid w:val="0"/>
              <w:spacing w:line="300" w:lineRule="exact"/>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w:t>
            </w:r>
          </w:p>
        </w:tc>
        <w:tc>
          <w:tcPr>
            <w:tcW w:w="266" w:type="dxa"/>
            <w:vAlign w:val="center"/>
          </w:tcPr>
          <w:p>
            <w:pPr>
              <w:widowControl/>
              <w:adjustRightInd w:val="0"/>
              <w:snapToGrid w:val="0"/>
              <w:spacing w:line="296" w:lineRule="exact"/>
              <w:jc w:val="center"/>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行政确认</w:t>
            </w:r>
          </w:p>
        </w:tc>
        <w:tc>
          <w:tcPr>
            <w:tcW w:w="361" w:type="dxa"/>
            <w:vAlign w:val="center"/>
          </w:tcPr>
          <w:p>
            <w:pPr>
              <w:widowControl/>
              <w:adjustRightInd w:val="0"/>
              <w:snapToGrid w:val="0"/>
              <w:spacing w:line="296" w:lineRule="exact"/>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归侨、华侨子女、归侨子女考生身份确认</w:t>
            </w:r>
          </w:p>
        </w:tc>
        <w:tc>
          <w:tcPr>
            <w:tcW w:w="359" w:type="dxa"/>
            <w:vAlign w:val="center"/>
          </w:tcPr>
          <w:p>
            <w:pPr>
              <w:widowControl/>
              <w:adjustRightInd w:val="0"/>
              <w:snapToGrid w:val="0"/>
              <w:spacing w:line="296" w:lineRule="exact"/>
              <w:rPr>
                <w:rFonts w:hint="eastAsia" w:ascii="仿宋" w:hAnsi="仿宋" w:eastAsia="仿宋" w:cs="仿宋"/>
                <w:kern w:val="0"/>
                <w:sz w:val="21"/>
                <w:szCs w:val="21"/>
              </w:rPr>
            </w:pPr>
          </w:p>
        </w:tc>
        <w:tc>
          <w:tcPr>
            <w:tcW w:w="510" w:type="dxa"/>
            <w:vAlign w:val="center"/>
          </w:tcPr>
          <w:p>
            <w:pPr>
              <w:adjustRightInd w:val="0"/>
              <w:snapToGrid w:val="0"/>
              <w:spacing w:line="30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永福县委统战部</w:t>
            </w:r>
          </w:p>
        </w:tc>
        <w:tc>
          <w:tcPr>
            <w:tcW w:w="598" w:type="dxa"/>
            <w:vAlign w:val="center"/>
          </w:tcPr>
          <w:p>
            <w:pPr>
              <w:adjustRightInd w:val="0"/>
              <w:snapToGrid w:val="0"/>
              <w:spacing w:line="300" w:lineRule="exact"/>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永福县委统战部综合股</w:t>
            </w:r>
          </w:p>
        </w:tc>
        <w:tc>
          <w:tcPr>
            <w:tcW w:w="4225" w:type="dxa"/>
            <w:vAlign w:val="center"/>
          </w:tcPr>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行政法规】《中华人民共和国归侨侨眷权益保护法实施办法》（2004年国务院令第410号）第二条：归侨、侨眷的身份，由其常住户口所在地的县级以上地方人民政府负责侨务工作的机构根据本人申请审核认定。与华侨、归侨有长期扶养关系的亲属申请认定侨眷身份的，应当提供由公证机构出具的扶养证明。</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地方性法规】《广西壮族自治区实施〈中华人民共和国归侨侨眷权益保护法〉办法》（1994年自治区第八届人大常委会第七次会议通过，2005年自治区人大常委会公告十届第77号修订）第三条：归侨、侨眷的身份，由其常住户口所在地的县级以上人民政府负责侨务工作的机构根据本人申请，并按照法律法规的有关规定进行审核认定。</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与华侨、归侨有五年以上扶养关系，并在提出认定侨眷身份申请时仍保持扶养关系的亲属，有权依法申请认定侨眷身份；申请时应当提供由公证机构出具的扶养证明。</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第十三条：在本自治区内的归侨学生、归侨子女和华侨子女报考大中专院校时，按照国家和自治区的有关规定给予照顾；报考自治区内各类学校，统考成绩达到录取分数线的，在与其他考生同等条件下，应当优先录取；报考高中、初中、职业中学或者技术学校的，各市、县人民政府根据当地实际情况给予照顾。</w:t>
            </w:r>
          </w:p>
          <w:p>
            <w:p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规范性文件】《自治区教育厅等七部门关于做好我区普通高考考生加分资格审核工作的通知》（桂教考试〔2020〕1号）二、申报和审核流程：（二）归侨、华侨子女、归侨子女考生符合条件的考生在参加高考报名后填写一式三份《广西普通高考“三侨考生”登记表》，并向户籍所在地党委统战部提出申请，由市、县（市、区）党委统战部对考生加分资格进行审核。</w:t>
            </w:r>
          </w:p>
        </w:tc>
        <w:tc>
          <w:tcPr>
            <w:tcW w:w="1653" w:type="dxa"/>
            <w:vAlign w:val="center"/>
          </w:tcPr>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1.受理责任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：公示应当提交的材料；一次性告知补正材料；依法受理或不予受理（不予受理应当告知理由）。</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2.审查责任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：审查申请材料，进行调查核实。</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3.决定责任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：对申请人作出认定或不予认定决定；不予认定的，应当说明理由。</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4.送达责任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：在申请人提交的《广西普通高考“三侨考生”登记表》上签字盖章（申请人在外省参加高考需出具“三侨考生”证明的，在审核确认后可根据当地要求出具），通知申请人领取。</w:t>
            </w:r>
          </w:p>
          <w:p>
            <w:pPr>
              <w:adjustRightInd w:val="0"/>
              <w:snapToGrid w:val="0"/>
              <w:spacing w:line="300" w:lineRule="exact"/>
              <w:ind w:firstLine="210" w:firstLineChars="1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5.其他法律法规规章文件规定应履行的责任。</w:t>
            </w:r>
          </w:p>
        </w:tc>
        <w:tc>
          <w:tcPr>
            <w:tcW w:w="4861" w:type="dxa"/>
            <w:vAlign w:val="center"/>
          </w:tcPr>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规范性文件】自治区教育厅、自治区党委统战部、自治区民宗委、自治区公安厅、自治区卫健委、自治区退役军人厅、自治区台办《关于做好我区普通高考考生加分资格审核工作的通知》第一点“工作职责”规定：按照“归口管理、分级负责”和“谁主管、谁审核、谁负责”的原则，自治区教育厅、自治区党委统战部、自治区民宗委、自治区公安厅、自治区卫生健康委、自治区退役军人厅和自治区台办等部门负责对应的高考考生加分资格审核工作，须明确和落实相关加分项目资格审核的主体责任、工作流程和审核规则。</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规范性文件】自治区教育厅、自治区党委统战部、自治区民宗委、自治区公安厅、自治区卫健委、自治区退役军人厅、自治区台办《关于做好我区普通高考考生加分资格审核工作的通知》第二点“申报和审核流程”规定：（二）归侨、华侨子女、归侨子女考生。</w:t>
            </w:r>
          </w:p>
          <w:p>
            <w:pPr>
              <w:widowControl/>
              <w:adjustRightInd w:val="0"/>
              <w:snapToGrid w:val="0"/>
              <w:spacing w:line="296"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符合条件考生在参加高考报名后填写一式三份《广西普通高考“三侨考生”登记表》（见附件1），并向户籍所在地党委统战部提出申请，由市、县（市、区）党委统战部对考生加分资格进行审核。审核通过后，一份由市、县（市、区）党委统战部存档备案，另两份由考生于高考当年春季学期开学后三周内交高考报名站。各设区市招生考试院（招生办）负责汇总本市所有《广西普通高考“三侨考生”登记表》，并主动协调当地党委统战部对汇总材料进行复核。</w:t>
            </w:r>
          </w:p>
          <w:p>
            <w:p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规范性文件】自治区教育厅、自治区党委统战部、自治区民宗委、自治区公安厅、自治区卫健委、自治区退役军人厅、自治区台办《关于做好我区普通高考考生加分资格审核工作的通知》第五点“纪律和要求”规定：（五）各审核单位、审核人员须在高考考生加分资格审核表上签字盖章，并对审核结论负责。相关人员为不具备加分资格的考生提供虚假证明、证件、档案等，使其获得加分资格的，由有关部门作出严肃处理；涉嫌犯罪的，移送司法机关追究法律责任。</w:t>
            </w:r>
          </w:p>
        </w:tc>
        <w:tc>
          <w:tcPr>
            <w:tcW w:w="2535" w:type="dxa"/>
            <w:vAlign w:val="center"/>
          </w:tcPr>
          <w:p>
            <w:pPr>
              <w:adjustRightInd w:val="0"/>
              <w:snapToGrid w:val="0"/>
              <w:spacing w:line="280" w:lineRule="exact"/>
              <w:rPr>
                <w:rFonts w:hint="eastAsia" w:ascii="仿宋" w:hAnsi="仿宋" w:eastAsia="仿宋" w:cs="仿宋"/>
                <w:kern w:val="0"/>
                <w:sz w:val="21"/>
                <w:szCs w:val="21"/>
              </w:rPr>
            </w:pPr>
            <w:r>
              <w:rPr>
                <w:rFonts w:hint="eastAsia" w:ascii="仿宋" w:hAnsi="仿宋" w:eastAsia="仿宋" w:cs="仿宋"/>
                <w:kern w:val="0"/>
                <w:sz w:val="21"/>
                <w:szCs w:val="21"/>
              </w:rPr>
              <w:t>因不履行或不正确履行行政职责，有下列情形的，行政机关及相关工作人员应承担相应责任：</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1.对符合法定条件的申请不予受理的；对不符合</w:t>
            </w:r>
            <w:r>
              <w:rPr>
                <w:rFonts w:hint="eastAsia" w:ascii="仿宋" w:hAnsi="仿宋" w:eastAsia="仿宋" w:cs="仿宋"/>
                <w:snapToGrid w:val="0"/>
                <w:color w:val="000000"/>
                <w:sz w:val="21"/>
                <w:szCs w:val="21"/>
              </w:rPr>
              <w:t>归侨、华侨子女、归侨子女考生身份</w:t>
            </w:r>
            <w:r>
              <w:rPr>
                <w:rFonts w:hint="eastAsia" w:ascii="仿宋" w:hAnsi="仿宋" w:eastAsia="仿宋" w:cs="仿宋"/>
                <w:kern w:val="0"/>
                <w:sz w:val="21"/>
                <w:szCs w:val="21"/>
              </w:rPr>
              <w:t>、核发申请人准予</w:t>
            </w:r>
            <w:r>
              <w:rPr>
                <w:rFonts w:hint="eastAsia" w:ascii="仿宋" w:hAnsi="仿宋" w:eastAsia="仿宋" w:cs="仿宋"/>
                <w:kern w:val="0"/>
                <w:sz w:val="21"/>
                <w:szCs w:val="21"/>
                <w:lang w:eastAsia="zh-CN"/>
              </w:rPr>
              <w:t>出具证明</w:t>
            </w:r>
            <w:r>
              <w:rPr>
                <w:rFonts w:hint="eastAsia" w:ascii="仿宋" w:hAnsi="仿宋" w:eastAsia="仿宋" w:cs="仿宋"/>
                <w:kern w:val="0"/>
                <w:sz w:val="21"/>
                <w:szCs w:val="21"/>
              </w:rPr>
              <w:t>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2.对符合</w:t>
            </w:r>
            <w:r>
              <w:rPr>
                <w:rFonts w:hint="eastAsia" w:ascii="仿宋" w:hAnsi="仿宋" w:eastAsia="仿宋" w:cs="仿宋"/>
                <w:snapToGrid w:val="0"/>
                <w:color w:val="000000"/>
                <w:sz w:val="21"/>
                <w:szCs w:val="21"/>
              </w:rPr>
              <w:t>归侨、华侨子女、归侨子女考生身份</w:t>
            </w:r>
            <w:r>
              <w:rPr>
                <w:rFonts w:hint="eastAsia" w:ascii="仿宋" w:hAnsi="仿宋" w:eastAsia="仿宋" w:cs="仿宋"/>
                <w:kern w:val="0"/>
                <w:sz w:val="21"/>
                <w:szCs w:val="21"/>
              </w:rPr>
              <w:t>条件的申请人不予</w:t>
            </w:r>
            <w:r>
              <w:rPr>
                <w:rFonts w:hint="eastAsia" w:ascii="仿宋" w:hAnsi="仿宋" w:eastAsia="仿宋" w:cs="仿宋"/>
                <w:snapToGrid w:val="0"/>
                <w:color w:val="000000"/>
                <w:sz w:val="21"/>
                <w:szCs w:val="21"/>
                <w:lang w:eastAsia="zh-CN"/>
              </w:rPr>
              <w:t>办理</w:t>
            </w:r>
            <w:r>
              <w:rPr>
                <w:rFonts w:hint="eastAsia" w:ascii="仿宋" w:hAnsi="仿宋" w:eastAsia="仿宋" w:cs="仿宋"/>
                <w:kern w:val="0"/>
                <w:sz w:val="21"/>
                <w:szCs w:val="21"/>
              </w:rPr>
              <w:t>或者不在法定期限内作出准予</w:t>
            </w:r>
            <w:r>
              <w:rPr>
                <w:rFonts w:hint="eastAsia" w:ascii="仿宋" w:hAnsi="仿宋" w:eastAsia="仿宋" w:cs="仿宋"/>
                <w:snapToGrid w:val="0"/>
                <w:color w:val="000000"/>
                <w:sz w:val="21"/>
                <w:szCs w:val="21"/>
                <w:lang w:eastAsia="zh-CN"/>
              </w:rPr>
              <w:t>出具华侨身份证明</w:t>
            </w:r>
            <w:r>
              <w:rPr>
                <w:rFonts w:hint="eastAsia" w:ascii="仿宋" w:hAnsi="仿宋" w:eastAsia="仿宋" w:cs="仿宋"/>
                <w:kern w:val="0"/>
                <w:sz w:val="21"/>
                <w:szCs w:val="21"/>
              </w:rPr>
              <w:t>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3.未严格审查验收</w:t>
            </w:r>
            <w:r>
              <w:rPr>
                <w:rFonts w:hint="eastAsia" w:ascii="仿宋" w:hAnsi="仿宋" w:eastAsia="仿宋" w:cs="仿宋"/>
                <w:snapToGrid w:val="0"/>
                <w:color w:val="000000"/>
                <w:sz w:val="21"/>
                <w:szCs w:val="21"/>
              </w:rPr>
              <w:t>归侨、华侨子女、归侨子女考生身份确认</w:t>
            </w:r>
            <w:r>
              <w:rPr>
                <w:rFonts w:hint="eastAsia" w:ascii="仿宋" w:hAnsi="仿宋" w:eastAsia="仿宋" w:cs="仿宋"/>
                <w:snapToGrid w:val="0"/>
                <w:color w:val="000000"/>
                <w:sz w:val="21"/>
                <w:szCs w:val="21"/>
                <w:lang w:eastAsia="zh-CN"/>
              </w:rPr>
              <w:t>材料</w:t>
            </w:r>
            <w:r>
              <w:rPr>
                <w:rFonts w:hint="eastAsia" w:ascii="仿宋" w:hAnsi="仿宋" w:eastAsia="仿宋" w:cs="仿宋"/>
                <w:kern w:val="0"/>
                <w:sz w:val="21"/>
                <w:szCs w:val="21"/>
              </w:rPr>
              <w:t>，导致公民人身健康.生命财产安全存在重大安全隐患的；造成严重后果的；（驻统战部纪检监察组）。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w:t>
            </w:r>
            <w:r>
              <w:rPr>
                <w:rFonts w:hint="eastAsia" w:ascii="仿宋" w:hAnsi="仿宋" w:eastAsia="仿宋" w:cs="仿宋"/>
                <w:kern w:val="0"/>
                <w:sz w:val="21"/>
                <w:szCs w:val="21"/>
              </w:rPr>
              <w:t>.擅自增设.变更</w:t>
            </w:r>
            <w:r>
              <w:rPr>
                <w:rFonts w:hint="eastAsia" w:ascii="仿宋" w:hAnsi="仿宋" w:eastAsia="仿宋" w:cs="仿宋"/>
                <w:snapToGrid w:val="0"/>
                <w:color w:val="000000"/>
                <w:sz w:val="21"/>
                <w:szCs w:val="21"/>
              </w:rPr>
              <w:t>归侨、华侨子女、归侨子女考生身份确认</w:t>
            </w:r>
            <w:r>
              <w:rPr>
                <w:rFonts w:hint="eastAsia" w:ascii="仿宋" w:hAnsi="仿宋" w:eastAsia="仿宋" w:cs="仿宋"/>
                <w:snapToGrid w:val="0"/>
                <w:color w:val="000000"/>
                <w:sz w:val="21"/>
                <w:szCs w:val="21"/>
                <w:lang w:eastAsia="zh-CN"/>
              </w:rPr>
              <w:t>材料</w:t>
            </w:r>
            <w:r>
              <w:rPr>
                <w:rFonts w:hint="eastAsia" w:ascii="仿宋" w:hAnsi="仿宋" w:eastAsia="仿宋" w:cs="仿宋"/>
                <w:kern w:val="0"/>
                <w:sz w:val="21"/>
                <w:szCs w:val="21"/>
              </w:rPr>
              <w:t>，核发审批程序或审批条件的；在</w:t>
            </w:r>
            <w:r>
              <w:rPr>
                <w:rFonts w:hint="eastAsia" w:ascii="仿宋" w:hAnsi="仿宋" w:eastAsia="仿宋" w:cs="仿宋"/>
                <w:snapToGrid w:val="0"/>
                <w:color w:val="000000"/>
                <w:sz w:val="21"/>
                <w:szCs w:val="21"/>
              </w:rPr>
              <w:t>归侨、华侨子女、归侨子女考生身份确认</w:t>
            </w:r>
            <w:r>
              <w:rPr>
                <w:rFonts w:hint="eastAsia" w:ascii="仿宋" w:hAnsi="仿宋" w:eastAsia="仿宋" w:cs="仿宋"/>
                <w:kern w:val="0"/>
                <w:sz w:val="21"/>
                <w:szCs w:val="21"/>
              </w:rPr>
              <w:t>，核发</w:t>
            </w:r>
            <w:r>
              <w:rPr>
                <w:rFonts w:hint="eastAsia" w:ascii="仿宋" w:hAnsi="仿宋" w:eastAsia="仿宋" w:cs="仿宋"/>
                <w:kern w:val="0"/>
                <w:sz w:val="21"/>
                <w:szCs w:val="21"/>
                <w:lang w:eastAsia="zh-CN"/>
              </w:rPr>
              <w:t>确认</w:t>
            </w:r>
            <w:r>
              <w:rPr>
                <w:rFonts w:hint="eastAsia" w:ascii="仿宋" w:hAnsi="仿宋" w:eastAsia="仿宋" w:cs="仿宋"/>
                <w:kern w:val="0"/>
                <w:sz w:val="21"/>
                <w:szCs w:val="21"/>
              </w:rPr>
              <w:t>审</w:t>
            </w:r>
            <w:r>
              <w:rPr>
                <w:rFonts w:hint="eastAsia" w:ascii="仿宋" w:hAnsi="仿宋" w:eastAsia="仿宋" w:cs="仿宋"/>
                <w:kern w:val="0"/>
                <w:sz w:val="21"/>
                <w:szCs w:val="21"/>
                <w:lang w:eastAsia="zh-CN"/>
              </w:rPr>
              <w:t>核</w:t>
            </w:r>
            <w:r>
              <w:rPr>
                <w:rFonts w:hint="eastAsia" w:ascii="仿宋" w:hAnsi="仿宋" w:eastAsia="仿宋" w:cs="仿宋"/>
                <w:kern w:val="0"/>
                <w:sz w:val="21"/>
                <w:szCs w:val="21"/>
              </w:rPr>
              <w:t xml:space="preserve">过程中违法收取费用的；（驻统战部纪检监察组）。                </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w:t>
            </w:r>
            <w:r>
              <w:rPr>
                <w:rFonts w:hint="eastAsia" w:ascii="仿宋" w:hAnsi="仿宋" w:eastAsia="仿宋" w:cs="仿宋"/>
                <w:kern w:val="0"/>
                <w:sz w:val="21"/>
                <w:szCs w:val="21"/>
              </w:rPr>
              <w:t>.其他违反法律法规政策规定的行为.（驻统战部纪检监察组）。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p>
        </w:tc>
        <w:tc>
          <w:tcPr>
            <w:tcW w:w="3219" w:type="dxa"/>
            <w:vAlign w:val="center"/>
          </w:tcPr>
          <w:p>
            <w:pPr>
              <w:adjustRightInd w:val="0"/>
              <w:snapToGrid w:val="0"/>
              <w:spacing w:line="300" w:lineRule="exact"/>
              <w:rPr>
                <w:rFonts w:hint="eastAsia" w:ascii="仿宋" w:hAnsi="仿宋" w:eastAsia="仿宋" w:cs="仿宋"/>
                <w:kern w:val="0"/>
                <w:sz w:val="21"/>
                <w:szCs w:val="21"/>
              </w:rPr>
            </w:pP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w:t>
            </w:r>
            <w:r>
              <w:rPr>
                <w:rFonts w:hint="eastAsia" w:ascii="仿宋" w:hAnsi="仿宋" w:eastAsia="仿宋" w:cs="仿宋"/>
                <w:kern w:val="0"/>
                <w:sz w:val="21"/>
                <w:szCs w:val="21"/>
              </w:rPr>
              <w:t>.【行政法规】《行政机关公务员处十条有下列行为之一的，给予记过、记大过处分；情节较重的，给予降级或者撤职处分；情节严重的，给予开除处分：（四）其他玩忽职守、贻误工作的行为。</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2.【行政法规】《行政机关公务员处分条例》（国务院令第495号）第ニ十三条有贪污、索贿、受贿、行贿、介绍贿赂、挪用公款、利用职务之便为</w:t>
            </w:r>
            <w:r>
              <w:rPr>
                <w:rFonts w:hint="eastAsia" w:ascii="仿宋" w:hAnsi="仿宋" w:eastAsia="仿宋" w:cs="仿宋"/>
                <w:kern w:val="0"/>
                <w:sz w:val="21"/>
                <w:szCs w:val="21"/>
                <w:lang w:eastAsia="zh-CN"/>
              </w:rPr>
              <w:t>自己</w:t>
            </w:r>
            <w:r>
              <w:rPr>
                <w:rFonts w:hint="eastAsia" w:ascii="仿宋" w:hAnsi="仿宋" w:eastAsia="仿宋" w:cs="仿宋"/>
                <w:kern w:val="0"/>
                <w:sz w:val="21"/>
                <w:szCs w:val="21"/>
              </w:rPr>
              <w:t>或者他人谋取私利、巨额财产来源不明等违反廉政纪律行为的，给子记过或者记大过处分；情节较重的，给予降级或者撤职处分；情节严重的，给子开除处分。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3.【行政法规】《行政机关公务员处分条例》（国务院令第495号）第ニ十八条严重违反公务员职业道德，工作作风懈怠、工作态度恶劣，造成不良影响的，给予警告、记过或者记大过处分。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法律】《中华人民共和国公务员法》（中华人民共和国主席令第三十五号，自2006年1月1日起施行。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5.同4.</w:t>
            </w:r>
          </w:p>
        </w:tc>
        <w:tc>
          <w:tcPr>
            <w:tcW w:w="488" w:type="dxa"/>
            <w:vAlign w:val="center"/>
          </w:tcPr>
          <w:p>
            <w:pPr>
              <w:adjustRightInd w:val="0"/>
              <w:snapToGrid w:val="0"/>
              <w:spacing w:line="30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法律法规规定的免责情形及市委、市人民政府有关文件中明确的免责情形。</w:t>
            </w:r>
          </w:p>
        </w:tc>
        <w:tc>
          <w:tcPr>
            <w:tcW w:w="346" w:type="dxa"/>
            <w:vAlign w:val="center"/>
          </w:tcPr>
          <w:p>
            <w:pPr>
              <w:adjustRightInd w:val="0"/>
              <w:snapToGrid w:val="0"/>
              <w:spacing w:line="300" w:lineRule="exact"/>
              <w:jc w:val="center"/>
              <w:rPr>
                <w:rFonts w:hint="eastAsia" w:ascii="仿宋" w:hAnsi="仿宋" w:eastAsia="仿宋"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855" w:hRule="atLeast"/>
          <w:jc w:val="center"/>
        </w:trPr>
        <w:tc>
          <w:tcPr>
            <w:tcW w:w="219" w:type="dxa"/>
            <w:vAlign w:val="center"/>
          </w:tcPr>
          <w:p>
            <w:pPr>
              <w:adjustRightInd w:val="0"/>
              <w:snapToGrid w:val="0"/>
              <w:spacing w:line="300" w:lineRule="exact"/>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w:t>
            </w:r>
          </w:p>
        </w:tc>
        <w:tc>
          <w:tcPr>
            <w:tcW w:w="266" w:type="dxa"/>
            <w:vAlign w:val="center"/>
          </w:tcPr>
          <w:p>
            <w:pPr>
              <w:widowControl/>
              <w:adjustRightInd w:val="0"/>
              <w:snapToGrid w:val="0"/>
              <w:spacing w:line="300" w:lineRule="exact"/>
              <w:jc w:val="center"/>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其他行政权力</w:t>
            </w:r>
          </w:p>
        </w:tc>
        <w:tc>
          <w:tcPr>
            <w:tcW w:w="361" w:type="dxa"/>
            <w:vAlign w:val="center"/>
          </w:tcPr>
          <w:p>
            <w:pPr>
              <w:widowControl/>
              <w:adjustRightInd w:val="0"/>
              <w:snapToGrid w:val="0"/>
              <w:spacing w:line="300" w:lineRule="exact"/>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华侨身份证明</w:t>
            </w:r>
          </w:p>
        </w:tc>
        <w:tc>
          <w:tcPr>
            <w:tcW w:w="359" w:type="dxa"/>
            <w:vAlign w:val="center"/>
          </w:tcPr>
          <w:p>
            <w:pPr>
              <w:widowControl/>
              <w:adjustRightInd w:val="0"/>
              <w:snapToGrid w:val="0"/>
              <w:spacing w:line="296" w:lineRule="exact"/>
              <w:rPr>
                <w:rFonts w:hint="eastAsia" w:ascii="仿宋" w:hAnsi="仿宋" w:eastAsia="仿宋" w:cs="仿宋"/>
                <w:kern w:val="0"/>
                <w:sz w:val="21"/>
                <w:szCs w:val="21"/>
              </w:rPr>
            </w:pPr>
          </w:p>
        </w:tc>
        <w:tc>
          <w:tcPr>
            <w:tcW w:w="510" w:type="dxa"/>
            <w:vAlign w:val="center"/>
          </w:tcPr>
          <w:p>
            <w:pPr>
              <w:adjustRightInd w:val="0"/>
              <w:snapToGrid w:val="0"/>
              <w:spacing w:line="300" w:lineRule="exact"/>
              <w:jc w:val="center"/>
              <w:rPr>
                <w:rFonts w:hint="eastAsia" w:ascii="仿宋" w:hAnsi="仿宋" w:eastAsia="仿宋" w:cs="仿宋"/>
                <w:kern w:val="0"/>
                <w:sz w:val="21"/>
                <w:szCs w:val="21"/>
              </w:rPr>
            </w:pPr>
            <w:r>
              <w:rPr>
                <w:rFonts w:hint="eastAsia" w:ascii="仿宋" w:hAnsi="仿宋" w:eastAsia="仿宋" w:cs="仿宋"/>
                <w:kern w:val="0"/>
                <w:sz w:val="21"/>
                <w:szCs w:val="21"/>
                <w:lang w:eastAsia="zh-CN"/>
              </w:rPr>
              <w:t>永福县委统战部</w:t>
            </w:r>
          </w:p>
        </w:tc>
        <w:tc>
          <w:tcPr>
            <w:tcW w:w="598" w:type="dxa"/>
            <w:vAlign w:val="center"/>
          </w:tcPr>
          <w:p>
            <w:pPr>
              <w:adjustRightInd w:val="0"/>
              <w:snapToGrid w:val="0"/>
              <w:spacing w:line="300" w:lineRule="exact"/>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永福县委统战部综合股</w:t>
            </w:r>
          </w:p>
        </w:tc>
        <w:tc>
          <w:tcPr>
            <w:tcW w:w="4225" w:type="dxa"/>
            <w:vAlign w:val="center"/>
          </w:tcPr>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1.【行政法规】《中华人民共和国归侨侨眷权益保护法实施办法》（2004年国务院令第410号）第二条：归侨、侨眷的身份，由其常住户口所在地的县级以上地方人民政府负责侨务工作的机构根据本人申请审核认定。</w:t>
            </w:r>
          </w:p>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地方性法规】《广西壮族自治区实施〈中华人民共和国归侨侨眷权益保护法〉办法》（1994年自治区第八届人大常委会第七次会议通过，2005年自治区人大常委会公告十届第77号修订）第三条：归侨、侨眷的身份，由其常住户口所在地的县级以上地方人民政府负责侨务工作的机构根据本人申请，并按照法律法规的有关规定进行审核认定。</w:t>
            </w:r>
          </w:p>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规范性文件】《国务院侨务办公室关于印发〈关于对华侨外籍华人归侨侨眷身份的规定〉的通知》（国侨发〔2009〕5号）一、华侨是指定居在国外的中国公民。：（一）“定居”是指中国公民已取得住在国长期或者永久居留权，并已在住在国连续居留两年，两年内累计居留不少于18个月。</w:t>
            </w:r>
          </w:p>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（二）中国公民虽未取得住在国长期或者永久居留权，但已取得住在国连续5年以上（含5年）合法居留资格，5年内在住在国累计居留不少于30个月，视为华侨。</w:t>
            </w:r>
          </w:p>
          <w:p>
            <w:p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（三）中国公民出国留学（包括公派和自费）在外学习期间，或因公务出国（包括外派劳务人员）在外工作期间，均不视为华侨。</w:t>
            </w:r>
          </w:p>
        </w:tc>
        <w:tc>
          <w:tcPr>
            <w:tcW w:w="1653" w:type="dxa"/>
            <w:vAlign w:val="center"/>
          </w:tcPr>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1.受理责任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：公示应当提交的材料；一次性告知补正材料；依法受理或不予受理（不予受理应当告知理由）。</w:t>
            </w:r>
          </w:p>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2.审查责任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：审查申请材料，进行调查核实。</w:t>
            </w:r>
          </w:p>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3.决定责任：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对申请人作出认定或不予认定决定；不予认定的，应当说明理由。</w:t>
            </w:r>
          </w:p>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4.送达责任：</w:t>
            </w:r>
            <w:r>
              <w:rPr>
                <w:rFonts w:hint="eastAsia" w:ascii="仿宋" w:hAnsi="仿宋" w:eastAsia="仿宋" w:cs="仿宋"/>
                <w:snapToGrid w:val="0"/>
                <w:color w:val="000000"/>
                <w:sz w:val="21"/>
                <w:szCs w:val="21"/>
                <w:lang w:eastAsia="zh-CN"/>
              </w:rPr>
              <w:t>（</w:t>
            </w:r>
            <w:r>
              <w:rPr>
                <w:rFonts w:hint="eastAsia" w:ascii="仿宋" w:hAnsi="仿宋" w:eastAsia="仿宋" w:cs="仿宋"/>
                <w:kern w:val="0"/>
                <w:sz w:val="21"/>
                <w:szCs w:val="21"/>
                <w:lang w:val="en-US" w:eastAsia="zh-CN"/>
              </w:rPr>
              <w:t>综合股</w:t>
            </w:r>
            <w:r>
              <w:rPr>
                <w:rFonts w:hint="eastAsia" w:ascii="仿宋" w:hAnsi="仿宋" w:eastAsia="仿宋" w:cs="仿宋"/>
                <w:snapToGrid w:val="0"/>
                <w:color w:val="000000"/>
                <w:sz w:val="21"/>
                <w:szCs w:val="21"/>
                <w:lang w:eastAsia="zh-CN"/>
              </w:rPr>
              <w:t>）</w:t>
            </w:r>
            <w:r>
              <w:rPr>
                <w:rFonts w:hint="eastAsia" w:ascii="仿宋" w:hAnsi="仿宋" w:eastAsia="仿宋" w:cs="仿宋"/>
                <w:snapToGrid w:val="0"/>
                <w:color w:val="000000"/>
                <w:sz w:val="21"/>
                <w:szCs w:val="21"/>
              </w:rPr>
              <w:t>出具华侨身份证明，通知申请人领取。</w:t>
            </w:r>
          </w:p>
          <w:p>
            <w:p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5.其他法律法规规章文件规定应履行的责任。</w:t>
            </w:r>
          </w:p>
        </w:tc>
        <w:tc>
          <w:tcPr>
            <w:tcW w:w="4861" w:type="dxa"/>
            <w:vAlign w:val="center"/>
          </w:tcPr>
          <w:p>
            <w:pPr>
              <w:widowControl/>
              <w:adjustRightInd w:val="0"/>
              <w:snapToGrid w:val="0"/>
              <w:spacing w:line="300" w:lineRule="exact"/>
              <w:ind w:firstLine="420" w:firstLineChars="200"/>
              <w:rPr>
                <w:rFonts w:hint="eastAsia" w:ascii="仿宋" w:hAnsi="仿宋" w:eastAsia="仿宋" w:cs="仿宋"/>
                <w:snapToGrid w:val="0"/>
                <w:color w:val="000000"/>
                <w:sz w:val="21"/>
                <w:szCs w:val="21"/>
              </w:rPr>
            </w:pPr>
          </w:p>
          <w:p>
            <w:p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【规范性文件】《国务院侨务办公室关于印发〈关于对华侨外籍华人归侨侨眷身份的规定〉的通知》（国侨发〔2009〕5号）规定：一、华侨是指定居在国外的中国公民。</w:t>
            </w:r>
          </w:p>
          <w:p>
            <w:pPr>
              <w:numPr>
                <w:ilvl w:val="0"/>
                <w:numId w:val="1"/>
              </w:num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定居是指中国公民已取得住在国长期或者永久居留权，并已在住在国连续居留两年，两年内累计居留不少于18个月”。</w:t>
            </w:r>
          </w:p>
          <w:p>
            <w:pPr>
              <w:numPr>
                <w:ilvl w:val="0"/>
                <w:numId w:val="1"/>
              </w:num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中国公民虽未取得住在国长期或者永久居留权，但已取得住在国连续5年以上（含5年）合法居留资格，5年内在住在国累计居留不少于30个月，视为华侨。</w:t>
            </w:r>
          </w:p>
          <w:p>
            <w:pPr>
              <w:numPr>
                <w:ilvl w:val="0"/>
                <w:numId w:val="0"/>
              </w:numPr>
              <w:adjustRightInd w:val="0"/>
              <w:snapToGrid w:val="0"/>
              <w:spacing w:line="300" w:lineRule="exact"/>
              <w:ind w:firstLine="420" w:firstLineChars="200"/>
              <w:rPr>
                <w:rFonts w:hint="eastAsia" w:ascii="仿宋" w:hAnsi="仿宋" w:eastAsia="仿宋" w:cs="仿宋"/>
                <w:snapToGrid w:val="0"/>
                <w:color w:val="000000"/>
                <w:sz w:val="21"/>
                <w:szCs w:val="21"/>
              </w:rPr>
            </w:pPr>
            <w:r>
              <w:rPr>
                <w:rFonts w:hint="eastAsia" w:ascii="仿宋" w:hAnsi="仿宋" w:eastAsia="仿宋" w:cs="仿宋"/>
                <w:snapToGrid w:val="0"/>
                <w:color w:val="000000"/>
                <w:sz w:val="21"/>
                <w:szCs w:val="21"/>
              </w:rPr>
              <w:t>（三）中国公民出国留学（包括公派和自费）在外学习期间，或因公务出国（包括外派劳务人员）在外工作期间，均不视为华侨。</w:t>
            </w:r>
          </w:p>
        </w:tc>
        <w:tc>
          <w:tcPr>
            <w:tcW w:w="2535" w:type="dxa"/>
            <w:vAlign w:val="center"/>
          </w:tcPr>
          <w:p>
            <w:pPr>
              <w:adjustRightInd w:val="0"/>
              <w:snapToGrid w:val="0"/>
              <w:spacing w:line="280" w:lineRule="exact"/>
              <w:rPr>
                <w:rFonts w:hint="eastAsia" w:ascii="仿宋" w:hAnsi="仿宋" w:eastAsia="仿宋" w:cs="仿宋"/>
                <w:kern w:val="0"/>
                <w:sz w:val="21"/>
                <w:szCs w:val="21"/>
              </w:rPr>
            </w:pPr>
            <w:r>
              <w:rPr>
                <w:rFonts w:hint="eastAsia" w:ascii="仿宋" w:hAnsi="仿宋" w:eastAsia="仿宋" w:cs="仿宋"/>
                <w:kern w:val="0"/>
                <w:sz w:val="21"/>
                <w:szCs w:val="21"/>
              </w:rPr>
              <w:t>因不履行或不正确履行行政职责，有下列情形的，行政机关及相关工作人员应承担相应责任：</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1.对符合法定条件的申请不予受理的；对不符合</w:t>
            </w:r>
            <w:r>
              <w:rPr>
                <w:rFonts w:hint="eastAsia" w:ascii="仿宋" w:hAnsi="仿宋" w:eastAsia="仿宋" w:cs="仿宋"/>
                <w:snapToGrid w:val="0"/>
                <w:color w:val="000000"/>
                <w:sz w:val="21"/>
                <w:szCs w:val="21"/>
              </w:rPr>
              <w:t>华侨身份</w:t>
            </w:r>
            <w:r>
              <w:rPr>
                <w:rFonts w:hint="eastAsia" w:ascii="仿宋" w:hAnsi="仿宋" w:eastAsia="仿宋" w:cs="仿宋"/>
                <w:kern w:val="0"/>
                <w:sz w:val="21"/>
                <w:szCs w:val="21"/>
              </w:rPr>
              <w:t>、核发申请人准予</w:t>
            </w:r>
            <w:r>
              <w:rPr>
                <w:rFonts w:hint="eastAsia" w:ascii="仿宋" w:hAnsi="仿宋" w:eastAsia="仿宋" w:cs="仿宋"/>
                <w:kern w:val="0"/>
                <w:sz w:val="21"/>
                <w:szCs w:val="21"/>
                <w:lang w:eastAsia="zh-CN"/>
              </w:rPr>
              <w:t>出具证明</w:t>
            </w:r>
            <w:r>
              <w:rPr>
                <w:rFonts w:hint="eastAsia" w:ascii="仿宋" w:hAnsi="仿宋" w:eastAsia="仿宋" w:cs="仿宋"/>
                <w:kern w:val="0"/>
                <w:sz w:val="21"/>
                <w:szCs w:val="21"/>
              </w:rPr>
              <w:t>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2.对符合</w:t>
            </w:r>
            <w:r>
              <w:rPr>
                <w:rFonts w:hint="eastAsia" w:ascii="仿宋" w:hAnsi="仿宋" w:eastAsia="仿宋" w:cs="仿宋"/>
                <w:snapToGrid w:val="0"/>
                <w:color w:val="000000"/>
                <w:sz w:val="21"/>
                <w:szCs w:val="21"/>
              </w:rPr>
              <w:t>华侨身份</w:t>
            </w:r>
            <w:r>
              <w:rPr>
                <w:rFonts w:hint="eastAsia" w:ascii="仿宋" w:hAnsi="仿宋" w:eastAsia="仿宋" w:cs="仿宋"/>
                <w:kern w:val="0"/>
                <w:sz w:val="21"/>
                <w:szCs w:val="21"/>
              </w:rPr>
              <w:t>条件的申请人不予</w:t>
            </w:r>
            <w:r>
              <w:rPr>
                <w:rFonts w:hint="eastAsia" w:ascii="仿宋" w:hAnsi="仿宋" w:eastAsia="仿宋" w:cs="仿宋"/>
                <w:snapToGrid w:val="0"/>
                <w:color w:val="000000"/>
                <w:sz w:val="21"/>
                <w:szCs w:val="21"/>
                <w:lang w:eastAsia="zh-CN"/>
              </w:rPr>
              <w:t>办理</w:t>
            </w:r>
            <w:r>
              <w:rPr>
                <w:rFonts w:hint="eastAsia" w:ascii="仿宋" w:hAnsi="仿宋" w:eastAsia="仿宋" w:cs="仿宋"/>
                <w:kern w:val="0"/>
                <w:sz w:val="21"/>
                <w:szCs w:val="21"/>
              </w:rPr>
              <w:t>或者不在法定期限内作出准予</w:t>
            </w:r>
            <w:r>
              <w:rPr>
                <w:rFonts w:hint="eastAsia" w:ascii="仿宋" w:hAnsi="仿宋" w:eastAsia="仿宋" w:cs="仿宋"/>
                <w:snapToGrid w:val="0"/>
                <w:color w:val="000000"/>
                <w:sz w:val="21"/>
                <w:szCs w:val="21"/>
                <w:lang w:eastAsia="zh-CN"/>
              </w:rPr>
              <w:t>出具华侨身份证明</w:t>
            </w:r>
            <w:r>
              <w:rPr>
                <w:rFonts w:hint="eastAsia" w:ascii="仿宋" w:hAnsi="仿宋" w:eastAsia="仿宋" w:cs="仿宋"/>
                <w:kern w:val="0"/>
                <w:sz w:val="21"/>
                <w:szCs w:val="21"/>
              </w:rPr>
              <w:t>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3.未严格审查验收</w:t>
            </w:r>
            <w:r>
              <w:rPr>
                <w:rFonts w:hint="eastAsia" w:ascii="仿宋" w:hAnsi="仿宋" w:eastAsia="仿宋" w:cs="仿宋"/>
                <w:snapToGrid w:val="0"/>
                <w:color w:val="000000"/>
                <w:sz w:val="21"/>
                <w:szCs w:val="21"/>
              </w:rPr>
              <w:t>华侨身份</w:t>
            </w:r>
            <w:r>
              <w:rPr>
                <w:rFonts w:hint="eastAsia" w:ascii="仿宋" w:hAnsi="仿宋" w:eastAsia="仿宋" w:cs="仿宋"/>
                <w:snapToGrid w:val="0"/>
                <w:color w:val="000000"/>
                <w:sz w:val="21"/>
                <w:szCs w:val="21"/>
                <w:lang w:eastAsia="zh-CN"/>
              </w:rPr>
              <w:t>证明材料</w:t>
            </w:r>
            <w:r>
              <w:rPr>
                <w:rFonts w:hint="eastAsia" w:ascii="仿宋" w:hAnsi="仿宋" w:eastAsia="仿宋" w:cs="仿宋"/>
                <w:kern w:val="0"/>
                <w:sz w:val="21"/>
                <w:szCs w:val="21"/>
              </w:rPr>
              <w:t>，导致公民人身健康.生命财产安全存在重大安全隐患的；造成严重后果的；（驻统战部纪检监察组）。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4</w:t>
            </w:r>
            <w:r>
              <w:rPr>
                <w:rFonts w:hint="eastAsia" w:ascii="仿宋" w:hAnsi="仿宋" w:eastAsia="仿宋" w:cs="仿宋"/>
                <w:kern w:val="0"/>
                <w:sz w:val="21"/>
                <w:szCs w:val="21"/>
              </w:rPr>
              <w:t>.擅自增设.变更</w:t>
            </w:r>
            <w:r>
              <w:rPr>
                <w:rFonts w:hint="eastAsia" w:ascii="仿宋" w:hAnsi="仿宋" w:eastAsia="仿宋" w:cs="仿宋"/>
                <w:snapToGrid w:val="0"/>
                <w:color w:val="000000"/>
                <w:sz w:val="21"/>
                <w:szCs w:val="21"/>
              </w:rPr>
              <w:t>华侨身份</w:t>
            </w:r>
            <w:r>
              <w:rPr>
                <w:rFonts w:hint="eastAsia" w:ascii="仿宋" w:hAnsi="仿宋" w:eastAsia="仿宋" w:cs="仿宋"/>
                <w:snapToGrid w:val="0"/>
                <w:color w:val="000000"/>
                <w:sz w:val="21"/>
                <w:szCs w:val="21"/>
                <w:lang w:eastAsia="zh-CN"/>
              </w:rPr>
              <w:t>证明材料</w:t>
            </w:r>
            <w:r>
              <w:rPr>
                <w:rFonts w:hint="eastAsia" w:ascii="仿宋" w:hAnsi="仿宋" w:eastAsia="仿宋" w:cs="仿宋"/>
                <w:kern w:val="0"/>
                <w:sz w:val="21"/>
                <w:szCs w:val="21"/>
              </w:rPr>
              <w:t>，核发审批程序或审批条件的；在</w:t>
            </w:r>
            <w:r>
              <w:rPr>
                <w:rFonts w:hint="eastAsia" w:ascii="仿宋" w:hAnsi="仿宋" w:eastAsia="仿宋" w:cs="仿宋"/>
                <w:snapToGrid w:val="0"/>
                <w:color w:val="000000"/>
                <w:sz w:val="21"/>
                <w:szCs w:val="21"/>
              </w:rPr>
              <w:t>华侨身份</w:t>
            </w:r>
            <w:r>
              <w:rPr>
                <w:rFonts w:hint="eastAsia" w:ascii="仿宋" w:hAnsi="仿宋" w:eastAsia="仿宋" w:cs="仿宋"/>
                <w:snapToGrid w:val="0"/>
                <w:color w:val="000000"/>
                <w:sz w:val="21"/>
                <w:szCs w:val="21"/>
                <w:lang w:eastAsia="zh-CN"/>
              </w:rPr>
              <w:t>证明</w:t>
            </w:r>
            <w:r>
              <w:rPr>
                <w:rFonts w:hint="eastAsia" w:ascii="仿宋" w:hAnsi="仿宋" w:eastAsia="仿宋" w:cs="仿宋"/>
                <w:kern w:val="0"/>
                <w:sz w:val="21"/>
                <w:szCs w:val="21"/>
              </w:rPr>
              <w:t>，核发</w:t>
            </w:r>
            <w:r>
              <w:rPr>
                <w:rFonts w:hint="eastAsia" w:ascii="仿宋" w:hAnsi="仿宋" w:eastAsia="仿宋" w:cs="仿宋"/>
                <w:kern w:val="0"/>
                <w:sz w:val="21"/>
                <w:szCs w:val="21"/>
                <w:lang w:eastAsia="zh-CN"/>
              </w:rPr>
              <w:t>确认</w:t>
            </w:r>
            <w:r>
              <w:rPr>
                <w:rFonts w:hint="eastAsia" w:ascii="仿宋" w:hAnsi="仿宋" w:eastAsia="仿宋" w:cs="仿宋"/>
                <w:kern w:val="0"/>
                <w:sz w:val="21"/>
                <w:szCs w:val="21"/>
              </w:rPr>
              <w:t>审</w:t>
            </w:r>
            <w:r>
              <w:rPr>
                <w:rFonts w:hint="eastAsia" w:ascii="仿宋" w:hAnsi="仿宋" w:eastAsia="仿宋" w:cs="仿宋"/>
                <w:kern w:val="0"/>
                <w:sz w:val="21"/>
                <w:szCs w:val="21"/>
                <w:lang w:eastAsia="zh-CN"/>
              </w:rPr>
              <w:t>核</w:t>
            </w:r>
            <w:r>
              <w:rPr>
                <w:rFonts w:hint="eastAsia" w:ascii="仿宋" w:hAnsi="仿宋" w:eastAsia="仿宋" w:cs="仿宋"/>
                <w:kern w:val="0"/>
                <w:sz w:val="21"/>
                <w:szCs w:val="21"/>
              </w:rPr>
              <w:t xml:space="preserve">过程中违法收取费用的；（驻统战部纪检监察组）。                </w:t>
            </w:r>
          </w:p>
          <w:p>
            <w:pPr>
              <w:adjustRightInd w:val="0"/>
              <w:snapToGrid w:val="0"/>
              <w:spacing w:line="28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w:t>
            </w:r>
            <w:r>
              <w:rPr>
                <w:rFonts w:hint="eastAsia" w:ascii="仿宋" w:hAnsi="仿宋" w:eastAsia="仿宋" w:cs="仿宋"/>
                <w:kern w:val="0"/>
                <w:sz w:val="21"/>
                <w:szCs w:val="21"/>
              </w:rPr>
              <w:t>.其他违反法律法规政策规定的行为.（驻统战部纪检监察组）。</w:t>
            </w:r>
          </w:p>
          <w:p>
            <w:pPr>
              <w:adjustRightInd w:val="0"/>
              <w:snapToGrid w:val="0"/>
              <w:spacing w:line="280" w:lineRule="exact"/>
              <w:ind w:firstLine="420" w:firstLineChars="200"/>
              <w:rPr>
                <w:rFonts w:hint="eastAsia" w:ascii="仿宋" w:hAnsi="仿宋" w:eastAsia="仿宋" w:cs="仿宋"/>
                <w:kern w:val="0"/>
                <w:sz w:val="21"/>
                <w:szCs w:val="21"/>
              </w:rPr>
            </w:pPr>
          </w:p>
        </w:tc>
        <w:tc>
          <w:tcPr>
            <w:tcW w:w="3219" w:type="dxa"/>
            <w:vAlign w:val="center"/>
          </w:tcPr>
          <w:p>
            <w:pPr>
              <w:adjustRightInd w:val="0"/>
              <w:snapToGrid w:val="0"/>
              <w:spacing w:line="300" w:lineRule="exact"/>
              <w:rPr>
                <w:rFonts w:hint="eastAsia" w:ascii="仿宋" w:hAnsi="仿宋" w:eastAsia="仿宋" w:cs="仿宋"/>
                <w:kern w:val="0"/>
                <w:sz w:val="21"/>
                <w:szCs w:val="21"/>
              </w:rPr>
            </w:pP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1</w:t>
            </w:r>
            <w:r>
              <w:rPr>
                <w:rFonts w:hint="eastAsia" w:ascii="仿宋" w:hAnsi="仿宋" w:eastAsia="仿宋" w:cs="仿宋"/>
                <w:kern w:val="0"/>
                <w:sz w:val="21"/>
                <w:szCs w:val="21"/>
              </w:rPr>
              <w:t>.【行政法规】《行政机关公务员处十条有下列行为之一的，给予记过、记大过处分；情节较重的，给予降级或者撤职处分；情节严重的，给予开除处分：（四）其他玩忽职守、贻误工作的行为。</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2.【行政法规】《行政机关公务员处分条例》（国务院令第495号）第ニ十三条有贪污、索贿、受贿、行贿、介绍贿赂、挪用公款、利用职务之便为</w:t>
            </w:r>
            <w:r>
              <w:rPr>
                <w:rFonts w:hint="eastAsia" w:ascii="仿宋" w:hAnsi="仿宋" w:eastAsia="仿宋" w:cs="仿宋"/>
                <w:kern w:val="0"/>
                <w:sz w:val="21"/>
                <w:szCs w:val="21"/>
                <w:lang w:eastAsia="zh-CN"/>
              </w:rPr>
              <w:t>自己</w:t>
            </w:r>
            <w:r>
              <w:rPr>
                <w:rFonts w:hint="eastAsia" w:ascii="仿宋" w:hAnsi="仿宋" w:eastAsia="仿宋" w:cs="仿宋"/>
                <w:kern w:val="0"/>
                <w:sz w:val="21"/>
                <w:szCs w:val="21"/>
              </w:rPr>
              <w:t>或者他人谋取私利、巨额财产来源不明等违反廉政纪律行为的，给子记过或者记大过处分；情节较重的，给予降级或者撤职处分；情节严重的，给子开除处分。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3.【行政法规】《行政机关公务员处分条例》（国务院令第495号）第ニ十八条严重违反公务员职业道德，工作作风懈怠、工作态度恶劣，造成不良影响的，给予警告、记过或者记大过处分。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法律】《中华人民共和国公务员法》（中华人民共和国主席令第三十五号，自2006年1月1日起施行。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5.同4.</w:t>
            </w:r>
          </w:p>
        </w:tc>
        <w:tc>
          <w:tcPr>
            <w:tcW w:w="488" w:type="dxa"/>
            <w:vAlign w:val="center"/>
          </w:tcPr>
          <w:p>
            <w:pPr>
              <w:adjustRightInd w:val="0"/>
              <w:snapToGrid w:val="0"/>
              <w:spacing w:line="30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法律法规规定的免责情形及市委、市人民政府有关文件中明确的免责情形。</w:t>
            </w:r>
          </w:p>
        </w:tc>
        <w:tc>
          <w:tcPr>
            <w:tcW w:w="346" w:type="dxa"/>
            <w:vAlign w:val="center"/>
          </w:tcPr>
          <w:p>
            <w:pPr>
              <w:adjustRightInd w:val="0"/>
              <w:snapToGrid w:val="0"/>
              <w:spacing w:line="300" w:lineRule="exact"/>
              <w:jc w:val="center"/>
              <w:rPr>
                <w:rFonts w:hint="eastAsia" w:ascii="仿宋" w:hAnsi="仿宋" w:eastAsia="仿宋" w:cs="仿宋"/>
                <w:kern w:val="0"/>
                <w:sz w:val="21"/>
                <w:szCs w:val="21"/>
              </w:rPr>
            </w:pPr>
          </w:p>
        </w:tc>
      </w:tr>
    </w:tbl>
    <w:p>
      <w:pPr>
        <w:adjustRightInd w:val="0"/>
        <w:snapToGrid w:val="0"/>
        <w:spacing w:line="20" w:lineRule="exact"/>
        <w:rPr>
          <w:rFonts w:hint="eastAsia" w:ascii="仿宋" w:hAnsi="仿宋" w:eastAsia="仿宋" w:cs="仿宋"/>
          <w:sz w:val="21"/>
          <w:szCs w:val="21"/>
        </w:rPr>
      </w:pPr>
    </w:p>
    <w:p/>
    <w:sectPr>
      <w:footerReference r:id="rId3" w:type="even"/>
      <w:pgSz w:w="23814" w:h="16840" w:orient="landscape"/>
      <w:pgMar w:top="1440" w:right="1800" w:bottom="1440" w:left="1800"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ESI黑体-GB2312">
    <w:altName w:val="黑体"/>
    <w:panose1 w:val="02000500000000000000"/>
    <w:charset w:val="86"/>
    <w:family w:val="auto"/>
    <w:pitch w:val="default"/>
    <w:sig w:usb0="00000000" w:usb1="00000000" w:usb2="00000012" w:usb3="00000000" w:csb0="0004000F" w:csb1="00000000"/>
  </w:font>
  <w:font w:name="方正书宋_GBK">
    <w:altName w:val="微软雅黑"/>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fldChar w:fldCharType="begin"/>
    </w:r>
    <w:r>
      <w:rPr>
        <w:rStyle w:val="4"/>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82F37"/>
    <w:multiLevelType w:val="singleLevel"/>
    <w:tmpl w:val="62182F3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E6B72"/>
    <w:rsid w:val="00063802"/>
    <w:rsid w:val="00E377AC"/>
    <w:rsid w:val="031A1FA4"/>
    <w:rsid w:val="03A30134"/>
    <w:rsid w:val="05FA4B82"/>
    <w:rsid w:val="10704DFA"/>
    <w:rsid w:val="11D80BF2"/>
    <w:rsid w:val="14554C03"/>
    <w:rsid w:val="149E6B72"/>
    <w:rsid w:val="189C6E72"/>
    <w:rsid w:val="1A9D2EC8"/>
    <w:rsid w:val="1E8E3140"/>
    <w:rsid w:val="21452A78"/>
    <w:rsid w:val="2E9725BF"/>
    <w:rsid w:val="2FEB2CEB"/>
    <w:rsid w:val="37035764"/>
    <w:rsid w:val="3768265F"/>
    <w:rsid w:val="3C366C27"/>
    <w:rsid w:val="3D6C7CB0"/>
    <w:rsid w:val="3DEA349F"/>
    <w:rsid w:val="3FF359EE"/>
    <w:rsid w:val="442035E8"/>
    <w:rsid w:val="44DE328D"/>
    <w:rsid w:val="44EC615E"/>
    <w:rsid w:val="45791B6F"/>
    <w:rsid w:val="463E02C4"/>
    <w:rsid w:val="4A9B4C92"/>
    <w:rsid w:val="508D019A"/>
    <w:rsid w:val="52372FE3"/>
    <w:rsid w:val="52795949"/>
    <w:rsid w:val="539D664D"/>
    <w:rsid w:val="563E00E9"/>
    <w:rsid w:val="56F17841"/>
    <w:rsid w:val="5B956244"/>
    <w:rsid w:val="5F250A96"/>
    <w:rsid w:val="649D1A59"/>
    <w:rsid w:val="6EEC4BA7"/>
    <w:rsid w:val="71BD3B48"/>
    <w:rsid w:val="720A2F63"/>
    <w:rsid w:val="76D22C45"/>
    <w:rsid w:val="77A00181"/>
    <w:rsid w:val="77E1265B"/>
    <w:rsid w:val="7B92715F"/>
    <w:rsid w:val="7C243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市直</Company>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2022-02-24T08:30:00Z</dcterms:created>
  <dc:creator>Administrator</dc:creator>
  <cp:lastModifiedBy>Administrator</cp:lastModifiedBy>
  <cp:lastPrinted>2022-03-31T01:58:00Z</cp:lastPrinted>
  <dcterms:modified xsi:type="dcterms:W3CDTF">2025-01-16T07:38:06Z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