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6C935">
      <w:pPr>
        <w:adjustRightInd w:val="0"/>
        <w:snapToGrid w:val="0"/>
        <w:spacing w:line="570" w:lineRule="exact"/>
        <w:jc w:val="center"/>
        <w:rPr>
          <w:rFonts w:hint="eastAsia" w:ascii="方正小标宋_GBK" w:eastAsia="方正小标宋_GBK"/>
          <w:sz w:val="44"/>
          <w:szCs w:val="44"/>
          <w:lang w:val="en-US" w:eastAsia="zh-CN"/>
        </w:rPr>
      </w:pPr>
      <w:bookmarkStart w:id="0" w:name="_GoBack"/>
      <w:bookmarkEnd w:id="0"/>
    </w:p>
    <w:p w14:paraId="34DB5F58">
      <w:pPr>
        <w:adjustRightInd w:val="0"/>
        <w:snapToGrid w:val="0"/>
        <w:spacing w:line="520" w:lineRule="exact"/>
        <w:jc w:val="center"/>
        <w:rPr>
          <w:rFonts w:ascii="方正小标宋_GBK" w:eastAsia="方正小标宋_GBK"/>
          <w:sz w:val="44"/>
          <w:szCs w:val="44"/>
        </w:rPr>
      </w:pPr>
      <w:r>
        <w:rPr>
          <w:rFonts w:hint="eastAsia" w:ascii="方正小标宋_GBK" w:eastAsia="方正小标宋_GBK"/>
          <w:sz w:val="44"/>
          <w:szCs w:val="44"/>
          <w:lang w:val="en-US" w:eastAsia="zh-CN"/>
        </w:rPr>
        <w:t>永福县委宣传部(新闻出版局、网信办）</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tbl>
      <w:tblPr>
        <w:tblStyle w:val="4"/>
        <w:tblW w:w="21578" w:type="dxa"/>
        <w:tblInd w:w="0" w:type="dxa"/>
        <w:tblLayout w:type="fixed"/>
        <w:tblCellMar>
          <w:top w:w="28" w:type="dxa"/>
          <w:left w:w="28" w:type="dxa"/>
          <w:bottom w:w="28" w:type="dxa"/>
          <w:right w:w="28" w:type="dxa"/>
        </w:tblCellMar>
      </w:tblPr>
      <w:tblGrid>
        <w:gridCol w:w="409"/>
        <w:gridCol w:w="548"/>
        <w:gridCol w:w="523"/>
        <w:gridCol w:w="548"/>
        <w:gridCol w:w="536"/>
        <w:gridCol w:w="809"/>
        <w:gridCol w:w="2557"/>
        <w:gridCol w:w="1916"/>
        <w:gridCol w:w="5372"/>
        <w:gridCol w:w="1718"/>
        <w:gridCol w:w="4908"/>
        <w:gridCol w:w="908"/>
        <w:gridCol w:w="826"/>
      </w:tblGrid>
      <w:tr w14:paraId="5F6255C0">
        <w:tblPrEx>
          <w:tblCellMar>
            <w:top w:w="28" w:type="dxa"/>
            <w:left w:w="28" w:type="dxa"/>
            <w:bottom w:w="28" w:type="dxa"/>
            <w:right w:w="28" w:type="dxa"/>
          </w:tblCellMar>
        </w:tblPrEx>
        <w:trPr>
          <w:trHeight w:val="290" w:hRule="atLeast"/>
          <w:tblHeader/>
        </w:trPr>
        <w:tc>
          <w:tcPr>
            <w:tcW w:w="409" w:type="dxa"/>
            <w:vMerge w:val="restart"/>
            <w:tcBorders>
              <w:top w:val="single" w:color="auto" w:sz="4" w:space="0"/>
              <w:left w:val="single" w:color="auto" w:sz="4" w:space="0"/>
              <w:bottom w:val="single" w:color="auto" w:sz="4" w:space="0"/>
              <w:right w:val="single" w:color="auto" w:sz="4" w:space="0"/>
            </w:tcBorders>
            <w:vAlign w:val="center"/>
          </w:tcPr>
          <w:p w14:paraId="0FDDCDCB">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序号</w:t>
            </w:r>
          </w:p>
        </w:tc>
        <w:tc>
          <w:tcPr>
            <w:tcW w:w="548" w:type="dxa"/>
            <w:vMerge w:val="restart"/>
            <w:tcBorders>
              <w:top w:val="single" w:color="auto" w:sz="4" w:space="0"/>
              <w:left w:val="single" w:color="auto" w:sz="4" w:space="0"/>
              <w:bottom w:val="single" w:color="auto" w:sz="4" w:space="0"/>
              <w:right w:val="single" w:color="auto" w:sz="4" w:space="0"/>
            </w:tcBorders>
            <w:vAlign w:val="center"/>
          </w:tcPr>
          <w:p w14:paraId="2A848D06">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权力分类</w:t>
            </w:r>
          </w:p>
        </w:tc>
        <w:tc>
          <w:tcPr>
            <w:tcW w:w="4973" w:type="dxa"/>
            <w:gridSpan w:val="5"/>
            <w:tcBorders>
              <w:top w:val="single" w:color="auto" w:sz="4" w:space="0"/>
              <w:left w:val="nil"/>
              <w:bottom w:val="single" w:color="auto" w:sz="4" w:space="0"/>
              <w:right w:val="single" w:color="auto" w:sz="4" w:space="0"/>
            </w:tcBorders>
            <w:vAlign w:val="center"/>
          </w:tcPr>
          <w:p w14:paraId="03DD8867">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权力清单</w:t>
            </w:r>
          </w:p>
        </w:tc>
        <w:tc>
          <w:tcPr>
            <w:tcW w:w="14822" w:type="dxa"/>
            <w:gridSpan w:val="5"/>
            <w:tcBorders>
              <w:top w:val="single" w:color="auto" w:sz="4" w:space="0"/>
              <w:left w:val="nil"/>
              <w:bottom w:val="single" w:color="auto" w:sz="4" w:space="0"/>
              <w:right w:val="single" w:color="auto" w:sz="4" w:space="0"/>
            </w:tcBorders>
            <w:vAlign w:val="center"/>
          </w:tcPr>
          <w:p w14:paraId="0556947A">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责任清单</w:t>
            </w:r>
          </w:p>
        </w:tc>
        <w:tc>
          <w:tcPr>
            <w:tcW w:w="826" w:type="dxa"/>
            <w:vMerge w:val="restart"/>
            <w:tcBorders>
              <w:top w:val="single" w:color="auto" w:sz="4" w:space="0"/>
              <w:left w:val="single" w:color="auto" w:sz="4" w:space="0"/>
              <w:bottom w:val="single" w:color="auto" w:sz="4" w:space="0"/>
              <w:right w:val="single" w:color="auto" w:sz="4" w:space="0"/>
            </w:tcBorders>
            <w:vAlign w:val="center"/>
          </w:tcPr>
          <w:p w14:paraId="0F8356AB">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备注</w:t>
            </w:r>
          </w:p>
        </w:tc>
      </w:tr>
      <w:tr w14:paraId="05E0FBCD">
        <w:tblPrEx>
          <w:tblCellMar>
            <w:top w:w="28" w:type="dxa"/>
            <w:left w:w="28" w:type="dxa"/>
            <w:bottom w:w="28" w:type="dxa"/>
            <w:right w:w="28" w:type="dxa"/>
          </w:tblCellMar>
        </w:tblPrEx>
        <w:trPr>
          <w:tblHeader/>
        </w:trPr>
        <w:tc>
          <w:tcPr>
            <w:tcW w:w="409" w:type="dxa"/>
            <w:vMerge w:val="continue"/>
            <w:tcBorders>
              <w:top w:val="single" w:color="auto" w:sz="4" w:space="0"/>
              <w:left w:val="single" w:color="auto" w:sz="4" w:space="0"/>
              <w:bottom w:val="single" w:color="auto" w:sz="4" w:space="0"/>
              <w:right w:val="single" w:color="auto" w:sz="4" w:space="0"/>
            </w:tcBorders>
            <w:vAlign w:val="center"/>
          </w:tcPr>
          <w:p w14:paraId="07DFAB0B">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p>
        </w:tc>
        <w:tc>
          <w:tcPr>
            <w:tcW w:w="548" w:type="dxa"/>
            <w:vMerge w:val="continue"/>
            <w:tcBorders>
              <w:top w:val="single" w:color="auto" w:sz="4" w:space="0"/>
              <w:left w:val="single" w:color="auto" w:sz="4" w:space="0"/>
              <w:bottom w:val="single" w:color="auto" w:sz="4" w:space="0"/>
              <w:right w:val="single" w:color="auto" w:sz="4" w:space="0"/>
            </w:tcBorders>
            <w:vAlign w:val="center"/>
          </w:tcPr>
          <w:p w14:paraId="5F56E401">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p>
        </w:tc>
        <w:tc>
          <w:tcPr>
            <w:tcW w:w="523" w:type="dxa"/>
            <w:tcBorders>
              <w:top w:val="single" w:color="auto" w:sz="4" w:space="0"/>
              <w:left w:val="nil"/>
              <w:bottom w:val="single" w:color="auto" w:sz="4" w:space="0"/>
              <w:right w:val="single" w:color="auto" w:sz="4" w:space="0"/>
            </w:tcBorders>
            <w:vAlign w:val="center"/>
          </w:tcPr>
          <w:p w14:paraId="24FEC95F">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项目名称</w:t>
            </w:r>
          </w:p>
        </w:tc>
        <w:tc>
          <w:tcPr>
            <w:tcW w:w="548" w:type="dxa"/>
            <w:tcBorders>
              <w:top w:val="single" w:color="auto" w:sz="4" w:space="0"/>
              <w:left w:val="nil"/>
              <w:bottom w:val="single" w:color="auto" w:sz="4" w:space="0"/>
              <w:right w:val="single" w:color="auto" w:sz="4" w:space="0"/>
            </w:tcBorders>
            <w:vAlign w:val="center"/>
          </w:tcPr>
          <w:p w14:paraId="55CFF6F4">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子项</w:t>
            </w:r>
            <w:r>
              <w:rPr>
                <w:rFonts w:hint="eastAsia" w:ascii="方正黑体_GBK" w:hAnsi="黑体" w:eastAsia="方正黑体_GBK" w:cs="宋体"/>
                <w:kern w:val="0"/>
                <w:sz w:val="18"/>
                <w:szCs w:val="18"/>
              </w:rPr>
              <w:t>名称</w:t>
            </w:r>
          </w:p>
        </w:tc>
        <w:tc>
          <w:tcPr>
            <w:tcW w:w="536" w:type="dxa"/>
            <w:tcBorders>
              <w:top w:val="single" w:color="auto" w:sz="4" w:space="0"/>
              <w:left w:val="nil"/>
              <w:bottom w:val="single" w:color="auto" w:sz="4" w:space="0"/>
              <w:right w:val="single" w:color="auto" w:sz="4" w:space="0"/>
            </w:tcBorders>
            <w:vAlign w:val="center"/>
          </w:tcPr>
          <w:p w14:paraId="4E242ECC">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ascii="方正黑体_GBK" w:hAnsi="黑体" w:eastAsia="方正黑体_GBK" w:cs="宋体"/>
                <w:kern w:val="0"/>
                <w:sz w:val="18"/>
                <w:szCs w:val="18"/>
              </w:rPr>
              <w:t>实施主体</w:t>
            </w:r>
          </w:p>
        </w:tc>
        <w:tc>
          <w:tcPr>
            <w:tcW w:w="809" w:type="dxa"/>
            <w:tcBorders>
              <w:top w:val="single" w:color="auto" w:sz="4" w:space="0"/>
              <w:left w:val="nil"/>
              <w:bottom w:val="single" w:color="auto" w:sz="4" w:space="0"/>
              <w:right w:val="single" w:color="auto" w:sz="4" w:space="0"/>
            </w:tcBorders>
            <w:vAlign w:val="center"/>
          </w:tcPr>
          <w:p w14:paraId="7B3526F0">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ascii="方正黑体_GBK" w:hAnsi="黑体" w:eastAsia="方正黑体_GBK" w:cs="宋体"/>
                <w:kern w:val="0"/>
                <w:sz w:val="18"/>
                <w:szCs w:val="18"/>
              </w:rPr>
              <w:t>承办的内设机构</w:t>
            </w:r>
          </w:p>
        </w:tc>
        <w:tc>
          <w:tcPr>
            <w:tcW w:w="2557" w:type="dxa"/>
            <w:tcBorders>
              <w:top w:val="single" w:color="auto" w:sz="4" w:space="0"/>
              <w:left w:val="nil"/>
              <w:bottom w:val="single" w:color="auto" w:sz="4" w:space="0"/>
              <w:right w:val="single" w:color="auto" w:sz="4" w:space="0"/>
            </w:tcBorders>
            <w:vAlign w:val="center"/>
          </w:tcPr>
          <w:p w14:paraId="3AEFEB5B">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ascii="方正黑体_GBK" w:hAnsi="黑体" w:eastAsia="方正黑体_GBK" w:cs="宋体"/>
                <w:kern w:val="0"/>
                <w:sz w:val="18"/>
                <w:szCs w:val="18"/>
              </w:rPr>
              <w:t>实施依据</w:t>
            </w:r>
          </w:p>
        </w:tc>
        <w:tc>
          <w:tcPr>
            <w:tcW w:w="1916" w:type="dxa"/>
            <w:tcBorders>
              <w:top w:val="single" w:color="auto" w:sz="4" w:space="0"/>
              <w:left w:val="nil"/>
              <w:bottom w:val="single" w:color="auto" w:sz="4" w:space="0"/>
              <w:right w:val="single" w:color="auto" w:sz="4" w:space="0"/>
            </w:tcBorders>
            <w:vAlign w:val="center"/>
          </w:tcPr>
          <w:p w14:paraId="4D947E76">
            <w:pPr>
              <w:keepNext w:val="0"/>
              <w:keepLines w:val="0"/>
              <w:pageBreakBefore w:val="0"/>
              <w:kinsoku/>
              <w:wordWrap/>
              <w:overflowPunct/>
              <w:topLinePunct w:val="0"/>
              <w:autoSpaceDE/>
              <w:autoSpaceDN/>
              <w:bidi w:val="0"/>
              <w:adjustRightInd w:val="0"/>
              <w:snapToGrid w:val="0"/>
              <w:spacing w:line="200" w:lineRule="exact"/>
              <w:jc w:val="center"/>
              <w:textAlignment w:val="auto"/>
              <w:rPr>
                <w:rFonts w:ascii="方正黑体_GBK" w:hAnsi="黑体" w:eastAsia="方正黑体_GBK" w:cs="宋体"/>
                <w:kern w:val="0"/>
                <w:sz w:val="18"/>
                <w:szCs w:val="18"/>
              </w:rPr>
            </w:pPr>
            <w:r>
              <w:rPr>
                <w:rFonts w:hint="eastAsia" w:ascii="方正黑体_GBK" w:hAnsi="黑体" w:eastAsia="方正黑体_GBK" w:cs="宋体"/>
                <w:kern w:val="0"/>
                <w:sz w:val="18"/>
                <w:szCs w:val="18"/>
              </w:rPr>
              <w:t>责任事项</w:t>
            </w:r>
          </w:p>
          <w:p w14:paraId="461A7BBD">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ascii="方正黑体_GBK" w:hAnsi="黑体" w:eastAsia="方正黑体_GBK" w:cs="宋体"/>
                <w:kern w:val="0"/>
                <w:sz w:val="18"/>
                <w:szCs w:val="18"/>
              </w:rPr>
              <w:t>(明确责任主体)</w:t>
            </w:r>
          </w:p>
        </w:tc>
        <w:tc>
          <w:tcPr>
            <w:tcW w:w="5372" w:type="dxa"/>
            <w:tcBorders>
              <w:top w:val="single" w:color="auto" w:sz="4" w:space="0"/>
              <w:left w:val="nil"/>
              <w:bottom w:val="single" w:color="auto" w:sz="4" w:space="0"/>
              <w:right w:val="single" w:color="auto" w:sz="4" w:space="0"/>
            </w:tcBorders>
            <w:vAlign w:val="center"/>
          </w:tcPr>
          <w:p w14:paraId="7C0AE0A5">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000000"/>
                <w:sz w:val="18"/>
                <w:szCs w:val="18"/>
              </w:rPr>
            </w:pPr>
            <w:r>
              <w:rPr>
                <w:rFonts w:hint="eastAsia" w:eastAsia="黑体" w:cs="黑体"/>
                <w:snapToGrid w:val="0"/>
                <w:color w:val="000000"/>
                <w:sz w:val="18"/>
                <w:szCs w:val="18"/>
              </w:rPr>
              <w:t>责任事项依据</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14:paraId="48AEAE7F">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auto"/>
                <w:sz w:val="18"/>
                <w:szCs w:val="18"/>
                <w:highlight w:val="none"/>
              </w:rPr>
            </w:pPr>
            <w:r>
              <w:rPr>
                <w:rFonts w:hint="eastAsia" w:ascii="方正黑体_GBK" w:hAnsi="黑体" w:eastAsia="方正黑体_GBK" w:cs="宋体"/>
                <w:color w:val="auto"/>
                <w:kern w:val="0"/>
                <w:sz w:val="18"/>
                <w:szCs w:val="18"/>
                <w:highlight w:val="none"/>
              </w:rPr>
              <w:t>追责情形（明确内部追责主体）</w:t>
            </w:r>
          </w:p>
        </w:tc>
        <w:tc>
          <w:tcPr>
            <w:tcW w:w="4908" w:type="dxa"/>
            <w:tcBorders>
              <w:top w:val="single" w:color="auto" w:sz="4" w:space="0"/>
              <w:left w:val="single" w:color="auto" w:sz="4" w:space="0"/>
              <w:bottom w:val="single" w:color="auto" w:sz="4" w:space="0"/>
              <w:right w:val="single" w:color="auto" w:sz="4" w:space="0"/>
            </w:tcBorders>
            <w:shd w:val="clear" w:color="auto" w:fill="auto"/>
            <w:vAlign w:val="center"/>
          </w:tcPr>
          <w:p w14:paraId="580677F0">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黑体" w:cs="黑体"/>
                <w:snapToGrid w:val="0"/>
                <w:color w:val="auto"/>
                <w:sz w:val="18"/>
                <w:szCs w:val="18"/>
                <w:highlight w:val="none"/>
              </w:rPr>
            </w:pPr>
            <w:r>
              <w:rPr>
                <w:rFonts w:hint="eastAsia" w:ascii="方正黑体_GBK" w:hAnsi="黑体" w:eastAsia="方正黑体_GBK" w:cs="宋体"/>
                <w:color w:val="auto"/>
                <w:kern w:val="0"/>
                <w:sz w:val="18"/>
                <w:szCs w:val="18"/>
                <w:highlight w:val="none"/>
              </w:rPr>
              <w:t>追责依据</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1338CA7E">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ascii="方正黑体_GBK" w:hAnsi="黑体" w:eastAsia="方正黑体_GBK" w:cs="宋体"/>
                <w:color w:val="auto"/>
                <w:kern w:val="0"/>
                <w:sz w:val="18"/>
                <w:szCs w:val="18"/>
                <w:highlight w:val="none"/>
              </w:rPr>
            </w:pPr>
            <w:r>
              <w:rPr>
                <w:rFonts w:hint="eastAsia" w:ascii="方正黑体_GBK" w:hAnsi="黑体" w:eastAsia="方正黑体_GBK" w:cs="宋体"/>
                <w:color w:val="auto"/>
                <w:kern w:val="0"/>
                <w:sz w:val="18"/>
                <w:szCs w:val="18"/>
                <w:highlight w:val="none"/>
              </w:rPr>
              <w:t>免责事项</w:t>
            </w:r>
          </w:p>
        </w:tc>
        <w:tc>
          <w:tcPr>
            <w:tcW w:w="826" w:type="dxa"/>
            <w:vMerge w:val="continue"/>
            <w:tcBorders>
              <w:top w:val="single" w:color="auto" w:sz="4" w:space="0"/>
              <w:left w:val="single" w:color="auto" w:sz="4" w:space="0"/>
              <w:bottom w:val="single" w:color="auto" w:sz="4" w:space="0"/>
              <w:right w:val="single" w:color="auto" w:sz="4" w:space="0"/>
            </w:tcBorders>
            <w:vAlign w:val="center"/>
          </w:tcPr>
          <w:p w14:paraId="414DE15E">
            <w:pPr>
              <w:keepNext w:val="0"/>
              <w:keepLines w:val="0"/>
              <w:pageBreakBefore w:val="0"/>
              <w:widowControl/>
              <w:kinsoku/>
              <w:wordWrap/>
              <w:overflowPunct/>
              <w:topLinePunct w:val="0"/>
              <w:autoSpaceDE/>
              <w:autoSpaceDN/>
              <w:bidi w:val="0"/>
              <w:adjustRightInd w:val="0"/>
              <w:snapToGrid w:val="0"/>
              <w:spacing w:line="200" w:lineRule="exact"/>
              <w:jc w:val="center"/>
              <w:textAlignment w:val="auto"/>
              <w:rPr>
                <w:rFonts w:hint="eastAsia" w:eastAsia="仿宋_GB2312" w:cs="仿宋_GB2312"/>
                <w:snapToGrid w:val="0"/>
                <w:color w:val="000000"/>
                <w:sz w:val="18"/>
                <w:szCs w:val="18"/>
              </w:rPr>
            </w:pPr>
          </w:p>
        </w:tc>
      </w:tr>
      <w:tr w14:paraId="0D53F2B1">
        <w:tblPrEx>
          <w:tblCellMar>
            <w:top w:w="28" w:type="dxa"/>
            <w:left w:w="28" w:type="dxa"/>
            <w:bottom w:w="28" w:type="dxa"/>
            <w:right w:w="28" w:type="dxa"/>
          </w:tblCellMar>
        </w:tblPrEx>
        <w:trPr>
          <w:trHeight w:val="11242" w:hRule="atLeast"/>
        </w:trPr>
        <w:tc>
          <w:tcPr>
            <w:tcW w:w="409" w:type="dxa"/>
            <w:tcBorders>
              <w:top w:val="single" w:color="auto" w:sz="4" w:space="0"/>
              <w:left w:val="single" w:color="auto" w:sz="4" w:space="0"/>
              <w:bottom w:val="single" w:color="auto" w:sz="4" w:space="0"/>
              <w:right w:val="single" w:color="auto" w:sz="4" w:space="0"/>
            </w:tcBorders>
            <w:vAlign w:val="center"/>
          </w:tcPr>
          <w:p w14:paraId="0C8BA59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1</w:t>
            </w:r>
          </w:p>
        </w:tc>
        <w:tc>
          <w:tcPr>
            <w:tcW w:w="548" w:type="dxa"/>
            <w:tcBorders>
              <w:top w:val="single" w:color="auto" w:sz="4" w:space="0"/>
              <w:left w:val="nil"/>
              <w:bottom w:val="single" w:color="auto" w:sz="4" w:space="0"/>
              <w:right w:val="single" w:color="auto" w:sz="4" w:space="0"/>
            </w:tcBorders>
            <w:vAlign w:val="center"/>
          </w:tcPr>
          <w:p w14:paraId="3EDBAEE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行政许可</w:t>
            </w:r>
          </w:p>
        </w:tc>
        <w:tc>
          <w:tcPr>
            <w:tcW w:w="523" w:type="dxa"/>
            <w:tcBorders>
              <w:top w:val="single" w:color="auto" w:sz="4" w:space="0"/>
              <w:left w:val="nil"/>
              <w:bottom w:val="single" w:color="auto" w:sz="4" w:space="0"/>
              <w:right w:val="single" w:color="auto" w:sz="4" w:space="0"/>
            </w:tcBorders>
            <w:vAlign w:val="center"/>
          </w:tcPr>
          <w:p w14:paraId="24866A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内部资料性出版物准印证核发</w:t>
            </w:r>
          </w:p>
        </w:tc>
        <w:tc>
          <w:tcPr>
            <w:tcW w:w="548" w:type="dxa"/>
            <w:tcBorders>
              <w:top w:val="single" w:color="auto" w:sz="4" w:space="0"/>
              <w:left w:val="nil"/>
              <w:bottom w:val="single" w:color="auto" w:sz="4" w:space="0"/>
              <w:right w:val="single" w:color="auto" w:sz="4" w:space="0"/>
            </w:tcBorders>
            <w:vAlign w:val="center"/>
          </w:tcPr>
          <w:p w14:paraId="2C479D8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129F5D5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2805BBA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7A2BCF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行政法规】《印刷业管理条例》（2001年国务院令第315号公布，2020年国务院令第732号修订）第二十条第一、二款：印刷企业接受委托印刷内部资料性出版物的，必须验证县级以上地方人民政府出版行政部门核发的准印证。印刷企业接受委托印刷宗教内容的内部资料性出版物的，必须验证省、自治区、直辖市人民政府宗教事务管理部门的批准文件和省、自治区、直辖市人民政府出版行政部门核发的准印证。</w:t>
            </w:r>
          </w:p>
          <w:p w14:paraId="6287103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内部资料性出版物管理办法》（2015年国家新闻出版广电总局令第2号）第三条：对内部资料的编印，实行核发《内部资料性印刷品准印证》（以下简称《准印证》）管理。未经批准取得《准印证》，任何单位和个人不得从事内部资料的编印活动。</w:t>
            </w:r>
          </w:p>
        </w:tc>
        <w:tc>
          <w:tcPr>
            <w:tcW w:w="1916" w:type="dxa"/>
            <w:tcBorders>
              <w:top w:val="single" w:color="auto" w:sz="4" w:space="0"/>
              <w:left w:val="nil"/>
              <w:bottom w:val="single" w:color="auto" w:sz="4" w:space="0"/>
              <w:right w:val="single" w:color="auto" w:sz="4" w:space="0"/>
            </w:tcBorders>
            <w:vAlign w:val="center"/>
          </w:tcPr>
          <w:p w14:paraId="4116887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1.受理责任：公示应当提交的材料；一次性告知补正材料；依法受理或不予受理（不予受理应当告知理由）。</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1FD50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2.审查责任：按照政策规定对书面材料进行审查，提出是否同意审批的初步意见，告知申请人、利害相关人享有听证权利；涉及公共利益的重大许可，向社会公告，并举行听证。</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71958D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3.决定责任：作出行政许可或者不予行政许可决定，法定告知（不予许可的应当书面告知理由）。</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9DD81A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4.送达责任：准予许可的制发送达审批决定。</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66BD8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5.事后监管责任：责任部门对审批后的相关事宜实施监督管理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DE588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9C3E9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2003年主席令第七号公布）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DBCE1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2</w:t>
            </w:r>
            <w:r>
              <w:rPr>
                <w:rFonts w:hint="eastAsia" w:eastAsia="仿宋_GB2312" w:cs="仿宋_GB2312"/>
                <w:snapToGrid w:val="0"/>
                <w:color w:val="000000"/>
                <w:sz w:val="18"/>
                <w:szCs w:val="18"/>
              </w:rPr>
              <w:t>.【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1BED86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51EEB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4.【法律】《中华人民共和国行政许可法》第四十条：行政机关作出准予行政许可的决定，应当予以公开，公众有权查阅。</w:t>
            </w:r>
          </w:p>
          <w:p w14:paraId="705843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第四十四条：行政机关作出准予行政许可的决定，应当自作出决定之日起十日内向申请人颁发、送达行政许可证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加贴标签、加盖检验、检测、检疫印章。</w:t>
            </w:r>
          </w:p>
          <w:p w14:paraId="2C5196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p w14:paraId="0792362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6.</w:t>
            </w:r>
            <w:r>
              <w:rPr>
                <w:rFonts w:hint="eastAsia" w:eastAsia="仿宋_GB2312" w:cs="仿宋_GB2312"/>
                <w:snapToGrid w:val="0"/>
                <w:color w:val="000000"/>
                <w:sz w:val="18"/>
                <w:szCs w:val="18"/>
              </w:rPr>
              <w:t>【部门规章】《内部资料性出版物管理办法》（2015年新闻出版广电总局令第2号公布）第三条：对内部资料的编印，实行核发《内部资料性印刷品准印证》（以下简称《准印证》）管理。未经批准取得《准印证》，任何单位和个人不得从事内部资料的编印活动。第四条　编印内部资料，应当向所在地省、自治区、直辖市新闻出版行政部门提出申请，经审核批准，领取《准印证》后，方可从事编印活动。</w:t>
            </w:r>
          </w:p>
          <w:p w14:paraId="41FF72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7</w:t>
            </w:r>
            <w:r>
              <w:rPr>
                <w:rFonts w:hint="eastAsia" w:eastAsia="仿宋_GB2312" w:cs="仿宋_GB2312"/>
                <w:snapToGrid w:val="0"/>
                <w:color w:val="000000"/>
                <w:sz w:val="18"/>
                <w:szCs w:val="18"/>
              </w:rPr>
              <w:t>．【部门规章】《内部资料性出版物管理办法》（2015年新闻出版广电总局令第2号公布）第五条：申请编印一次性内部资料，须符合以下条件：申请方应为党政机关、企事业、社会团体等单位；编印目的及发送范围符合本办法第二条的规定，编印内容与编印单位的性质和能力相一致；稿件内容符合本办法第十三条的规定；拟委托印刷的单位为出版物印刷企业。</w:t>
            </w:r>
          </w:p>
          <w:p w14:paraId="0BB72C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8</w:t>
            </w:r>
            <w:r>
              <w:rPr>
                <w:rFonts w:hint="eastAsia" w:eastAsia="仿宋_GB2312" w:cs="仿宋_GB2312"/>
                <w:snapToGrid w:val="0"/>
                <w:color w:val="000000"/>
                <w:sz w:val="18"/>
                <w:szCs w:val="18"/>
              </w:rPr>
              <w:t>．【部门规章】《内部资料性出版物管理办法》（2015年新闻出版广电总局令第2号公布）第十条：省、自治区、直辖市新闻出版行政部门自受理申请之日起20日内作出审批决定。决定批准的，核发一次性内部资料或者连续性内部资料《准印证》；不予批准的，应当书面说明理由。</w:t>
            </w:r>
          </w:p>
        </w:tc>
        <w:tc>
          <w:tcPr>
            <w:tcW w:w="1718" w:type="dxa"/>
            <w:tcBorders>
              <w:top w:val="single" w:color="auto" w:sz="4" w:space="0"/>
              <w:left w:val="nil"/>
              <w:bottom w:val="single" w:color="auto" w:sz="4" w:space="0"/>
              <w:right w:val="single" w:color="auto" w:sz="4" w:space="0"/>
            </w:tcBorders>
            <w:vAlign w:val="center"/>
          </w:tcPr>
          <w:p w14:paraId="3C5C7D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因不履行或不正确履行行政职责，有下列情形的，行政机关及相关工作人员应承担相应责任：</w:t>
            </w:r>
          </w:p>
          <w:p w14:paraId="31D8C8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 xml:space="preserve">1.对符合条件的申请不予办理或不在法定期限内办理 </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w:t>
            </w:r>
          </w:p>
          <w:p w14:paraId="493162F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2.对不符合许可条件的予以许可的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F5AE16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3.未严格审查申报材料或弄虚作假审批，不按照法定条件或者违反法定程序审核、审批，有失职行为的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1030F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4.在审批过程中乱收费用，情节严重的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w:t>
            </w:r>
          </w:p>
          <w:p w14:paraId="379E05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5.利用职务上的便利，索取他人财物，为他人谋取利益的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w:t>
            </w:r>
          </w:p>
          <w:p w14:paraId="77BD3A1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6.除以上追责情形外，其他违反法律法规规章的行为依法追究相应责任</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w:t>
            </w:r>
          </w:p>
        </w:tc>
        <w:tc>
          <w:tcPr>
            <w:tcW w:w="4908" w:type="dxa"/>
            <w:tcBorders>
              <w:top w:val="single" w:color="auto" w:sz="4" w:space="0"/>
              <w:left w:val="nil"/>
              <w:bottom w:val="single" w:color="auto" w:sz="4" w:space="0"/>
              <w:right w:val="single" w:color="auto" w:sz="4" w:space="0"/>
            </w:tcBorders>
            <w:vAlign w:val="center"/>
          </w:tcPr>
          <w:p w14:paraId="7CC0A9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3F6F88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-1.【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5C6175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2-2.【行政法规】《出版管理条例》（2001年国务院令第343号公布，2016年02月06日国务院令第666号第四次修订）　第六十条：出版行政主管部门或者其他有关部门的工作人员，利用职务上的便利收受他人财物或者其他好处，批准不符合法定条件的申请人取得许可证、批准文件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不履行监督职责</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发现违法行为不予查处，造成严重后果的，依法给予降级直至开除的处分；构成犯罪的，依照刑法关于受贿罪、滥用职权罪、玩忽职守罪或者其他罪的规定，依法追究刑事责任。</w:t>
            </w:r>
          </w:p>
          <w:p w14:paraId="0C4EC0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1D6FE3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-1．【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14:paraId="2A01C1E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4-2.【行政法规】《印刷业管理条例》（2001年8月2日国务院令第315号公布，根据2017年3月1日国务院令第676号修改）第四十七条：出版行政部门、工商行政管理部门或者其他有关部门违反本条 例规定，擅自批准不符合法定条件的申请人取得许可证、批准文件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不履行监督职责</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发现违法行为不予查处，造成严重后果的，对负责的主管人员和 其他直接责任人员给予降级或者撤职的处分；构成犯罪的，依法追究刑事责任。</w:t>
            </w:r>
          </w:p>
          <w:p w14:paraId="68AA457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法律】《中华人民共和国行政许可法》第七十三条：行政机关工作人员办理行政许可、实施监督检查，索取或者收受他人财物或者谋取其他利益，构成犯罪的，依法追究刑事责任；尚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5D24C0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法律法规规定的免责情形以及《自治区党委办公厅关于印发〈深入推进激励干部新时代新担当新作为工作实施方案〉》中明确的免责情形。</w:t>
            </w:r>
          </w:p>
        </w:tc>
        <w:tc>
          <w:tcPr>
            <w:tcW w:w="826" w:type="dxa"/>
            <w:tcBorders>
              <w:top w:val="single" w:color="auto" w:sz="4" w:space="0"/>
              <w:left w:val="nil"/>
              <w:bottom w:val="single" w:color="auto" w:sz="4" w:space="0"/>
              <w:right w:val="single" w:color="auto" w:sz="4" w:space="0"/>
            </w:tcBorders>
            <w:vAlign w:val="center"/>
          </w:tcPr>
          <w:p w14:paraId="29B1E9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EFE42FC">
        <w:tblPrEx>
          <w:tblCellMar>
            <w:top w:w="28" w:type="dxa"/>
            <w:left w:w="28" w:type="dxa"/>
            <w:bottom w:w="28" w:type="dxa"/>
            <w:right w:w="28" w:type="dxa"/>
          </w:tblCellMar>
        </w:tblPrEx>
        <w:trPr>
          <w:trHeight w:val="13098" w:hRule="atLeast"/>
        </w:trPr>
        <w:tc>
          <w:tcPr>
            <w:tcW w:w="409" w:type="dxa"/>
            <w:tcBorders>
              <w:top w:val="single" w:color="auto" w:sz="4" w:space="0"/>
              <w:left w:val="single" w:color="auto" w:sz="4" w:space="0"/>
              <w:bottom w:val="single" w:color="auto" w:sz="4" w:space="0"/>
              <w:right w:val="single" w:color="auto" w:sz="4" w:space="0"/>
            </w:tcBorders>
            <w:vAlign w:val="center"/>
          </w:tcPr>
          <w:p w14:paraId="32B25B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2</w:t>
            </w:r>
          </w:p>
        </w:tc>
        <w:tc>
          <w:tcPr>
            <w:tcW w:w="548" w:type="dxa"/>
            <w:tcBorders>
              <w:top w:val="single" w:color="auto" w:sz="4" w:space="0"/>
              <w:left w:val="nil"/>
              <w:bottom w:val="single" w:color="auto" w:sz="4" w:space="0"/>
              <w:right w:val="single" w:color="auto" w:sz="4" w:space="0"/>
            </w:tcBorders>
            <w:vAlign w:val="center"/>
          </w:tcPr>
          <w:p w14:paraId="6D63C5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行政许可</w:t>
            </w:r>
          </w:p>
        </w:tc>
        <w:tc>
          <w:tcPr>
            <w:tcW w:w="523" w:type="dxa"/>
            <w:tcBorders>
              <w:top w:val="single" w:color="auto" w:sz="4" w:space="0"/>
              <w:left w:val="nil"/>
              <w:bottom w:val="single" w:color="auto" w:sz="4" w:space="0"/>
              <w:right w:val="single" w:color="auto" w:sz="4" w:space="0"/>
            </w:tcBorders>
            <w:vAlign w:val="center"/>
          </w:tcPr>
          <w:p w14:paraId="5288993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电影放映单位（内资）设立审批</w:t>
            </w:r>
          </w:p>
        </w:tc>
        <w:tc>
          <w:tcPr>
            <w:tcW w:w="548" w:type="dxa"/>
            <w:tcBorders>
              <w:top w:val="single" w:color="auto" w:sz="4" w:space="0"/>
              <w:left w:val="nil"/>
              <w:bottom w:val="single" w:color="auto" w:sz="4" w:space="0"/>
              <w:right w:val="single" w:color="auto" w:sz="4" w:space="0"/>
            </w:tcBorders>
            <w:vAlign w:val="center"/>
          </w:tcPr>
          <w:p w14:paraId="61BDC0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38971F6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41F47A5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4A17FB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电影产业促进法》第二十四条：企业、个体工商户具有与所从事的电影放映活动相适应的人员、场所、技术、和设备等条件的，经所在地县级人民政府电影主管部门批准，可以从事电影院等固定放映场所电影放映活动。</w:t>
            </w:r>
          </w:p>
          <w:p w14:paraId="70DFED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二十五条：依照本法规定负责电影发行、放映活动审批的电影主管部门，应当自受理申请之日起三十日内，作出批准或者不批准的决定。对符合条件的，予以批准，颁发电影发行经营许可证或者电影放映经营许可证，并予以公布；对不符合条件的，不予批准，书面通知申请人并说明理由。</w:t>
            </w:r>
          </w:p>
          <w:p w14:paraId="112623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行政法规】《电影管理条例》（2001年国务院令第342号）第三十八条：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w:t>
            </w:r>
          </w:p>
          <w:p w14:paraId="23F72D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第三十九条：电影发行单位、电影放映单位变更业务范围</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兼并其他电影发行单位、电影放映单位</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因合并、分立而设立新的电影发行单位、电影放映单位的，应当依照本条例第三十七条或者第三十八条的规定办理审批手续，并到工商行政管理部门办理相应的登记手续。</w:t>
            </w:r>
          </w:p>
        </w:tc>
        <w:tc>
          <w:tcPr>
            <w:tcW w:w="1916" w:type="dxa"/>
            <w:tcBorders>
              <w:top w:val="single" w:color="auto" w:sz="4" w:space="0"/>
              <w:left w:val="nil"/>
              <w:bottom w:val="single" w:color="auto" w:sz="4" w:space="0"/>
              <w:right w:val="single" w:color="auto" w:sz="4" w:space="0"/>
            </w:tcBorders>
            <w:vAlign w:val="center"/>
          </w:tcPr>
          <w:p w14:paraId="48E78A1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1.受理责任：公示应当提交的材料；一次性告知补正材料；依法受理或不予受理（不予受理应当告知理由）。</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C6D26D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2.审查责任：按照政策规定对书面材料进行审查，提出是否同意审批的初步意见，告知申请人、利害相关人享有听证权利；涉及公共利益的重大许可，向社会公告，并举行听证。</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2D34F3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3.决定责任：作出行政许可或者不予行政许可决定，法定告知（不予许可的应当书面告知理由）。</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D889F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4.送达责任：准予许可的制发送达审批决定。</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E8C604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5.事后监管责任：责任部门对审批后的相关事宜实施监督管理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47ACDC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BA8811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3CC593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申请人按照本行政机关的要求提交全部补正申请材料的，应当受理行政许可申请。</w:t>
            </w:r>
          </w:p>
          <w:p w14:paraId="5370B3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87797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4.【法律】《中华人民共和国行政许可法》第四十条：行政机关作出准予行政许可的决定，应当予以公开，公众有权查阅。</w:t>
            </w:r>
          </w:p>
          <w:p w14:paraId="2A3CC41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第四十四条：行政机关作出准予行政许可的决定，应当自作出决定之日起十日内向申请人颁发、送达行政许可证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加贴标签、加盖检验、检测、检疫印章。</w:t>
            </w:r>
          </w:p>
          <w:p w14:paraId="420E39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5.【法律】《中华人民共和国行政许可法》第六十一条：行政机关应当建立健全监督制度，通过核查反映被许可人从事行政许可事项活动情况的有关材料，履行监督责任。</w:t>
            </w:r>
          </w:p>
        </w:tc>
        <w:tc>
          <w:tcPr>
            <w:tcW w:w="1718" w:type="dxa"/>
            <w:tcBorders>
              <w:top w:val="single" w:color="auto" w:sz="4" w:space="0"/>
              <w:left w:val="nil"/>
              <w:bottom w:val="single" w:color="auto" w:sz="4" w:space="0"/>
              <w:right w:val="single" w:color="auto" w:sz="4" w:space="0"/>
            </w:tcBorders>
            <w:vAlign w:val="center"/>
          </w:tcPr>
          <w:p w14:paraId="429905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因不履行或不正确履行行政职责，有下列情形的，行政机关及相关工作人员应承担相应责任：</w:t>
            </w:r>
          </w:p>
          <w:p w14:paraId="7C8F3AB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1.对符合法定条件的申请不予受理的；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035D0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2.对不符合法定条件的申请人准予行政许可或者超越法定职权作出准予行政许可决定的；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02E2B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3.对符合法定条件的申请人不予行政许可或者不在法定期限内作出准予行政许可决定的；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E8058A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4.行政机关不依法履行监督职责或者监督不力的；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D1E537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5.实施行政许可过程中，违反法定程序或者未履行法定告知义务的；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87641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6.在行政许可工作中滥用职权、玩忽职守、徇私舞弊的；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4468ED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7.在办理行政许可、实施监督检查中索取或者收受他人财物或者谋取其他利益的；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BFAF57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8.其他违反法律法规规章文件规定的行为。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5762241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14:paraId="559985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74A8F86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3.同2。</w:t>
            </w:r>
          </w:p>
          <w:p w14:paraId="42F788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14:paraId="15006B3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14:paraId="3F5D2F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94565B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7B0602B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法律法规规定的免责情形以及《自治区党委办公厅关于印发〈深入推进激励干部新时代新担当新作为工作实施方案〉》中明确的免责情形</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0B676AD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0A30C1B5">
        <w:tblPrEx>
          <w:tblCellMar>
            <w:top w:w="28" w:type="dxa"/>
            <w:left w:w="28" w:type="dxa"/>
            <w:bottom w:w="28" w:type="dxa"/>
            <w:right w:w="28" w:type="dxa"/>
          </w:tblCellMar>
        </w:tblPrEx>
        <w:trPr>
          <w:trHeight w:val="14278" w:hRule="atLeast"/>
        </w:trPr>
        <w:tc>
          <w:tcPr>
            <w:tcW w:w="409" w:type="dxa"/>
            <w:tcBorders>
              <w:top w:val="single" w:color="auto" w:sz="4" w:space="0"/>
              <w:left w:val="single" w:color="auto" w:sz="4" w:space="0"/>
              <w:bottom w:val="single" w:color="auto" w:sz="4" w:space="0"/>
              <w:right w:val="single" w:color="auto" w:sz="4" w:space="0"/>
            </w:tcBorders>
            <w:vAlign w:val="center"/>
          </w:tcPr>
          <w:p w14:paraId="4D1A21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3</w:t>
            </w:r>
          </w:p>
        </w:tc>
        <w:tc>
          <w:tcPr>
            <w:tcW w:w="548" w:type="dxa"/>
            <w:tcBorders>
              <w:top w:val="single" w:color="auto" w:sz="4" w:space="0"/>
              <w:left w:val="nil"/>
              <w:bottom w:val="single" w:color="auto" w:sz="4" w:space="0"/>
              <w:right w:val="single" w:color="auto" w:sz="4" w:space="0"/>
            </w:tcBorders>
            <w:vAlign w:val="center"/>
          </w:tcPr>
          <w:p w14:paraId="1CDCEA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行政许可</w:t>
            </w:r>
          </w:p>
        </w:tc>
        <w:tc>
          <w:tcPr>
            <w:tcW w:w="523" w:type="dxa"/>
            <w:tcBorders>
              <w:top w:val="single" w:color="auto" w:sz="4" w:space="0"/>
              <w:left w:val="nil"/>
              <w:bottom w:val="single" w:color="auto" w:sz="4" w:space="0"/>
              <w:right w:val="single" w:color="auto" w:sz="4" w:space="0"/>
            </w:tcBorders>
            <w:vAlign w:val="center"/>
          </w:tcPr>
          <w:p w14:paraId="63E306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出版物零售单位和个体工商户设立、变更审批</w:t>
            </w:r>
          </w:p>
        </w:tc>
        <w:tc>
          <w:tcPr>
            <w:tcW w:w="548" w:type="dxa"/>
            <w:tcBorders>
              <w:top w:val="single" w:color="auto" w:sz="4" w:space="0"/>
              <w:left w:val="nil"/>
              <w:bottom w:val="single" w:color="auto" w:sz="4" w:space="0"/>
              <w:right w:val="single" w:color="auto" w:sz="4" w:space="0"/>
            </w:tcBorders>
            <w:vAlign w:val="center"/>
          </w:tcPr>
          <w:p w14:paraId="554D5F0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19D6990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3E5E38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14C7BE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行政法规】《出版管理条例》（2001年国务院令第343号公布，2020年国务院令第732号修订）第三十五条：单位从事出版物批发业务的，须经省、自治区、直辖市人民政府出版行政主管部门审核许可，取得《出版物经营许可证》。单位和个体工商户从事出版物零售业务的，须经县级人民政府出版行政主管部门审核许可，取得《出版物经营许可证》。</w:t>
            </w:r>
          </w:p>
          <w:p w14:paraId="3EA842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第三十七条：从事出版物发行业务的单位和个体工商户变更《出版物经营许可证》登记事项</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兼并、合并、分立的，应当依照本条例第三十五条的规定办理审批手续。</w:t>
            </w:r>
          </w:p>
          <w:p w14:paraId="6032846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出版物市场管理规定》（2016年国家新闻出版广电总局、商务部令第10号）第二条：本规定适用于出版物发行活动及其监督管理。本规定所称出版物，是指图书、报纸、期刊、音像制品、电子出版物。本规定所称发行，包括批发、零售以及出租、展销等活动。批发是指供货商向其他出版物经营者销售出版物。零售是指经营者直接向消费者销售出版物。</w:t>
            </w:r>
          </w:p>
          <w:p w14:paraId="796FFE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第三条：国家对出版物批发、零售依法实行许可制度。从事出版物批发、零售活动的单位和个人凭出版物经营许可证开展出版物批发、零售活动；未经许可，任何单位和个人不得从事出版物批发、零售活动。</w:t>
            </w:r>
          </w:p>
          <w:p w14:paraId="473B0E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条：单位、个人申请从事出版物零售业务，须报所在地县级人民政府出版行政主管部门审批。县级人民政府出版行政主管部门应当自受理申请之日起20个工作日内作出批准或者不予批准的决定。批准的，由县级人民政府出版行政主管部门颁发出版物经营许可证，并报上一级出版行政主管部门备案；其中门店营业面积在5000平方米以上的应同时报省级人民政府出版行政主管部门备案。不予批准的，应当向申请单位、个人书面说明理由。</w:t>
            </w:r>
          </w:p>
          <w:p w14:paraId="5421847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第十九条：从事出版物发行业务的单位、个人变更出版物经营许可证登记事项</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兼并、合并、分立的，应当依照本规定到原批准的出版行政主管部门办理审批手续。出版行政主管部门自受理申请之日起20个工作日内作出批准或者不予批准的决定。批准的，由出版行政主管部门换发出版物经营许可证；不予批准的，应当向申请单位、个人书面说明理由。</w:t>
            </w:r>
          </w:p>
        </w:tc>
        <w:tc>
          <w:tcPr>
            <w:tcW w:w="1916" w:type="dxa"/>
            <w:tcBorders>
              <w:top w:val="single" w:color="auto" w:sz="4" w:space="0"/>
              <w:left w:val="nil"/>
              <w:bottom w:val="single" w:color="auto" w:sz="4" w:space="0"/>
              <w:right w:val="single" w:color="auto" w:sz="4" w:space="0"/>
            </w:tcBorders>
            <w:vAlign w:val="center"/>
          </w:tcPr>
          <w:p w14:paraId="32EED1A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1.受理责任：公示应当提交的材料；一次性告知补正材料；依法受理或不予受理（不予受理应当告知理由）。</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A6DE03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2.审查责任：按照政策规定对书面材料进行审查，提出是否同意审批的初步意见，告知申请人、利害相关人享有听证权利；涉及公共利益的重大许可，向社会公告，并举行听证。</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7FBBC9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3.决定责任：作出行政许可或者不予行政许可决定，法定告知（不予许可的应当书面告知理由）。</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BD438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4.送达责任：准予许可的制发送达审批决定。</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B142BE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5.事后监管环节责任：分管领导对审批后的相关事宜实施监督管理。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12BB0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B00AE4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ADBE0A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1895A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申请人按照本行政机关的要求提交全部补正申请材料的，应当受理行政许可申请。</w:t>
            </w:r>
          </w:p>
          <w:p w14:paraId="4D523A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4.【法律】《中华人民共和国行政许可法》第四十四条：行政机关作出准予行政许可的决定，应当自作出决定之日起十日内向申请人颁发、送达行政许可证件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加贴标签、加盖检验、检测、检疫印章。</w:t>
            </w:r>
          </w:p>
          <w:p w14:paraId="41AA2D1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5.【法律】《中华人民共和国行政许可法》第六十一条：行政机关应当建立健全监督制度，通过核查反映被许可人从事行政许可事项活动情况的有关材料，履行监督责任。</w:t>
            </w:r>
          </w:p>
        </w:tc>
        <w:tc>
          <w:tcPr>
            <w:tcW w:w="1718" w:type="dxa"/>
            <w:tcBorders>
              <w:top w:val="single" w:color="auto" w:sz="4" w:space="0"/>
              <w:left w:val="nil"/>
              <w:bottom w:val="single" w:color="auto" w:sz="4" w:space="0"/>
              <w:right w:val="single" w:color="auto" w:sz="4" w:space="0"/>
            </w:tcBorders>
            <w:vAlign w:val="center"/>
          </w:tcPr>
          <w:p w14:paraId="2B2249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因不履行或不正确履行行政职责，有下列情形的，行政机关及相关工作人员应承担相应责任：</w:t>
            </w:r>
          </w:p>
          <w:p w14:paraId="4A2EF5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1.对符合法定条件的申请不予受理的；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0F927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2.对不符合法定条件的申请人准予行政许可或者超越法定职权作出准予行政许可决定的；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B73B15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3.对符合法定条件的申请人不予行政许可或者不在法定期限内作出准予行政许可决定的；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0F2DE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4.行政机关不依法履行监督职责或者监督不力的；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29F17F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5.实施行政许可过程中，违反法定程序或者未履行法定告知义务的；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3198B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6.在行政许可工作中滥用职权、玩忽职守、徇私舞弊的；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997BD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7.在办理行政许可、实施监督检查中索取或者收受他人财物或者谋取其他利益的；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C39B6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8.其他违反法律法规规章文件规定的行为。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1F4F77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14:paraId="2C74925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7042A2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3.同2。</w:t>
            </w:r>
          </w:p>
          <w:p w14:paraId="5E9AB81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14:paraId="2635535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14:paraId="69CA455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7471F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33833D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法律法规规定的免责情形以及《自治区党委办公厅关于印发〈深入推进激励干部新时代新担当新作为工作实施方案〉》中明确的免责情形</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7C2BC26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38E52889">
        <w:tblPrEx>
          <w:tblCellMar>
            <w:top w:w="28" w:type="dxa"/>
            <w:left w:w="28" w:type="dxa"/>
            <w:bottom w:w="28" w:type="dxa"/>
            <w:right w:w="28" w:type="dxa"/>
          </w:tblCellMar>
        </w:tblPrEx>
        <w:trPr>
          <w:trHeight w:val="13666" w:hRule="atLeast"/>
        </w:trPr>
        <w:tc>
          <w:tcPr>
            <w:tcW w:w="409" w:type="dxa"/>
            <w:tcBorders>
              <w:top w:val="single" w:color="auto" w:sz="4" w:space="0"/>
              <w:left w:val="single" w:color="auto" w:sz="4" w:space="0"/>
              <w:bottom w:val="single" w:color="auto" w:sz="4" w:space="0"/>
              <w:right w:val="single" w:color="auto" w:sz="4" w:space="0"/>
            </w:tcBorders>
            <w:vAlign w:val="center"/>
          </w:tcPr>
          <w:p w14:paraId="1B3444E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4</w:t>
            </w:r>
          </w:p>
        </w:tc>
        <w:tc>
          <w:tcPr>
            <w:tcW w:w="548" w:type="dxa"/>
            <w:tcBorders>
              <w:top w:val="single" w:color="auto" w:sz="4" w:space="0"/>
              <w:left w:val="nil"/>
              <w:bottom w:val="single" w:color="auto" w:sz="4" w:space="0"/>
              <w:right w:val="single" w:color="auto" w:sz="4" w:space="0"/>
            </w:tcBorders>
            <w:vAlign w:val="center"/>
          </w:tcPr>
          <w:p w14:paraId="19CE6A0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eastAsia="zh-CN"/>
              </w:rPr>
              <w:t>行政处罚</w:t>
            </w:r>
          </w:p>
        </w:tc>
        <w:tc>
          <w:tcPr>
            <w:tcW w:w="523" w:type="dxa"/>
            <w:tcBorders>
              <w:top w:val="single" w:color="auto" w:sz="4" w:space="0"/>
              <w:left w:val="nil"/>
              <w:bottom w:val="single" w:color="auto" w:sz="4" w:space="0"/>
              <w:right w:val="single" w:color="auto" w:sz="4" w:space="0"/>
            </w:tcBorders>
            <w:vAlign w:val="center"/>
          </w:tcPr>
          <w:p w14:paraId="3505D4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对音像出版单位出租、出借、出售或转让版号，擅自进口音像制品及委托非音像制品制作单位、非音像复制单位制作、复制音像制品的处罚</w:t>
            </w:r>
          </w:p>
        </w:tc>
        <w:tc>
          <w:tcPr>
            <w:tcW w:w="548" w:type="dxa"/>
            <w:tcBorders>
              <w:top w:val="single" w:color="auto" w:sz="4" w:space="0"/>
              <w:left w:val="nil"/>
              <w:bottom w:val="single" w:color="auto" w:sz="4" w:space="0"/>
              <w:right w:val="single" w:color="auto" w:sz="4" w:space="0"/>
            </w:tcBorders>
            <w:vAlign w:val="center"/>
          </w:tcPr>
          <w:p w14:paraId="0149293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63B95F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7E9C9C2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5250737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音像制品管理条例》（2001年国务院令第341号公布，2016年国务院令第666号修订）第四十二条：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音像出版单位向其他单位、个人出租、出借、出售或者以其他任何形式转让本单位的名称，出售或者以其他形式转让本单位的版号的；（二）音像出版单位委托未取得《音像制品制作许可证》的单位制作音像制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委托未取得《复制经营许可证》的单位复制音像制品的；（三）音像出版单位出版未经国务院出版行政主管部门批准擅自进口的音像制品的；（四）音像制作单位、音像复制单位未依照本条例的规定验证音像出版单位的委托书、有关证明的；（五）音像复制单位擅自复制他人的音像制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接受非音像出版单位、个人的委托复制经营性的音像制品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自行复制音像制品的。</w:t>
            </w:r>
          </w:p>
        </w:tc>
        <w:tc>
          <w:tcPr>
            <w:tcW w:w="1916" w:type="dxa"/>
            <w:tcBorders>
              <w:top w:val="single" w:color="auto" w:sz="4" w:space="0"/>
              <w:left w:val="nil"/>
              <w:bottom w:val="single" w:color="auto" w:sz="4" w:space="0"/>
              <w:right w:val="single" w:color="auto" w:sz="4" w:space="0"/>
            </w:tcBorders>
            <w:vAlign w:val="center"/>
          </w:tcPr>
          <w:p w14:paraId="1A0883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1.受理责任：新闻出版管理部门在检查中发现或者接到举报、控告涉嫌违反音像制品管理有关规定的违法行为或违法案件，及时制止，并予以审查，决定是否立案。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8E9058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新闻出版管理部门对案件违法事实、证据、调查取证程序、法律适用、当事人陈述和申辩理由等方面进行审查，提出处理意见（主要证据不足时，以适当的方式补充调查）。构成违法行为的，但不属于新闻出版管理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88A65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新闻出版管理部门根据审理情况决定是否予以行政处罚。依法需要给予行政处罚的，应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2CFAC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8A927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5.事后监管责任：新闻出版管理部门进行事中事后监管责任。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BA15C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第十六条：新闻出版行政机关应当严格履行职责，对有关公民、法人或者其他组织遵守出版法律、法规和规章的情况进行监督检查。对在检查中发现的违法行为，新闻出版行政机关应当及时立案。</w:t>
            </w:r>
          </w:p>
          <w:p w14:paraId="0D913FD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DC4C7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3CB57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214FD6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因不履行或不正确履行行政职责，有下列情形的行政机关及相关工作人员应承担相应的责任： 1.没有法律和事实依据实施违法行为处罚的；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xml:space="preserve"> 2.擅自改变实施违法行为处罚种类、幅度的；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xml:space="preserve"> 3.违反法定的实施行为处罚程序的；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xml:space="preserve"> 4.违反“罚缴分离”规定，擅自收取罚款的以及截留、私分或者变相私分罚款的；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xml:space="preserve"> 5.在行为处罚过程中滥用职权、滥施处罚，给当事人造成损失的；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xml:space="preserve"> 6.对当事人进行处罚不使用罚款、没收财物单据或者使用非法定部门制发的罚款、没收财物单据的；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xml:space="preserve"> 7.其他违反法律法规规章文件规定的行为。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36017C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790B4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595562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45C171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508637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3EB7E9A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06664E1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166D1B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1A64D0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4E36E5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249B1195">
        <w:tblPrEx>
          <w:tblCellMar>
            <w:top w:w="28" w:type="dxa"/>
            <w:left w:w="28" w:type="dxa"/>
            <w:bottom w:w="28" w:type="dxa"/>
            <w:right w:w="28" w:type="dxa"/>
          </w:tblCellMar>
        </w:tblPrEx>
        <w:tc>
          <w:tcPr>
            <w:tcW w:w="409" w:type="dxa"/>
            <w:tcBorders>
              <w:top w:val="single" w:color="auto" w:sz="4" w:space="0"/>
              <w:left w:val="single" w:color="auto" w:sz="4" w:space="0"/>
              <w:bottom w:val="single" w:color="auto" w:sz="4" w:space="0"/>
              <w:right w:val="single" w:color="auto" w:sz="4" w:space="0"/>
            </w:tcBorders>
            <w:vAlign w:val="center"/>
          </w:tcPr>
          <w:p w14:paraId="6BADB0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5</w:t>
            </w:r>
          </w:p>
        </w:tc>
        <w:tc>
          <w:tcPr>
            <w:tcW w:w="548" w:type="dxa"/>
            <w:tcBorders>
              <w:top w:val="single" w:color="auto" w:sz="4" w:space="0"/>
              <w:left w:val="nil"/>
              <w:bottom w:val="single" w:color="auto" w:sz="4" w:space="0"/>
              <w:right w:val="single" w:color="auto" w:sz="4" w:space="0"/>
            </w:tcBorders>
            <w:vAlign w:val="center"/>
          </w:tcPr>
          <w:p w14:paraId="528814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7ACB73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对出版、批发、零售、出租或放映未经新闻出版署批准进口的音像制品；批发、零售、出租放映供研究、教学参考或者用于展览、展示的进口音像制品的处罚</w:t>
            </w:r>
          </w:p>
        </w:tc>
        <w:tc>
          <w:tcPr>
            <w:tcW w:w="548" w:type="dxa"/>
            <w:tcBorders>
              <w:top w:val="single" w:color="auto" w:sz="4" w:space="0"/>
              <w:left w:val="nil"/>
              <w:bottom w:val="single" w:color="auto" w:sz="4" w:space="0"/>
              <w:right w:val="single" w:color="auto" w:sz="4" w:space="0"/>
            </w:tcBorders>
            <w:vAlign w:val="center"/>
          </w:tcPr>
          <w:p w14:paraId="1A3210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316190A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2CB661F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4E2F6F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音像制品进口管理办法》（2011年国家新闻出版总署、海关总署令第53号）第三十条：有下列行为之一的，由县级以上新闻出版行政部门责令停止违法行为，给予警告，没收违法音像制品和违法所得；违法经营额1万元以上的，并处违法经营额5倍以上10倍以下的罚款；违法经营额不足1万元的，并处5万元以下罚款；情节严重的，并责令停业整顿或者由原发证机关吊销许可证：（一）出版未经新闻出版总署批准擅自进口的音像制品。（二）批发、零售、出租或者放映未经新闻出版总署批准进口的音像制品的；（三）批发、零售、出租放映供研究、教学参考或者用于展览、展示的进口音像制品的。</w:t>
            </w:r>
          </w:p>
        </w:tc>
        <w:tc>
          <w:tcPr>
            <w:tcW w:w="1916" w:type="dxa"/>
            <w:tcBorders>
              <w:top w:val="single" w:color="auto" w:sz="4" w:space="0"/>
              <w:left w:val="nil"/>
              <w:bottom w:val="single" w:color="auto" w:sz="4" w:space="0"/>
              <w:right w:val="single" w:color="auto" w:sz="4" w:space="0"/>
            </w:tcBorders>
            <w:vAlign w:val="center"/>
          </w:tcPr>
          <w:p w14:paraId="154860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1.受理责任：新闻出版管理部门在检查中发现或者接到举报、控告涉嫌违反新闻制品进口管理有关规定的违法行为或违法案件，及时制止，并予以审查，决定是否立案。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0175F8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新闻出版管理部门对案件违法事实、证据、调查取证程序、法律适用、当事人陈述和申辩理由等方面进行审查，提出处理意见（主要证据不足时，以适当的方式补充调查）。构成违法行为的，但不属于新闻出版管理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B05EC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新闻出版管理部门根据审理情况决定是否予以行政处罚。依法需要给予行政处罚的，应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64709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07335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5.事后监管责任：新闻出版管理部门进行事中事后监管。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8E802A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第十六条：新闻出版行政机关应当严格履行职责，对有关公民、法人或者其他组织遵守出版法律、法规和规章的情况进行监督检查。对在检查中发现的违法行为，新闻出版行政机关应当及时立案。</w:t>
            </w:r>
          </w:p>
          <w:p w14:paraId="3FB5A65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C3619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7D0F59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02BC10E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7199C47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A785F9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FBA8B7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64688C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559D3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B2302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0AFD88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E48952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71EE28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02398D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0EDB2A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19B7A47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2881E8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6723D5D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15DB50F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2CB3700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478850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7776773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1FC4E51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6EDB88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3C3CD42F">
        <w:tblPrEx>
          <w:tblCellMar>
            <w:top w:w="28" w:type="dxa"/>
            <w:left w:w="28" w:type="dxa"/>
            <w:bottom w:w="28" w:type="dxa"/>
            <w:right w:w="28" w:type="dxa"/>
          </w:tblCellMar>
        </w:tblPrEx>
        <w:trPr>
          <w:trHeight w:val="6720" w:hRule="atLeast"/>
        </w:trPr>
        <w:tc>
          <w:tcPr>
            <w:tcW w:w="409" w:type="dxa"/>
            <w:tcBorders>
              <w:top w:val="single" w:color="auto" w:sz="4" w:space="0"/>
              <w:left w:val="single" w:color="auto" w:sz="4" w:space="0"/>
              <w:bottom w:val="single" w:color="auto" w:sz="4" w:space="0"/>
              <w:right w:val="single" w:color="auto" w:sz="4" w:space="0"/>
            </w:tcBorders>
            <w:vAlign w:val="center"/>
          </w:tcPr>
          <w:p w14:paraId="1D49A0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6</w:t>
            </w:r>
          </w:p>
        </w:tc>
        <w:tc>
          <w:tcPr>
            <w:tcW w:w="548" w:type="dxa"/>
            <w:tcBorders>
              <w:top w:val="single" w:color="auto" w:sz="4" w:space="0"/>
              <w:left w:val="nil"/>
              <w:bottom w:val="single" w:color="auto" w:sz="4" w:space="0"/>
              <w:right w:val="single" w:color="auto" w:sz="4" w:space="0"/>
            </w:tcBorders>
            <w:vAlign w:val="center"/>
          </w:tcPr>
          <w:p w14:paraId="25DBBA5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05AB4E4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对出售或者以其他形式转让本出版单位的名称、书号、刊号、版号、版面</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出租本单位的名称、刊号；利用出版活动谋取其他不正当利益的处罚</w:t>
            </w:r>
          </w:p>
        </w:tc>
        <w:tc>
          <w:tcPr>
            <w:tcW w:w="548" w:type="dxa"/>
            <w:tcBorders>
              <w:top w:val="single" w:color="auto" w:sz="4" w:space="0"/>
              <w:left w:val="nil"/>
              <w:bottom w:val="single" w:color="auto" w:sz="4" w:space="0"/>
              <w:right w:val="single" w:color="auto" w:sz="4" w:space="0"/>
            </w:tcBorders>
            <w:vAlign w:val="center"/>
          </w:tcPr>
          <w:p w14:paraId="56FA03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5A1788C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73741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0A31E90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出版管理条例》（2001年国务院令第343号公布，2016年国务院令第666号修订）第六十六条：出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一）出售或者以其他形式转让本出版单位的名称、书号、刊号、版号、版面</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出租本单位的名称、刊号的；（二）利用出版活动谋取其他不正当利益的。</w:t>
            </w:r>
          </w:p>
        </w:tc>
        <w:tc>
          <w:tcPr>
            <w:tcW w:w="1916" w:type="dxa"/>
            <w:tcBorders>
              <w:top w:val="single" w:color="auto" w:sz="4" w:space="0"/>
              <w:left w:val="nil"/>
              <w:bottom w:val="single" w:color="auto" w:sz="4" w:space="0"/>
              <w:right w:val="single" w:color="auto" w:sz="4" w:space="0"/>
            </w:tcBorders>
            <w:vAlign w:val="center"/>
          </w:tcPr>
          <w:p w14:paraId="7FAA2B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1.受理责任：新闻出版管理部门在检查中发现或者接到举报、控告涉嫌违反出版管理有关规定的违法行为或违法案件，及时制止，并予以审查，决定是否立案。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BFDA5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新闻出版管理部门对案件违法事实、证据、调查取证程序、法律适用、当事人陈述和申辩理由等方面进行审查，提出处理意见（主要证据不足时，以适当的方式补充调查）。构成违法行为的，但不属于文化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186334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新闻出版管理部门根据审理情况决定是否予以行政处罚。依法需要给予行政处罚的，应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0F62F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F4F987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5.事后监管责任：新闻出版管理部门进行事中事后监管。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22C6447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第十六条：新闻出版行政机关应当严格履行职责，对有关公民、法人或者其他组织遵守出版法律、法规和规章的情况进行监督检查。对在检查中发现的违法行为，新闻出版行政机关应当及时立案。</w:t>
            </w:r>
          </w:p>
          <w:p w14:paraId="02C34C1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E9E4D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12345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5AF81AD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3D05CB5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D736E9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36C41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b/>
                <w:bCs/>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A5A7B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4D04D1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4BE52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A6EFE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5F5C8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DEEDA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F373E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73F97A5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2BEFDA2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10AABB8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759A35D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2F53DF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161442B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27067B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07EC0E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70FCBD7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1F3AF11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0EF16935">
        <w:tblPrEx>
          <w:tblCellMar>
            <w:top w:w="28" w:type="dxa"/>
            <w:left w:w="28" w:type="dxa"/>
            <w:bottom w:w="28" w:type="dxa"/>
            <w:right w:w="28" w:type="dxa"/>
          </w:tblCellMar>
        </w:tblPrEx>
        <w:trPr>
          <w:trHeight w:val="6370" w:hRule="atLeast"/>
        </w:trPr>
        <w:tc>
          <w:tcPr>
            <w:tcW w:w="409" w:type="dxa"/>
            <w:tcBorders>
              <w:top w:val="single" w:color="auto" w:sz="4" w:space="0"/>
              <w:left w:val="single" w:color="auto" w:sz="4" w:space="0"/>
              <w:bottom w:val="single" w:color="auto" w:sz="4" w:space="0"/>
              <w:right w:val="single" w:color="auto" w:sz="4" w:space="0"/>
            </w:tcBorders>
            <w:vAlign w:val="center"/>
          </w:tcPr>
          <w:p w14:paraId="62A8BD6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7</w:t>
            </w:r>
          </w:p>
        </w:tc>
        <w:tc>
          <w:tcPr>
            <w:tcW w:w="548" w:type="dxa"/>
            <w:tcBorders>
              <w:top w:val="single" w:color="auto" w:sz="4" w:space="0"/>
              <w:left w:val="nil"/>
              <w:bottom w:val="single" w:color="auto" w:sz="4" w:space="0"/>
              <w:right w:val="single" w:color="auto" w:sz="4" w:space="0"/>
            </w:tcBorders>
            <w:vAlign w:val="center"/>
          </w:tcPr>
          <w:p w14:paraId="2C398F6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C00CF6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对摄制、洗印、加工、进口、发行、放映含有禁止内容的电影片行为的处罚</w:t>
            </w:r>
          </w:p>
        </w:tc>
        <w:tc>
          <w:tcPr>
            <w:tcW w:w="548" w:type="dxa"/>
            <w:tcBorders>
              <w:top w:val="single" w:color="auto" w:sz="4" w:space="0"/>
              <w:left w:val="nil"/>
              <w:bottom w:val="single" w:color="auto" w:sz="4" w:space="0"/>
              <w:right w:val="single" w:color="auto" w:sz="4" w:space="0"/>
            </w:tcBorders>
            <w:vAlign w:val="center"/>
          </w:tcPr>
          <w:p w14:paraId="38AEC48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448DAF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463153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1A02D8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电影产业促进法》第四十七条：违反本法规定擅自从事电影摄制、发行、放映活动的，由县级以上人民政府电影主管部门予以取缔，没收电影片和违法所得及从事违法活动的专用工具、设备；违法所得五万元以上的，并处违法所得五倍以上十倍以下的罚款；没有违法所得或者违法 所得不足五万元的，可以并处二十五万元以下的罚款。</w:t>
            </w:r>
          </w:p>
          <w:p w14:paraId="1DF9468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2.【行政法规】《电影管理条例》（2001年国务院令第342号）第五十六条：摄制含有本条例第二十五条禁止内容的电影片</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洗印加工、进口、发行、放映明知或者应知含有本条例第二十五条禁止内容的电影片的，依照刑法有关规定，依法追究刑事责任；尚不够刑事处罚的，由电影行政部门责令停业整顿，没收违法经营的电影片和违法所得；违法所得5万元以上的，并处违法所得5倍以上10倍以下的罚款；没有违法所得或者违法所得不足5万元的，并处20万元以上50万元以下的罚款；情节严重的，并由原发证机关吊销许可证。</w:t>
            </w:r>
          </w:p>
        </w:tc>
        <w:tc>
          <w:tcPr>
            <w:tcW w:w="1916" w:type="dxa"/>
            <w:tcBorders>
              <w:top w:val="single" w:color="auto" w:sz="4" w:space="0"/>
              <w:left w:val="nil"/>
              <w:bottom w:val="single" w:color="auto" w:sz="4" w:space="0"/>
              <w:right w:val="single" w:color="auto" w:sz="4" w:space="0"/>
            </w:tcBorders>
            <w:vAlign w:val="center"/>
          </w:tcPr>
          <w:p w14:paraId="280E5F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1.受理责任：电影管理部门在检查中发现或者接到举报、控告涉嫌违反电影管理有关规定的违法行为或违法案件，及时制止，并予以审查，决定是否立案。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490BCB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电影管理部门对案件违法事实、证据、调查取证程序、法律适用、当事人陈述和申辩理由等方面进行审查，提出处理意见（主要证据不足时，以适当的方式补充调查）。构成违法行为的，但不属于新闻出版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2A180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3.决定责任：电影管理部门根据审理情况决定是否予以行政处罚。依法需要给予行政处罚的，应制作行政处罚决定书，载明违法事实和证据、处罚依据和内容、申请行政复议或提起行政诉讼的途径和期限等内容。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F5D166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1B6A9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5.事后监管责任：电影管理部门进行事中事后监管。责任。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639C5AE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14:paraId="275663A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C7005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08385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5B9854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449ED0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12C688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EDE5A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48240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E8130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0D543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78A7E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2E222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CEAC84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F3C6F6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115083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184556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216731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632D50A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106E825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647087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EC2F51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4C75A8A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3C845DE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247E2D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1084820">
        <w:tblPrEx>
          <w:tblCellMar>
            <w:top w:w="28" w:type="dxa"/>
            <w:left w:w="28" w:type="dxa"/>
            <w:bottom w:w="28" w:type="dxa"/>
            <w:right w:w="28" w:type="dxa"/>
          </w:tblCellMar>
        </w:tblPrEx>
        <w:trPr>
          <w:trHeight w:val="13098" w:hRule="atLeast"/>
        </w:trPr>
        <w:tc>
          <w:tcPr>
            <w:tcW w:w="409" w:type="dxa"/>
            <w:tcBorders>
              <w:top w:val="single" w:color="auto" w:sz="4" w:space="0"/>
              <w:left w:val="single" w:color="auto" w:sz="4" w:space="0"/>
              <w:bottom w:val="single" w:color="auto" w:sz="4" w:space="0"/>
              <w:right w:val="single" w:color="auto" w:sz="4" w:space="0"/>
            </w:tcBorders>
            <w:vAlign w:val="center"/>
          </w:tcPr>
          <w:p w14:paraId="73DAFB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8</w:t>
            </w:r>
          </w:p>
        </w:tc>
        <w:tc>
          <w:tcPr>
            <w:tcW w:w="548" w:type="dxa"/>
            <w:tcBorders>
              <w:top w:val="single" w:color="auto" w:sz="4" w:space="0"/>
              <w:left w:val="nil"/>
              <w:bottom w:val="single" w:color="auto" w:sz="4" w:space="0"/>
              <w:right w:val="single" w:color="auto" w:sz="4" w:space="0"/>
            </w:tcBorders>
            <w:vAlign w:val="center"/>
          </w:tcPr>
          <w:p w14:paraId="16F85F2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2BED7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对违反电影摄制、洗印、加工、后期制作、发行、放映规定的处罚</w:t>
            </w:r>
          </w:p>
        </w:tc>
        <w:tc>
          <w:tcPr>
            <w:tcW w:w="548" w:type="dxa"/>
            <w:tcBorders>
              <w:top w:val="single" w:color="auto" w:sz="4" w:space="0"/>
              <w:left w:val="nil"/>
              <w:bottom w:val="single" w:color="auto" w:sz="4" w:space="0"/>
              <w:right w:val="single" w:color="auto" w:sz="4" w:space="0"/>
            </w:tcBorders>
            <w:vAlign w:val="center"/>
          </w:tcPr>
          <w:p w14:paraId="79A917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02A810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7650186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1C099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电影产业促进法》第五十条：承接含有损害国家尊严、荣誉和利益、危害社会稳定，伤害民族感情等内容的境外的洗印、加工、后期制作等业务的，由县级以上人民政府电影主管部门责令停止违法活动，没收电影片和违法所得；违法所得五万元以上的，并处违法所得三倍以上五倍以下的罚款；没有违法所得或者违法所得不足五万元的，可以并处十五万元以下的罚款。情节严重的，由电影主管部门通报工商行政管理部门，由工商行政管理部门吊销营业执照。</w:t>
            </w:r>
          </w:p>
          <w:p w14:paraId="133E7E5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行政法规】《电影管理条例》（2001年国务院令第342号）第五十九条：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一）未经批准，擅自与境外组织或者个人合作摄制电影</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擅自到境外从事电影摄制活动的；（二）擅自到境外进行电影底片、样片的冲洗或者后期制作</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未按照批准文件载明的要求执行的；（三）洗印加工未取得《摄制电影许可证》、《摄制电影片许可证（单片）》的单位摄制的电影底片、样片</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洗印加工未取得《电影片公映许可证》的电影片拷贝的；（四）未经批准，接受委托洗印加工境外电影底片、样片或者电影片拷贝</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未将洗印加工的境外电影底片、样片或者电影片拷贝全部运输出境的；（五）利用电影资料片从事或者变相从事经营性的发行、放映活动的；（六）未按照规定的时间比例放映电影片</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不执行国务院广播电影电视行政部门停止发行、放映决定的。</w:t>
            </w:r>
          </w:p>
        </w:tc>
        <w:tc>
          <w:tcPr>
            <w:tcW w:w="1916" w:type="dxa"/>
            <w:tcBorders>
              <w:top w:val="single" w:color="auto" w:sz="4" w:space="0"/>
              <w:left w:val="nil"/>
              <w:bottom w:val="single" w:color="auto" w:sz="4" w:space="0"/>
              <w:right w:val="single" w:color="auto" w:sz="4" w:space="0"/>
            </w:tcBorders>
            <w:vAlign w:val="center"/>
          </w:tcPr>
          <w:p w14:paraId="49C955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1.受理责任：电影管理部门在检查中发现或者接到举报、控告涉嫌违反电影管理有关规定的违法行为或违法案件，及时制止，并予以审查，决定是否立案。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2EAF5D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电影管理部门对案件违法事实、证据、调查取证程序、法律适用、当事人陈述和申辩理由等方面进行审查，提出处理意见（主要证据不足时，以适当的方式补充调查）。构成违法行为的，但不属于新闻出版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5FC7CC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3.决定责任：电影管理部门根据审理情况决定是否予以行政处罚。依法需要给予行政处罚的，应制作行政处罚决定书，载明违法事实和证据、处罚依据和内容、申请行政复议或提起行政诉讼的途径和期限等内容。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63FC6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33C8C4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5.事后监管责任：电影管理部门进行事中事后监管。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46CF95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14:paraId="643FBAF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73A44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B9956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630D562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因</w:t>
            </w:r>
            <w:r>
              <w:rPr>
                <w:rFonts w:hint="eastAsia" w:eastAsia="仿宋_GB2312" w:cs="仿宋_GB2312"/>
                <w:snapToGrid w:val="0"/>
                <w:color w:val="000000"/>
                <w:sz w:val="18"/>
                <w:szCs w:val="18"/>
              </w:rPr>
              <w:t xml:space="preserve"> 因不履行或不正确履行行政职责，有下列情形的，行政机关及相关工作人应承担相应责任：</w:t>
            </w:r>
          </w:p>
          <w:p w14:paraId="551634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BB4D3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1B1A59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952057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2DF146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648A7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15EC9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94A078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E5ADE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E46E6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14C199C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2CEF18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694963D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6C639C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394137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4FDF7E1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43B0C05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31A18D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64A7FB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271001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4F8FDD8F">
        <w:tblPrEx>
          <w:tblCellMar>
            <w:top w:w="28" w:type="dxa"/>
            <w:left w:w="28" w:type="dxa"/>
            <w:bottom w:w="28" w:type="dxa"/>
            <w:right w:w="28" w:type="dxa"/>
          </w:tblCellMar>
        </w:tblPrEx>
        <w:trPr>
          <w:trHeight w:val="6539" w:hRule="atLeast"/>
        </w:trPr>
        <w:tc>
          <w:tcPr>
            <w:tcW w:w="409" w:type="dxa"/>
            <w:tcBorders>
              <w:top w:val="single" w:color="auto" w:sz="4" w:space="0"/>
              <w:left w:val="single" w:color="auto" w:sz="4" w:space="0"/>
              <w:bottom w:val="single" w:color="auto" w:sz="4" w:space="0"/>
              <w:right w:val="single" w:color="auto" w:sz="4" w:space="0"/>
            </w:tcBorders>
            <w:vAlign w:val="center"/>
          </w:tcPr>
          <w:p w14:paraId="0922FC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val="en-US" w:eastAsia="zh-CN"/>
              </w:rPr>
              <w:t>9</w:t>
            </w:r>
          </w:p>
        </w:tc>
        <w:tc>
          <w:tcPr>
            <w:tcW w:w="548" w:type="dxa"/>
            <w:tcBorders>
              <w:top w:val="single" w:color="auto" w:sz="4" w:space="0"/>
              <w:left w:val="nil"/>
              <w:bottom w:val="single" w:color="auto" w:sz="4" w:space="0"/>
              <w:right w:val="single" w:color="auto" w:sz="4" w:space="0"/>
            </w:tcBorders>
            <w:vAlign w:val="center"/>
          </w:tcPr>
          <w:p w14:paraId="6D89815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0A1B416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对非法使用或非法取得电影许可证、批准或者证明文件的处罚</w:t>
            </w:r>
          </w:p>
        </w:tc>
        <w:tc>
          <w:tcPr>
            <w:tcW w:w="548" w:type="dxa"/>
            <w:tcBorders>
              <w:top w:val="single" w:color="auto" w:sz="4" w:space="0"/>
              <w:left w:val="nil"/>
              <w:bottom w:val="single" w:color="auto" w:sz="4" w:space="0"/>
              <w:right w:val="single" w:color="auto" w:sz="4" w:space="0"/>
            </w:tcBorders>
            <w:vAlign w:val="center"/>
          </w:tcPr>
          <w:p w14:paraId="4AF4DC7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1262FE9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25BB9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4797B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中华人民共和国电影产业促进法》第四十八条：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一）伪造、变造、出租、出借、买卖本法规定的许可证、批准或者证明文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以其他形式非法转让本法规定的许可证、批准或者证明文件的；（二）以欺骗、贿赂等不正当手段取得本法规定的许可证、批准或者证明文件的。</w:t>
            </w:r>
          </w:p>
        </w:tc>
        <w:tc>
          <w:tcPr>
            <w:tcW w:w="1916" w:type="dxa"/>
            <w:tcBorders>
              <w:top w:val="single" w:color="auto" w:sz="4" w:space="0"/>
              <w:left w:val="nil"/>
              <w:bottom w:val="single" w:color="auto" w:sz="4" w:space="0"/>
              <w:right w:val="single" w:color="auto" w:sz="4" w:space="0"/>
            </w:tcBorders>
            <w:vAlign w:val="center"/>
          </w:tcPr>
          <w:p w14:paraId="17A453E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1.受理责任：电影管理部门在检查中发现或者接到举报、控告涉嫌违反电影管理有关规定的违法行为或违法案件，及时制止，并予以审查，决定是否立案。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CB4352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电影管理部门对案件违法事实、证据、调查取证程序、法律适用、当事人陈述和申辩理由等方面进行审查，提出处理意见（主要证据不足时，以适当的方式补充调查）。构成违法行为的，但不属于新闻出版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32614B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3.决定责任：电影管理部门根据审理情况决定是否予以行政处罚。依法需要给予行政处罚的，应制作行政处罚决定书，载明违法事实和证据、处罚依据和内容、申请行政复议或提起行政诉讼的途径和期限等内容。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BFFDB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869AD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5.事后监管责任：电影管理部门进行事中事后监管。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2D1B244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14:paraId="267454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6FC8E52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5D0DA6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6CA20E7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2A4B5D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0B1E6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A993F0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ascii="Times New Roman" w:hAnsi="Times New Roman" w:eastAsia="仿宋_GB2312" w:cs="仿宋_GB2312"/>
                <w:snapToGrid w:val="0"/>
                <w:color w:val="000000"/>
                <w:sz w:val="18"/>
                <w:szCs w:val="18"/>
                <w:lang w:eastAsia="zh-CN"/>
              </w:rPr>
              <w:t>）</w:t>
            </w:r>
          </w:p>
          <w:p w14:paraId="018A965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5188C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D02286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75AAC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71E5E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F6242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6B2F4C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4C413C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916F4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1E6F33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653291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768E395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64FBC76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106BE6F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564E674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0ABB59A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73CFB6D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2CA515AA">
        <w:tblPrEx>
          <w:tblCellMar>
            <w:top w:w="28" w:type="dxa"/>
            <w:left w:w="28" w:type="dxa"/>
            <w:bottom w:w="28" w:type="dxa"/>
            <w:right w:w="28" w:type="dxa"/>
          </w:tblCellMar>
        </w:tblPrEx>
        <w:trPr>
          <w:trHeight w:val="6524" w:hRule="atLeast"/>
        </w:trPr>
        <w:tc>
          <w:tcPr>
            <w:tcW w:w="409" w:type="dxa"/>
            <w:tcBorders>
              <w:top w:val="single" w:color="auto" w:sz="4" w:space="0"/>
              <w:left w:val="single" w:color="auto" w:sz="4" w:space="0"/>
              <w:bottom w:val="single" w:color="auto" w:sz="4" w:space="0"/>
              <w:right w:val="single" w:color="auto" w:sz="4" w:space="0"/>
            </w:tcBorders>
            <w:vAlign w:val="center"/>
          </w:tcPr>
          <w:p w14:paraId="3789D5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10</w:t>
            </w:r>
          </w:p>
        </w:tc>
        <w:tc>
          <w:tcPr>
            <w:tcW w:w="548" w:type="dxa"/>
            <w:tcBorders>
              <w:top w:val="single" w:color="auto" w:sz="4" w:space="0"/>
              <w:left w:val="nil"/>
              <w:bottom w:val="single" w:color="auto" w:sz="4" w:space="0"/>
              <w:right w:val="single" w:color="auto" w:sz="4" w:space="0"/>
            </w:tcBorders>
            <w:vAlign w:val="center"/>
          </w:tcPr>
          <w:p w14:paraId="57836BF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419B8D8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对违反电影公映许可有关规定的处罚</w:t>
            </w:r>
          </w:p>
        </w:tc>
        <w:tc>
          <w:tcPr>
            <w:tcW w:w="548" w:type="dxa"/>
            <w:tcBorders>
              <w:top w:val="single" w:color="auto" w:sz="4" w:space="0"/>
              <w:left w:val="nil"/>
              <w:bottom w:val="single" w:color="auto" w:sz="4" w:space="0"/>
              <w:right w:val="single" w:color="auto" w:sz="4" w:space="0"/>
            </w:tcBorders>
            <w:vAlign w:val="center"/>
          </w:tcPr>
          <w:p w14:paraId="6C45CE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320BF54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5E11D57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1C14791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中华人民共和国电影产业促进法》第四十九条：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一）发行、放映未取得电影公映许可证的电影的；（二）取得电影公映许可证后变更电影内容，未依照规定重新取得电影公映许可证擅自发行、放映、送展的；（三）提供未取得电影公映许可证的电影参加电影节（展）的。</w:t>
            </w:r>
          </w:p>
        </w:tc>
        <w:tc>
          <w:tcPr>
            <w:tcW w:w="1916" w:type="dxa"/>
            <w:tcBorders>
              <w:top w:val="single" w:color="auto" w:sz="4" w:space="0"/>
              <w:left w:val="nil"/>
              <w:bottom w:val="single" w:color="auto" w:sz="4" w:space="0"/>
              <w:right w:val="single" w:color="auto" w:sz="4" w:space="0"/>
            </w:tcBorders>
            <w:vAlign w:val="center"/>
          </w:tcPr>
          <w:p w14:paraId="6DED4A0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1.受理责任：电影管理部门在检查中发现或者接到举报、控告涉嫌违反电影管理有关规定的违法行为或违法案件，及时制止，并予以审查，决定是否立案。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2825DE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电影管理部门对案件违法事实、证据、调查取证程序、法律适用、当事人陈述和申辩理由等方面进行审查，提出处理意见（主要证据不足时，以适当的方式补充调查）。构成违法行为的，但不属于新闻出版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B875E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3.决定责任：电影管理部门根据审理情况决定是否予以行政处罚。依法需要给予行政处罚的，应制作行政处罚决定书，载明违法事实和证据、处罚依据和内容、申请行政复议或提起行政诉讼的途径和期限等内容。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796C0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CB50CF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5.事后监管责任：电影管理部门进行事中事后监管。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7DA867D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14:paraId="5BCB29E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127E6B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22BF9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1248F33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4F6B8D9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010EA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3DC70D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3E1FA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29FCAF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A9ED7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F95E9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CAF8B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025603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1A212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5003ED1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7010E14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087C679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5A2FC4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7490C5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550C50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D72A7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3BD6201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3670086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10BC36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030435A4">
        <w:tblPrEx>
          <w:tblCellMar>
            <w:top w:w="28" w:type="dxa"/>
            <w:left w:w="28" w:type="dxa"/>
            <w:bottom w:w="28" w:type="dxa"/>
            <w:right w:w="28" w:type="dxa"/>
          </w:tblCellMar>
        </w:tblPrEx>
        <w:trPr>
          <w:trHeight w:val="6567" w:hRule="atLeast"/>
        </w:trPr>
        <w:tc>
          <w:tcPr>
            <w:tcW w:w="409" w:type="dxa"/>
            <w:tcBorders>
              <w:top w:val="single" w:color="auto" w:sz="4" w:space="0"/>
              <w:left w:val="single" w:color="auto" w:sz="4" w:space="0"/>
              <w:bottom w:val="single" w:color="auto" w:sz="4" w:space="0"/>
              <w:right w:val="single" w:color="auto" w:sz="4" w:space="0"/>
            </w:tcBorders>
            <w:vAlign w:val="center"/>
          </w:tcPr>
          <w:p w14:paraId="4A851B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w:t>
            </w:r>
            <w:r>
              <w:rPr>
                <w:rFonts w:hint="eastAsia" w:eastAsia="仿宋_GB2312" w:cs="仿宋_GB2312"/>
                <w:snapToGrid w:val="0"/>
                <w:color w:val="000000"/>
                <w:sz w:val="18"/>
                <w:szCs w:val="18"/>
                <w:lang w:val="en-US" w:eastAsia="zh-CN"/>
              </w:rPr>
              <w:t>1</w:t>
            </w:r>
          </w:p>
        </w:tc>
        <w:tc>
          <w:tcPr>
            <w:tcW w:w="548" w:type="dxa"/>
            <w:tcBorders>
              <w:top w:val="single" w:color="auto" w:sz="4" w:space="0"/>
              <w:left w:val="nil"/>
              <w:bottom w:val="single" w:color="auto" w:sz="4" w:space="0"/>
              <w:right w:val="single" w:color="auto" w:sz="4" w:space="0"/>
            </w:tcBorders>
            <w:vAlign w:val="center"/>
          </w:tcPr>
          <w:p w14:paraId="51A5912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67733B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对擅自从事电影摄制、发行、放映活动的处罚</w:t>
            </w:r>
          </w:p>
        </w:tc>
        <w:tc>
          <w:tcPr>
            <w:tcW w:w="548" w:type="dxa"/>
            <w:tcBorders>
              <w:top w:val="single" w:color="auto" w:sz="4" w:space="0"/>
              <w:left w:val="nil"/>
              <w:bottom w:val="single" w:color="auto" w:sz="4" w:space="0"/>
              <w:right w:val="single" w:color="auto" w:sz="4" w:space="0"/>
            </w:tcBorders>
            <w:vAlign w:val="center"/>
          </w:tcPr>
          <w:p w14:paraId="76E906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1629F81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7D0887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18721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中华人民共和国电影产业促进法》第四十七条：违反本法规定擅自从事电影摄制、发行、放映活动的由县级以上人民政府电影主管部门予以取缔，没收电影片和违法所得以及从事违法活动的专用工具、设备；违法所得五万元以上的，并处违法所得五倍以上十倍以下的罚款；没有违法所得或者违法所得不足五万元的，可以并处二十五万元以下的罚款。</w:t>
            </w:r>
          </w:p>
        </w:tc>
        <w:tc>
          <w:tcPr>
            <w:tcW w:w="1916" w:type="dxa"/>
            <w:tcBorders>
              <w:top w:val="single" w:color="auto" w:sz="4" w:space="0"/>
              <w:left w:val="nil"/>
              <w:bottom w:val="single" w:color="auto" w:sz="4" w:space="0"/>
              <w:right w:val="single" w:color="auto" w:sz="4" w:space="0"/>
            </w:tcBorders>
            <w:vAlign w:val="center"/>
          </w:tcPr>
          <w:p w14:paraId="1FD771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192899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A40FB7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39AFB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32CD0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508354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14:paraId="4896D2F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E5CA9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C9AAF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4DA30E5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35CE39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4F41E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FE67AA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5A5CF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14EF50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3A87C8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93E9E0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9F810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168F3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0ADAEC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32E78E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6"/>
                <w:szCs w:val="16"/>
              </w:rPr>
            </w:pPr>
            <w:r>
              <w:rPr>
                <w:rFonts w:hint="eastAsia" w:eastAsia="仿宋_GB2312" w:cs="仿宋_GB2312"/>
                <w:snapToGrid w:val="0"/>
                <w:color w:val="000000"/>
                <w:sz w:val="16"/>
                <w:szCs w:val="16"/>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194E77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6"/>
                <w:szCs w:val="16"/>
              </w:rPr>
            </w:pPr>
            <w:r>
              <w:rPr>
                <w:rFonts w:hint="eastAsia" w:eastAsia="仿宋_GB2312" w:cs="仿宋_GB2312"/>
                <w:snapToGrid w:val="0"/>
                <w:color w:val="000000"/>
                <w:sz w:val="16"/>
                <w:szCs w:val="16"/>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357B53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6"/>
                <w:szCs w:val="16"/>
              </w:rPr>
            </w:pPr>
            <w:r>
              <w:rPr>
                <w:rFonts w:hint="eastAsia" w:eastAsia="仿宋_GB2312" w:cs="仿宋_GB2312"/>
                <w:snapToGrid w:val="0"/>
                <w:color w:val="000000"/>
                <w:sz w:val="16"/>
                <w:szCs w:val="16"/>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2674DD1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6"/>
                <w:szCs w:val="16"/>
              </w:rPr>
            </w:pPr>
            <w:r>
              <w:rPr>
                <w:rFonts w:hint="eastAsia" w:eastAsia="仿宋_GB2312" w:cs="仿宋_GB2312"/>
                <w:snapToGrid w:val="0"/>
                <w:color w:val="000000"/>
                <w:sz w:val="16"/>
                <w:szCs w:val="16"/>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6"/>
                <w:szCs w:val="16"/>
                <w:lang w:eastAsia="zh-CN"/>
              </w:rPr>
              <w:t>或者</w:t>
            </w:r>
            <w:r>
              <w:rPr>
                <w:rFonts w:hint="eastAsia" w:eastAsia="仿宋_GB2312" w:cs="仿宋_GB2312"/>
                <w:snapToGrid w:val="0"/>
                <w:color w:val="000000"/>
                <w:sz w:val="16"/>
                <w:szCs w:val="16"/>
              </w:rPr>
              <w:t>通报、报告、公布虚假突发事件信息，造成严重后果的；</w:t>
            </w:r>
          </w:p>
          <w:p w14:paraId="0279560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6"/>
                <w:szCs w:val="16"/>
              </w:rPr>
            </w:pPr>
            <w:r>
              <w:rPr>
                <w:rFonts w:hint="eastAsia" w:eastAsia="仿宋_GB2312" w:cs="仿宋_GB2312"/>
                <w:snapToGrid w:val="0"/>
                <w:color w:val="000000"/>
                <w:sz w:val="16"/>
                <w:szCs w:val="16"/>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252718E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6"/>
                <w:szCs w:val="16"/>
              </w:rPr>
            </w:pPr>
            <w:r>
              <w:rPr>
                <w:rFonts w:hint="eastAsia" w:eastAsia="仿宋_GB2312" w:cs="仿宋_GB2312"/>
                <w:snapToGrid w:val="0"/>
                <w:color w:val="000000"/>
                <w:sz w:val="16"/>
                <w:szCs w:val="16"/>
              </w:rPr>
              <w:t>6.同1 。7.同1。</w:t>
            </w:r>
          </w:p>
          <w:p w14:paraId="2A9427E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6"/>
                <w:szCs w:val="16"/>
              </w:rPr>
            </w:pPr>
            <w:r>
              <w:rPr>
                <w:rFonts w:hint="eastAsia" w:eastAsia="仿宋_GB2312" w:cs="仿宋_GB2312"/>
                <w:snapToGrid w:val="0"/>
                <w:color w:val="000000"/>
                <w:sz w:val="16"/>
                <w:szCs w:val="16"/>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3F7F576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6"/>
                <w:szCs w:val="16"/>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0EA12E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07F81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201F13B5">
        <w:tblPrEx>
          <w:tblCellMar>
            <w:top w:w="28" w:type="dxa"/>
            <w:left w:w="28" w:type="dxa"/>
            <w:bottom w:w="28" w:type="dxa"/>
            <w:right w:w="28" w:type="dxa"/>
          </w:tblCellMar>
        </w:tblPrEx>
        <w:trPr>
          <w:trHeight w:val="13746" w:hRule="atLeast"/>
        </w:trPr>
        <w:tc>
          <w:tcPr>
            <w:tcW w:w="409" w:type="dxa"/>
            <w:tcBorders>
              <w:top w:val="single" w:color="auto" w:sz="4" w:space="0"/>
              <w:left w:val="single" w:color="auto" w:sz="4" w:space="0"/>
              <w:bottom w:val="single" w:color="auto" w:sz="4" w:space="0"/>
              <w:right w:val="single" w:color="auto" w:sz="4" w:space="0"/>
            </w:tcBorders>
            <w:vAlign w:val="center"/>
          </w:tcPr>
          <w:p w14:paraId="30C3CC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w:t>
            </w:r>
            <w:r>
              <w:rPr>
                <w:rFonts w:hint="eastAsia" w:eastAsia="仿宋_GB2312" w:cs="仿宋_GB2312"/>
                <w:snapToGrid w:val="0"/>
                <w:color w:val="000000"/>
                <w:sz w:val="18"/>
                <w:szCs w:val="18"/>
                <w:lang w:val="en-US" w:eastAsia="zh-CN"/>
              </w:rPr>
              <w:t>2</w:t>
            </w:r>
          </w:p>
        </w:tc>
        <w:tc>
          <w:tcPr>
            <w:tcW w:w="548" w:type="dxa"/>
            <w:tcBorders>
              <w:top w:val="single" w:color="auto" w:sz="4" w:space="0"/>
              <w:left w:val="nil"/>
              <w:bottom w:val="single" w:color="auto" w:sz="4" w:space="0"/>
              <w:right w:val="single" w:color="auto" w:sz="4" w:space="0"/>
            </w:tcBorders>
            <w:vAlign w:val="center"/>
          </w:tcPr>
          <w:p w14:paraId="5C3B6F0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1E95BF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对出版、经营含有禁止内容出版物的处罚</w:t>
            </w:r>
          </w:p>
        </w:tc>
        <w:tc>
          <w:tcPr>
            <w:tcW w:w="548" w:type="dxa"/>
            <w:tcBorders>
              <w:top w:val="single" w:color="auto" w:sz="4" w:space="0"/>
              <w:left w:val="nil"/>
              <w:bottom w:val="single" w:color="auto" w:sz="4" w:space="0"/>
              <w:right w:val="single" w:color="auto" w:sz="4" w:space="0"/>
            </w:tcBorders>
            <w:vAlign w:val="center"/>
          </w:tcPr>
          <w:p w14:paraId="72E50D0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07B8B2A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2A7AA1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3FA2D0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出版管理条例》（2001年国务院令第343号公布，2016年国务院令第666号修订）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w:t>
            </w:r>
          </w:p>
          <w:p w14:paraId="3A1C50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（一）出版、进口含有本条例第二十六条、第二十七条禁止内容的出版物；</w:t>
            </w:r>
          </w:p>
          <w:p w14:paraId="428F3A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（二）明知或者应知出版物含有本条例第二十六条、第二十七条禁止内容而印刷或者复制、发行的；</w:t>
            </w:r>
          </w:p>
          <w:p w14:paraId="0103BD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（三）明知或者应知他人出版含有本条例第二十六条、第二十七条禁止内容的出版物而向其出售或者以其他形式转让本出版单位的名称、书号、刊号、版号、版面</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出租本单位的名称、刊号的。</w:t>
            </w:r>
          </w:p>
        </w:tc>
        <w:tc>
          <w:tcPr>
            <w:tcW w:w="1916" w:type="dxa"/>
            <w:tcBorders>
              <w:top w:val="single" w:color="auto" w:sz="4" w:space="0"/>
              <w:left w:val="nil"/>
              <w:bottom w:val="single" w:color="auto" w:sz="4" w:space="0"/>
              <w:right w:val="single" w:color="auto" w:sz="4" w:space="0"/>
            </w:tcBorders>
            <w:vAlign w:val="center"/>
          </w:tcPr>
          <w:p w14:paraId="4D5EB8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D94C5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46C356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BFF3E5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6F6ACC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11C9B16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14:paraId="4A56CA1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32E05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18030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6D550C8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09C29C9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BEFF59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48336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3DA4FD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1D4BD9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5EB031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AEC6CF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5AE03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57A44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EAE9D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3224EA7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5B36FCC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30CB6D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065332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011F8D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12E979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099FA0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08C9DBE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1ACC84D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0952DC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CBCA376">
        <w:tblPrEx>
          <w:tblCellMar>
            <w:top w:w="28" w:type="dxa"/>
            <w:left w:w="28" w:type="dxa"/>
            <w:bottom w:w="28" w:type="dxa"/>
            <w:right w:w="28" w:type="dxa"/>
          </w:tblCellMar>
        </w:tblPrEx>
        <w:trPr>
          <w:trHeight w:val="13691" w:hRule="atLeast"/>
        </w:trPr>
        <w:tc>
          <w:tcPr>
            <w:tcW w:w="409" w:type="dxa"/>
            <w:tcBorders>
              <w:top w:val="single" w:color="auto" w:sz="4" w:space="0"/>
              <w:left w:val="single" w:color="auto" w:sz="4" w:space="0"/>
              <w:bottom w:val="single" w:color="auto" w:sz="4" w:space="0"/>
              <w:right w:val="single" w:color="auto" w:sz="4" w:space="0"/>
            </w:tcBorders>
            <w:vAlign w:val="center"/>
          </w:tcPr>
          <w:p w14:paraId="1C7B7E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w:t>
            </w:r>
            <w:r>
              <w:rPr>
                <w:rFonts w:hint="eastAsia" w:eastAsia="仿宋_GB2312" w:cs="仿宋_GB2312"/>
                <w:snapToGrid w:val="0"/>
                <w:color w:val="000000"/>
                <w:sz w:val="18"/>
                <w:szCs w:val="18"/>
                <w:lang w:val="en-US" w:eastAsia="zh-CN"/>
              </w:rPr>
              <w:t>3</w:t>
            </w:r>
          </w:p>
        </w:tc>
        <w:tc>
          <w:tcPr>
            <w:tcW w:w="548" w:type="dxa"/>
            <w:tcBorders>
              <w:top w:val="single" w:color="auto" w:sz="4" w:space="0"/>
              <w:left w:val="nil"/>
              <w:bottom w:val="single" w:color="auto" w:sz="4" w:space="0"/>
              <w:right w:val="single" w:color="auto" w:sz="4" w:space="0"/>
            </w:tcBorders>
            <w:vAlign w:val="center"/>
          </w:tcPr>
          <w:p w14:paraId="26F3FD4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9242D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对擅自举办境外出版物展览的处罚</w:t>
            </w:r>
          </w:p>
        </w:tc>
        <w:tc>
          <w:tcPr>
            <w:tcW w:w="548" w:type="dxa"/>
            <w:tcBorders>
              <w:top w:val="single" w:color="auto" w:sz="4" w:space="0"/>
              <w:left w:val="nil"/>
              <w:bottom w:val="single" w:color="auto" w:sz="4" w:space="0"/>
              <w:right w:val="single" w:color="auto" w:sz="4" w:space="0"/>
            </w:tcBorders>
            <w:vAlign w:val="center"/>
          </w:tcPr>
          <w:p w14:paraId="3B33DA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729F13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39C888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2B1FE9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出版管理条例》（2001年国务院令第343号公布，2016年国务院令第666号修订）第六十八条：未经批准，举办境外出版物展览的，由出版行政主管部门责令停止违法行为，没收出版物、违法所得；情节严重的，责令限期停业整顿或者由原发证机关吊销许可证。</w:t>
            </w:r>
          </w:p>
        </w:tc>
        <w:tc>
          <w:tcPr>
            <w:tcW w:w="1916" w:type="dxa"/>
            <w:tcBorders>
              <w:top w:val="single" w:color="auto" w:sz="4" w:space="0"/>
              <w:left w:val="nil"/>
              <w:bottom w:val="single" w:color="auto" w:sz="4" w:space="0"/>
              <w:right w:val="single" w:color="auto" w:sz="4" w:space="0"/>
            </w:tcBorders>
            <w:vAlign w:val="center"/>
          </w:tcPr>
          <w:p w14:paraId="6521A36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D7DC0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606DD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799EF4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AC09A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2CCBBA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235CF7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2A9116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 .【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9E6AA3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05D86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44B54C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1F83F76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20D77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0D352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DB7FA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47903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AD4F7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F241B2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B4F27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5968D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0770A5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001304D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7899698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66022BB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00AAB7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6299000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21A640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327F37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12A697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6B9265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0B03A2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B7DBBA2">
        <w:tblPrEx>
          <w:tblCellMar>
            <w:top w:w="28" w:type="dxa"/>
            <w:left w:w="28" w:type="dxa"/>
            <w:bottom w:w="28" w:type="dxa"/>
            <w:right w:w="28" w:type="dxa"/>
          </w:tblCellMar>
        </w:tblPrEx>
        <w:trPr>
          <w:trHeight w:val="13268" w:hRule="atLeast"/>
        </w:trPr>
        <w:tc>
          <w:tcPr>
            <w:tcW w:w="409" w:type="dxa"/>
            <w:tcBorders>
              <w:top w:val="single" w:color="auto" w:sz="4" w:space="0"/>
              <w:left w:val="single" w:color="auto" w:sz="4" w:space="0"/>
              <w:bottom w:val="single" w:color="auto" w:sz="4" w:space="0"/>
              <w:right w:val="single" w:color="auto" w:sz="4" w:space="0"/>
            </w:tcBorders>
            <w:vAlign w:val="center"/>
          </w:tcPr>
          <w:p w14:paraId="114896C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w:t>
            </w:r>
            <w:r>
              <w:rPr>
                <w:rFonts w:hint="eastAsia" w:eastAsia="仿宋_GB2312" w:cs="仿宋_GB2312"/>
                <w:snapToGrid w:val="0"/>
                <w:color w:val="000000"/>
                <w:sz w:val="18"/>
                <w:szCs w:val="18"/>
                <w:lang w:val="en-US" w:eastAsia="zh-CN"/>
              </w:rPr>
              <w:t>4</w:t>
            </w:r>
          </w:p>
        </w:tc>
        <w:tc>
          <w:tcPr>
            <w:tcW w:w="548" w:type="dxa"/>
            <w:tcBorders>
              <w:top w:val="single" w:color="auto" w:sz="4" w:space="0"/>
              <w:left w:val="nil"/>
              <w:bottom w:val="single" w:color="auto" w:sz="4" w:space="0"/>
              <w:right w:val="single" w:color="auto" w:sz="4" w:space="0"/>
            </w:tcBorders>
            <w:vAlign w:val="center"/>
          </w:tcPr>
          <w:p w14:paraId="5700409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24CB2ED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对违反规定编印内部资料性出版物的处罚</w:t>
            </w:r>
          </w:p>
        </w:tc>
        <w:tc>
          <w:tcPr>
            <w:tcW w:w="548" w:type="dxa"/>
            <w:tcBorders>
              <w:top w:val="single" w:color="auto" w:sz="4" w:space="0"/>
              <w:left w:val="nil"/>
              <w:bottom w:val="single" w:color="auto" w:sz="4" w:space="0"/>
              <w:right w:val="single" w:color="auto" w:sz="4" w:space="0"/>
            </w:tcBorders>
            <w:vAlign w:val="center"/>
          </w:tcPr>
          <w:p w14:paraId="7B44CB1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128001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58B172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26CFBF6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内部资料性出版物管理办法》（2015年国家新闻出版广电总局令第2号）第二十二条：有下列行为之一的，由县级以上地方人民政府新闻出版行政部门责令改正、停止违法行为，根据情节轻重，给予警告，处1千元以下的罚款；以营利为目的从事下列行为的，处3万元以下罚款：（一）未经批准擅自编印内部资料的；（二）编印本办法第十三条规定禁止内容的内部资料的；（三）违反本办法第十四条、第十五条规定，编印、发送内部资料的；（四）委托非出版物印刷企业印刷内部资料或者未按照《准印证》核准的项目印制的；（五）未按照本办法第十八条送交样本的；（六）违反本办法其他规定的。其中，有前款第（一）项至第（三）项违法行为的，对非法编印的内部资料予以没收，超越发送范围的责令收回。未取得《准印证》，编印具有内部资料形式，但不符合内部资料内容或发送要求的印刷品，经鉴定为非法出版物的，按照《出版管理条例》第六十一条或第六十二条的规定处罚。</w:t>
            </w:r>
          </w:p>
        </w:tc>
        <w:tc>
          <w:tcPr>
            <w:tcW w:w="1916" w:type="dxa"/>
            <w:tcBorders>
              <w:top w:val="single" w:color="auto" w:sz="4" w:space="0"/>
              <w:left w:val="nil"/>
              <w:bottom w:val="single" w:color="auto" w:sz="4" w:space="0"/>
              <w:right w:val="single" w:color="auto" w:sz="4" w:space="0"/>
            </w:tcBorders>
            <w:vAlign w:val="center"/>
          </w:tcPr>
          <w:p w14:paraId="69D9CB6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381BDA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65C3E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C9EE4F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13FFE9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615CCE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14:paraId="62E581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756480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A39D7D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CACD1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37642F9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0C35E6E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52C62F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C0235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3C19E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72FC44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995F3D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3ADDFC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150750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6D20F4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E63E4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0168F56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BDC5A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3B879B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39D9AE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599BB7D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14CF37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62F07E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46EC660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06285BB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1C84AD7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002CE486">
        <w:tblPrEx>
          <w:tblCellMar>
            <w:top w:w="28" w:type="dxa"/>
            <w:left w:w="28" w:type="dxa"/>
            <w:bottom w:w="28" w:type="dxa"/>
            <w:right w:w="28" w:type="dxa"/>
          </w:tblCellMar>
        </w:tblPrEx>
        <w:trPr>
          <w:trHeight w:val="13168" w:hRule="atLeast"/>
        </w:trPr>
        <w:tc>
          <w:tcPr>
            <w:tcW w:w="409" w:type="dxa"/>
            <w:tcBorders>
              <w:top w:val="single" w:color="auto" w:sz="4" w:space="0"/>
              <w:left w:val="single" w:color="auto" w:sz="4" w:space="0"/>
              <w:bottom w:val="single" w:color="auto" w:sz="4" w:space="0"/>
              <w:right w:val="single" w:color="auto" w:sz="4" w:space="0"/>
            </w:tcBorders>
            <w:vAlign w:val="center"/>
          </w:tcPr>
          <w:p w14:paraId="3ABC4F8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w:t>
            </w:r>
            <w:r>
              <w:rPr>
                <w:rFonts w:hint="eastAsia" w:eastAsia="仿宋_GB2312" w:cs="仿宋_GB2312"/>
                <w:snapToGrid w:val="0"/>
                <w:color w:val="000000"/>
                <w:sz w:val="18"/>
                <w:szCs w:val="18"/>
                <w:lang w:val="en-US" w:eastAsia="zh-CN"/>
              </w:rPr>
              <w:t>5</w:t>
            </w:r>
          </w:p>
        </w:tc>
        <w:tc>
          <w:tcPr>
            <w:tcW w:w="548" w:type="dxa"/>
            <w:tcBorders>
              <w:top w:val="single" w:color="auto" w:sz="4" w:space="0"/>
              <w:left w:val="nil"/>
              <w:bottom w:val="single" w:color="auto" w:sz="4" w:space="0"/>
              <w:right w:val="single" w:color="auto" w:sz="4" w:space="0"/>
            </w:tcBorders>
            <w:vAlign w:val="center"/>
          </w:tcPr>
          <w:p w14:paraId="7DD9D1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529C975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对非法设立出版、复制印刷、出版物进口单位</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擅自从事出版、复制印刷、发行、出版物进口业务，假冒出版单位名称或者伪造、假冒报纸、期刊名称出版出版物的处罚</w:t>
            </w:r>
          </w:p>
        </w:tc>
        <w:tc>
          <w:tcPr>
            <w:tcW w:w="548" w:type="dxa"/>
            <w:tcBorders>
              <w:top w:val="single" w:color="auto" w:sz="4" w:space="0"/>
              <w:left w:val="nil"/>
              <w:bottom w:val="single" w:color="auto" w:sz="4" w:space="0"/>
              <w:right w:val="single" w:color="auto" w:sz="4" w:space="0"/>
            </w:tcBorders>
            <w:vAlign w:val="center"/>
          </w:tcPr>
          <w:p w14:paraId="6C5231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1D2485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2603928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1C25E0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【行政法规】《出版管理条例》（2001年国务院令第343号公布，2016年国务院令第666号修订）第六十一条：未经批准，擅自设立出版物的出版、印刷或者复制、进口单位</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1916" w:type="dxa"/>
            <w:tcBorders>
              <w:top w:val="single" w:color="auto" w:sz="4" w:space="0"/>
              <w:left w:val="nil"/>
              <w:bottom w:val="single" w:color="auto" w:sz="4" w:space="0"/>
              <w:right w:val="single" w:color="auto" w:sz="4" w:space="0"/>
            </w:tcBorders>
            <w:vAlign w:val="center"/>
          </w:tcPr>
          <w:p w14:paraId="102D7F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79D9B7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A8576C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02C956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531FED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4E47BF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14:paraId="6629D3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7018B3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669CB8A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tc>
        <w:tc>
          <w:tcPr>
            <w:tcW w:w="1718" w:type="dxa"/>
            <w:tcBorders>
              <w:top w:val="single" w:color="auto" w:sz="4" w:space="0"/>
              <w:left w:val="nil"/>
              <w:bottom w:val="single" w:color="auto" w:sz="4" w:space="0"/>
              <w:right w:val="single" w:color="auto" w:sz="4" w:space="0"/>
            </w:tcBorders>
            <w:vAlign w:val="center"/>
          </w:tcPr>
          <w:p w14:paraId="23B7AB6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50338E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B0126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63EEF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83519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8B79EB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1A6C7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5111A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A1904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F84632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B5743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3DB20CC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772E9AD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070F44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6252B3B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3EE09A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1944A1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DE768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06389D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9E032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1B377D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305FE8AE">
        <w:tblPrEx>
          <w:tblCellMar>
            <w:top w:w="28" w:type="dxa"/>
            <w:left w:w="28" w:type="dxa"/>
            <w:bottom w:w="28" w:type="dxa"/>
            <w:right w:w="28" w:type="dxa"/>
          </w:tblCellMar>
        </w:tblPrEx>
        <w:trPr>
          <w:trHeight w:val="13656" w:hRule="atLeast"/>
        </w:trPr>
        <w:tc>
          <w:tcPr>
            <w:tcW w:w="409" w:type="dxa"/>
            <w:tcBorders>
              <w:top w:val="single" w:color="auto" w:sz="4" w:space="0"/>
              <w:left w:val="single" w:color="auto" w:sz="4" w:space="0"/>
              <w:bottom w:val="single" w:color="auto" w:sz="4" w:space="0"/>
              <w:right w:val="single" w:color="auto" w:sz="4" w:space="0"/>
            </w:tcBorders>
            <w:vAlign w:val="center"/>
          </w:tcPr>
          <w:p w14:paraId="375707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16</w:t>
            </w:r>
          </w:p>
        </w:tc>
        <w:tc>
          <w:tcPr>
            <w:tcW w:w="548" w:type="dxa"/>
            <w:tcBorders>
              <w:top w:val="single" w:color="auto" w:sz="4" w:space="0"/>
              <w:left w:val="nil"/>
              <w:bottom w:val="single" w:color="auto" w:sz="4" w:space="0"/>
              <w:right w:val="single" w:color="auto" w:sz="4" w:space="0"/>
            </w:tcBorders>
            <w:vAlign w:val="center"/>
          </w:tcPr>
          <w:p w14:paraId="70C864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5199BA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对社会组织或者个人违反新闻记者证管理有关规定的处罚</w:t>
            </w:r>
          </w:p>
        </w:tc>
        <w:tc>
          <w:tcPr>
            <w:tcW w:w="548" w:type="dxa"/>
            <w:tcBorders>
              <w:top w:val="single" w:color="auto" w:sz="4" w:space="0"/>
              <w:left w:val="nil"/>
              <w:bottom w:val="single" w:color="auto" w:sz="4" w:space="0"/>
              <w:right w:val="single" w:color="auto" w:sz="4" w:space="0"/>
            </w:tcBorders>
            <w:vAlign w:val="center"/>
          </w:tcPr>
          <w:p w14:paraId="54743B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358D4B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33B4654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08117AE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新闻记者证管理办法》（2009年新闻出版总署令第44号）第三十七条：社会组织或者个人有以下行为之一的，由新闻出版行政部门联合有关部门共同查处，没收违法所得，给予警告，并处3万元以下罚款，构成犯罪的，依法追究刑事责任：（一）擅自制作、仿制、发放、销售新闻记者证或者擅自制作、发放、销售采访证件的；（二）假借新闻机构、假冒新闻记者从事新闻采访活动的；（三）以新闻采访为名开展各类活动或者谋取利益的。</w:t>
            </w:r>
          </w:p>
        </w:tc>
        <w:tc>
          <w:tcPr>
            <w:tcW w:w="1916" w:type="dxa"/>
            <w:tcBorders>
              <w:top w:val="single" w:color="auto" w:sz="4" w:space="0"/>
              <w:left w:val="nil"/>
              <w:bottom w:val="single" w:color="auto" w:sz="4" w:space="0"/>
              <w:right w:val="single" w:color="auto" w:sz="4" w:space="0"/>
            </w:tcBorders>
            <w:vAlign w:val="center"/>
          </w:tcPr>
          <w:p w14:paraId="1E6772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0C909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EB800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FDF42F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7D4BC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5F671E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E87C1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026C4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7AEF74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4.【法律】《中华人民共和国行政处罚法》第四十条：行政处罚决定书应当在宣告后当场交付当事人；当事人不在场的，行政机关应当在七日内依照民事诉讼法的有关规定，将行政处罚决定书送达当事人。</w:t>
            </w:r>
          </w:p>
        </w:tc>
        <w:tc>
          <w:tcPr>
            <w:tcW w:w="1718" w:type="dxa"/>
            <w:tcBorders>
              <w:top w:val="single" w:color="auto" w:sz="4" w:space="0"/>
              <w:left w:val="nil"/>
              <w:bottom w:val="single" w:color="auto" w:sz="4" w:space="0"/>
              <w:right w:val="single" w:color="auto" w:sz="4" w:space="0"/>
            </w:tcBorders>
            <w:vAlign w:val="center"/>
          </w:tcPr>
          <w:p w14:paraId="0E70B85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7F4105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740675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831360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AD900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6996C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31917A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E086B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5F2CC3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F2278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69EABF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4E6978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5A100CD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1D9B339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7491DF0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758C1CE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294E4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052887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0005A4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5BB2B6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04696E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482510F3">
        <w:tblPrEx>
          <w:tblCellMar>
            <w:top w:w="28" w:type="dxa"/>
            <w:left w:w="28" w:type="dxa"/>
            <w:bottom w:w="28" w:type="dxa"/>
            <w:right w:w="28" w:type="dxa"/>
          </w:tblCellMar>
        </w:tblPrEx>
        <w:trPr>
          <w:trHeight w:val="13015" w:hRule="atLeast"/>
        </w:trPr>
        <w:tc>
          <w:tcPr>
            <w:tcW w:w="409" w:type="dxa"/>
            <w:tcBorders>
              <w:top w:val="single" w:color="auto" w:sz="4" w:space="0"/>
              <w:left w:val="single" w:color="auto" w:sz="4" w:space="0"/>
              <w:bottom w:val="single" w:color="auto" w:sz="4" w:space="0"/>
              <w:right w:val="single" w:color="auto" w:sz="4" w:space="0"/>
            </w:tcBorders>
            <w:vAlign w:val="center"/>
          </w:tcPr>
          <w:p w14:paraId="6397FA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w:t>
            </w:r>
            <w:r>
              <w:rPr>
                <w:rFonts w:hint="eastAsia" w:eastAsia="仿宋_GB2312" w:cs="仿宋_GB2312"/>
                <w:snapToGrid w:val="0"/>
                <w:color w:val="000000"/>
                <w:sz w:val="18"/>
                <w:szCs w:val="18"/>
                <w:lang w:val="en-US" w:eastAsia="zh-CN"/>
              </w:rPr>
              <w:t>7</w:t>
            </w:r>
          </w:p>
        </w:tc>
        <w:tc>
          <w:tcPr>
            <w:tcW w:w="548" w:type="dxa"/>
            <w:tcBorders>
              <w:top w:val="single" w:color="auto" w:sz="4" w:space="0"/>
              <w:left w:val="nil"/>
              <w:bottom w:val="single" w:color="auto" w:sz="4" w:space="0"/>
              <w:right w:val="single" w:color="auto" w:sz="4" w:space="0"/>
            </w:tcBorders>
            <w:vAlign w:val="center"/>
          </w:tcPr>
          <w:p w14:paraId="2D1F331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5AEB603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对出版、制作、复制、批发、零售、出租、放映明知或者应知含有禁止内容的音像制品的处罚</w:t>
            </w:r>
          </w:p>
        </w:tc>
        <w:tc>
          <w:tcPr>
            <w:tcW w:w="548" w:type="dxa"/>
            <w:tcBorders>
              <w:top w:val="single" w:color="auto" w:sz="4" w:space="0"/>
              <w:left w:val="nil"/>
              <w:bottom w:val="single" w:color="auto" w:sz="4" w:space="0"/>
              <w:right w:val="single" w:color="auto" w:sz="4" w:space="0"/>
            </w:tcBorders>
            <w:vAlign w:val="center"/>
          </w:tcPr>
          <w:p w14:paraId="709302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09B06D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F4C685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B2A25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【行政法规】《音像制品管理条例》（2001年国务院令第341号公布，2016年国务院令第666号修订）第四十条：出版含有本条例第三条第二款禁止内容的音像制品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制作、复制、批发、零售、出租、放映明知或者应知含有本条例第三条第二款禁止内容的音像制品的，依照刑法有关规定，依法追究刑事责任；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tc>
        <w:tc>
          <w:tcPr>
            <w:tcW w:w="1916" w:type="dxa"/>
            <w:tcBorders>
              <w:top w:val="single" w:color="auto" w:sz="4" w:space="0"/>
              <w:left w:val="nil"/>
              <w:bottom w:val="single" w:color="auto" w:sz="4" w:space="0"/>
              <w:right w:val="single" w:color="auto" w:sz="4" w:space="0"/>
            </w:tcBorders>
            <w:vAlign w:val="center"/>
          </w:tcPr>
          <w:p w14:paraId="21E7C73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8BB36B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745D7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5838E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987B58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476F0D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14:paraId="5A1BE98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1A1936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5C8E9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56341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5D625C4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6E5D29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E6EFFE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F6EDD1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EA03A6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A4E22D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A028B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50776F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98D5C5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6EA4B4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D0115F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7F5881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21815B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1A3863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4CBCDFE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517B0A5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569969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24664D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5322BE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1D8B7D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28D22F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3175DA7F">
        <w:tblPrEx>
          <w:tblCellMar>
            <w:top w:w="28" w:type="dxa"/>
            <w:left w:w="28" w:type="dxa"/>
            <w:bottom w:w="28" w:type="dxa"/>
            <w:right w:w="28" w:type="dxa"/>
          </w:tblCellMar>
        </w:tblPrEx>
        <w:trPr>
          <w:trHeight w:val="13596" w:hRule="atLeast"/>
        </w:trPr>
        <w:tc>
          <w:tcPr>
            <w:tcW w:w="409" w:type="dxa"/>
            <w:tcBorders>
              <w:top w:val="single" w:color="auto" w:sz="4" w:space="0"/>
              <w:left w:val="single" w:color="auto" w:sz="4" w:space="0"/>
              <w:bottom w:val="single" w:color="auto" w:sz="4" w:space="0"/>
              <w:right w:val="single" w:color="auto" w:sz="4" w:space="0"/>
            </w:tcBorders>
            <w:vAlign w:val="center"/>
          </w:tcPr>
          <w:p w14:paraId="09ABA4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1</w:t>
            </w:r>
            <w:r>
              <w:rPr>
                <w:rFonts w:hint="eastAsia" w:eastAsia="仿宋_GB2312" w:cs="仿宋_GB2312"/>
                <w:snapToGrid w:val="0"/>
                <w:color w:val="000000"/>
                <w:sz w:val="18"/>
                <w:szCs w:val="18"/>
                <w:lang w:val="en-US" w:eastAsia="zh-CN"/>
              </w:rPr>
              <w:t>8</w:t>
            </w:r>
          </w:p>
        </w:tc>
        <w:tc>
          <w:tcPr>
            <w:tcW w:w="548" w:type="dxa"/>
            <w:tcBorders>
              <w:top w:val="single" w:color="auto" w:sz="4" w:space="0"/>
              <w:left w:val="nil"/>
              <w:bottom w:val="single" w:color="auto" w:sz="4" w:space="0"/>
              <w:right w:val="single" w:color="auto" w:sz="4" w:space="0"/>
            </w:tcBorders>
            <w:vAlign w:val="center"/>
          </w:tcPr>
          <w:p w14:paraId="325001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3293D9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对违反音像制品出版管理有关规定的处罚</w:t>
            </w:r>
          </w:p>
        </w:tc>
        <w:tc>
          <w:tcPr>
            <w:tcW w:w="548" w:type="dxa"/>
            <w:tcBorders>
              <w:top w:val="single" w:color="auto" w:sz="4" w:space="0"/>
              <w:left w:val="nil"/>
              <w:bottom w:val="single" w:color="auto" w:sz="4" w:space="0"/>
              <w:right w:val="single" w:color="auto" w:sz="4" w:space="0"/>
            </w:tcBorders>
            <w:vAlign w:val="center"/>
          </w:tcPr>
          <w:p w14:paraId="1D3656F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410798D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22FA74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19F48C4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音像制品出版管理规定》（2004年新闻出版总署令第22号公布，2017年国家新闻出版广电总局令第13号修订）第五十条：有下列行为之一的，由出版行政部门责令停止违法行为，给予警告，并处3万元以下的罚款：（一）其他出版单位配合本版出版物出版音像制品，其名称与本版出版物不一致或者单独定价销售的；（二）音像出版单位及其他委托复制单位，未按照本规定第三十六条规定的内容、期限留存备查材料的；（三）委托复制非卖品的单位销售或变相销售非卖品或者以非卖品收取费用的；（四）委托复制非卖品的单位未在非卖品包装和盘带显著位置注明非卖品编号的。</w:t>
            </w:r>
          </w:p>
        </w:tc>
        <w:tc>
          <w:tcPr>
            <w:tcW w:w="1916" w:type="dxa"/>
            <w:tcBorders>
              <w:top w:val="single" w:color="auto" w:sz="4" w:space="0"/>
              <w:left w:val="nil"/>
              <w:bottom w:val="single" w:color="auto" w:sz="4" w:space="0"/>
              <w:right w:val="single" w:color="auto" w:sz="4" w:space="0"/>
            </w:tcBorders>
            <w:vAlign w:val="center"/>
          </w:tcPr>
          <w:p w14:paraId="10F385B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9B6D9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52A05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9FD97C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8EAA8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530DA2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14:paraId="7F7CBC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324D09C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DFAC3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2E43B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1F9E4C3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53A20B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BFB047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B9E0E4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DB750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EAF2D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80E9D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43EB98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7D6DEC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A5F9AD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FBEF6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3941F8D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186A11A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737D22C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4DA54E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2B52B10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A3BA6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4781958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4704040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3EF0F9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1473699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10EC3678">
        <w:tblPrEx>
          <w:tblCellMar>
            <w:top w:w="28" w:type="dxa"/>
            <w:left w:w="28" w:type="dxa"/>
            <w:bottom w:w="28" w:type="dxa"/>
            <w:right w:w="28" w:type="dxa"/>
          </w:tblCellMar>
        </w:tblPrEx>
        <w:trPr>
          <w:trHeight w:val="13529" w:hRule="atLeast"/>
        </w:trPr>
        <w:tc>
          <w:tcPr>
            <w:tcW w:w="409" w:type="dxa"/>
            <w:tcBorders>
              <w:top w:val="single" w:color="auto" w:sz="4" w:space="0"/>
              <w:left w:val="single" w:color="auto" w:sz="4" w:space="0"/>
              <w:bottom w:val="single" w:color="auto" w:sz="4" w:space="0"/>
              <w:right w:val="single" w:color="auto" w:sz="4" w:space="0"/>
            </w:tcBorders>
            <w:vAlign w:val="center"/>
          </w:tcPr>
          <w:p w14:paraId="4F29B0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19</w:t>
            </w:r>
          </w:p>
        </w:tc>
        <w:tc>
          <w:tcPr>
            <w:tcW w:w="548" w:type="dxa"/>
            <w:tcBorders>
              <w:top w:val="single" w:color="auto" w:sz="4" w:space="0"/>
              <w:left w:val="nil"/>
              <w:bottom w:val="single" w:color="auto" w:sz="4" w:space="0"/>
              <w:right w:val="single" w:color="auto" w:sz="4" w:space="0"/>
            </w:tcBorders>
            <w:vAlign w:val="center"/>
          </w:tcPr>
          <w:p w14:paraId="43C8132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0875379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对擅自设立音像制品出版、进口单位，擅自从事音像制品出版、制作、复制业务或者进口、批发、零售经营活动的的处罚</w:t>
            </w:r>
          </w:p>
        </w:tc>
        <w:tc>
          <w:tcPr>
            <w:tcW w:w="548" w:type="dxa"/>
            <w:tcBorders>
              <w:top w:val="single" w:color="auto" w:sz="4" w:space="0"/>
              <w:left w:val="nil"/>
              <w:bottom w:val="single" w:color="auto" w:sz="4" w:space="0"/>
              <w:right w:val="single" w:color="auto" w:sz="4" w:space="0"/>
            </w:tcBorders>
            <w:vAlign w:val="center"/>
          </w:tcPr>
          <w:p w14:paraId="70CD6F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060E49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2CCB0A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118D8C0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音像制品管理条例》（2001年国务院令第341号公布，2016年国务院第666号修订）第三十九条：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1916" w:type="dxa"/>
            <w:tcBorders>
              <w:top w:val="single" w:color="auto" w:sz="4" w:space="0"/>
              <w:left w:val="nil"/>
              <w:bottom w:val="single" w:color="auto" w:sz="4" w:space="0"/>
              <w:right w:val="single" w:color="auto" w:sz="4" w:space="0"/>
            </w:tcBorders>
            <w:vAlign w:val="center"/>
          </w:tcPr>
          <w:p w14:paraId="5F2BD5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7F455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E206E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D13CF4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6706B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4D5068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32CCC01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4669A6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66149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17611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4776AC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24F669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D5F10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44E723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1B222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FEA75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AD7598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EA12D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D537F5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36C770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62FFB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54E34A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E7D9F0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352C5E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22C9AE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550238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053DBCE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247DA9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1EB12F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6CF286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49AFC8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9451361">
        <w:tblPrEx>
          <w:tblCellMar>
            <w:top w:w="28" w:type="dxa"/>
            <w:left w:w="28" w:type="dxa"/>
            <w:bottom w:w="28" w:type="dxa"/>
            <w:right w:w="28" w:type="dxa"/>
          </w:tblCellMar>
        </w:tblPrEx>
        <w:trPr>
          <w:trHeight w:val="13602" w:hRule="atLeast"/>
        </w:trPr>
        <w:tc>
          <w:tcPr>
            <w:tcW w:w="409" w:type="dxa"/>
            <w:tcBorders>
              <w:top w:val="single" w:color="auto" w:sz="4" w:space="0"/>
              <w:left w:val="single" w:color="auto" w:sz="4" w:space="0"/>
              <w:bottom w:val="single" w:color="auto" w:sz="4" w:space="0"/>
              <w:right w:val="single" w:color="auto" w:sz="4" w:space="0"/>
            </w:tcBorders>
            <w:vAlign w:val="center"/>
          </w:tcPr>
          <w:p w14:paraId="42CCAD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20</w:t>
            </w:r>
          </w:p>
        </w:tc>
        <w:tc>
          <w:tcPr>
            <w:tcW w:w="548" w:type="dxa"/>
            <w:tcBorders>
              <w:top w:val="single" w:color="auto" w:sz="4" w:space="0"/>
              <w:left w:val="nil"/>
              <w:bottom w:val="single" w:color="auto" w:sz="4" w:space="0"/>
              <w:right w:val="single" w:color="auto" w:sz="4" w:space="0"/>
            </w:tcBorders>
            <w:vAlign w:val="center"/>
          </w:tcPr>
          <w:p w14:paraId="45F525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E59D8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对进口、印刷或复制、发行非法出版物的处罚</w:t>
            </w:r>
          </w:p>
        </w:tc>
        <w:tc>
          <w:tcPr>
            <w:tcW w:w="548" w:type="dxa"/>
            <w:tcBorders>
              <w:top w:val="single" w:color="auto" w:sz="4" w:space="0"/>
              <w:left w:val="nil"/>
              <w:bottom w:val="single" w:color="auto" w:sz="4" w:space="0"/>
              <w:right w:val="single" w:color="auto" w:sz="4" w:space="0"/>
            </w:tcBorders>
            <w:vAlign w:val="center"/>
          </w:tcPr>
          <w:p w14:paraId="3BFC181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6362870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42665D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1A8EF79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出版管理条例》（2001年国务院令第343号公布，2016年国务院令第666号修订）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一）进口、印刷或者复制、发行国务院出版行政主管部门禁止进口的出版物的；（二）印刷或者复制走私的境外出版物的；（三）发行进口出版物未从本条例规定的出版物进口经营单位进货的。</w:t>
            </w:r>
          </w:p>
        </w:tc>
        <w:tc>
          <w:tcPr>
            <w:tcW w:w="1916" w:type="dxa"/>
            <w:tcBorders>
              <w:top w:val="single" w:color="auto" w:sz="4" w:space="0"/>
              <w:left w:val="nil"/>
              <w:bottom w:val="single" w:color="auto" w:sz="4" w:space="0"/>
              <w:right w:val="single" w:color="auto" w:sz="4" w:space="0"/>
            </w:tcBorders>
            <w:vAlign w:val="center"/>
          </w:tcPr>
          <w:p w14:paraId="7B86282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49B69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0D72C4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03ECD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374C82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0939B3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2A1412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6BFC7F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5C620D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4FA318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57C4E72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7317B8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941621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975F09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116DF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2FD265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8A87ED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C41149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59F8B0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2F4F98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791A7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73AD3A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5D6027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34FF7D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74970B9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1EE66D1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30089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4BD0A7E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59BBE48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5992AFE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002D164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2F897160">
        <w:tblPrEx>
          <w:tblCellMar>
            <w:top w:w="28" w:type="dxa"/>
            <w:left w:w="28" w:type="dxa"/>
            <w:bottom w:w="28" w:type="dxa"/>
            <w:right w:w="28" w:type="dxa"/>
          </w:tblCellMar>
        </w:tblPrEx>
        <w:trPr>
          <w:trHeight w:val="13602" w:hRule="atLeast"/>
        </w:trPr>
        <w:tc>
          <w:tcPr>
            <w:tcW w:w="409" w:type="dxa"/>
            <w:tcBorders>
              <w:top w:val="single" w:color="auto" w:sz="4" w:space="0"/>
              <w:left w:val="single" w:color="auto" w:sz="4" w:space="0"/>
              <w:bottom w:val="single" w:color="auto" w:sz="4" w:space="0"/>
              <w:right w:val="single" w:color="auto" w:sz="4" w:space="0"/>
            </w:tcBorders>
            <w:vAlign w:val="center"/>
          </w:tcPr>
          <w:p w14:paraId="48194D5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1</w:t>
            </w:r>
          </w:p>
        </w:tc>
        <w:tc>
          <w:tcPr>
            <w:tcW w:w="548" w:type="dxa"/>
            <w:tcBorders>
              <w:top w:val="single" w:color="auto" w:sz="4" w:space="0"/>
              <w:left w:val="nil"/>
              <w:bottom w:val="single" w:color="auto" w:sz="4" w:space="0"/>
              <w:right w:val="single" w:color="auto" w:sz="4" w:space="0"/>
            </w:tcBorders>
            <w:vAlign w:val="center"/>
          </w:tcPr>
          <w:p w14:paraId="52ADC7C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2D42F5E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对违反规定出版、印刷或者复制、发行出版物的处罚</w:t>
            </w:r>
          </w:p>
        </w:tc>
        <w:tc>
          <w:tcPr>
            <w:tcW w:w="548" w:type="dxa"/>
            <w:tcBorders>
              <w:top w:val="single" w:color="auto" w:sz="4" w:space="0"/>
              <w:left w:val="nil"/>
              <w:bottom w:val="single" w:color="auto" w:sz="4" w:space="0"/>
              <w:right w:val="single" w:color="auto" w:sz="4" w:space="0"/>
            </w:tcBorders>
            <w:vAlign w:val="center"/>
          </w:tcPr>
          <w:p w14:paraId="6E12AE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78DF16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578952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00162B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【行政法规】《出版管理条例》（2001年国务院令第343号公布，2016年国务院令第666号修订）第六十五条： 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非依照本条例规定确定的单位从事中学小学教科书的出版、发行业务的。</w:t>
            </w:r>
          </w:p>
        </w:tc>
        <w:tc>
          <w:tcPr>
            <w:tcW w:w="1916" w:type="dxa"/>
            <w:tcBorders>
              <w:top w:val="single" w:color="auto" w:sz="4" w:space="0"/>
              <w:left w:val="nil"/>
              <w:bottom w:val="single" w:color="auto" w:sz="4" w:space="0"/>
              <w:right w:val="single" w:color="auto" w:sz="4" w:space="0"/>
            </w:tcBorders>
            <w:vAlign w:val="center"/>
          </w:tcPr>
          <w:p w14:paraId="2F6F39E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5CD7F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398CD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B1C6F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C421D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608760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1B0D549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1F3F30A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1EF6A32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C6A20C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7AFDE4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406ABC5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3A1D9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424D1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5BF315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A14B3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2EEFD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428145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F21FCE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387235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6C59CF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267B00A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5D6E2F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27B175B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45B15B1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5979F0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1AD8D86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490374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4BA4A13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34D3BE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7B589E5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510E7555">
        <w:tblPrEx>
          <w:tblCellMar>
            <w:top w:w="28" w:type="dxa"/>
            <w:left w:w="28" w:type="dxa"/>
            <w:bottom w:w="28" w:type="dxa"/>
            <w:right w:w="28" w:type="dxa"/>
          </w:tblCellMar>
        </w:tblPrEx>
        <w:trPr>
          <w:trHeight w:val="13602" w:hRule="atLeast"/>
        </w:trPr>
        <w:tc>
          <w:tcPr>
            <w:tcW w:w="409" w:type="dxa"/>
            <w:tcBorders>
              <w:top w:val="single" w:color="auto" w:sz="4" w:space="0"/>
              <w:left w:val="single" w:color="auto" w:sz="4" w:space="0"/>
              <w:bottom w:val="single" w:color="auto" w:sz="4" w:space="0"/>
              <w:right w:val="single" w:color="auto" w:sz="4" w:space="0"/>
            </w:tcBorders>
            <w:vAlign w:val="center"/>
          </w:tcPr>
          <w:p w14:paraId="7F2CDD1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2</w:t>
            </w:r>
          </w:p>
        </w:tc>
        <w:tc>
          <w:tcPr>
            <w:tcW w:w="548" w:type="dxa"/>
            <w:tcBorders>
              <w:top w:val="single" w:color="auto" w:sz="4" w:space="0"/>
              <w:left w:val="nil"/>
              <w:bottom w:val="single" w:color="auto" w:sz="4" w:space="0"/>
              <w:right w:val="single" w:color="auto" w:sz="4" w:space="0"/>
            </w:tcBorders>
            <w:vAlign w:val="center"/>
          </w:tcPr>
          <w:p w14:paraId="033E0F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64F8CAA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对印刷业经营者违法印刷含有禁止内容或者禁止出版的出版物的处罚</w:t>
            </w:r>
          </w:p>
        </w:tc>
        <w:tc>
          <w:tcPr>
            <w:tcW w:w="548" w:type="dxa"/>
            <w:tcBorders>
              <w:top w:val="single" w:color="auto" w:sz="4" w:space="0"/>
              <w:left w:val="nil"/>
              <w:bottom w:val="single" w:color="auto" w:sz="4" w:space="0"/>
              <w:right w:val="single" w:color="auto" w:sz="4" w:space="0"/>
            </w:tcBorders>
            <w:vAlign w:val="center"/>
          </w:tcPr>
          <w:p w14:paraId="2A1AB16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792AE4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1AE04E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7BBD27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印刷业管理条例》（2001年国务院令第315号公布，2020年国务院令第732号修订）第三十八条：印刷业经营者印刷明知或者应知含有本条例第三条规定禁止印刷内容的出版物、包装装潢印刷品或者其他印刷品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印刷国家明令禁止出版的出版物或者非出版单位出版的出版物的，由县级以上地方人民政府出版行政部门、公安部门依据法定职权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w:t>
            </w:r>
          </w:p>
        </w:tc>
        <w:tc>
          <w:tcPr>
            <w:tcW w:w="1916" w:type="dxa"/>
            <w:tcBorders>
              <w:top w:val="single" w:color="auto" w:sz="4" w:space="0"/>
              <w:left w:val="nil"/>
              <w:bottom w:val="single" w:color="auto" w:sz="4" w:space="0"/>
              <w:right w:val="single" w:color="auto" w:sz="4" w:space="0"/>
            </w:tcBorders>
            <w:vAlign w:val="center"/>
          </w:tcPr>
          <w:p w14:paraId="275F797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62CC1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6F204F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FF2F9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8DDE8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D3672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732237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7559EC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5FE0CE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5A14A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47A64AC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43985A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192B6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1073C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9C9251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08FC9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85B0B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7B77D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E52A20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88773E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781B5C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63F45C6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521D9C9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1D3CFD4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6570DB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1B83A8C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19D6BF4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618F335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0975CC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F3379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7E4BE8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0789687F">
        <w:tblPrEx>
          <w:tblCellMar>
            <w:top w:w="28" w:type="dxa"/>
            <w:left w:w="28" w:type="dxa"/>
            <w:bottom w:w="28" w:type="dxa"/>
            <w:right w:w="28" w:type="dxa"/>
          </w:tblCellMar>
        </w:tblPrEx>
        <w:trPr>
          <w:trHeight w:val="13332" w:hRule="atLeast"/>
        </w:trPr>
        <w:tc>
          <w:tcPr>
            <w:tcW w:w="409" w:type="dxa"/>
            <w:tcBorders>
              <w:top w:val="single" w:color="auto" w:sz="4" w:space="0"/>
              <w:left w:val="single" w:color="auto" w:sz="4" w:space="0"/>
              <w:bottom w:val="single" w:color="auto" w:sz="4" w:space="0"/>
              <w:right w:val="single" w:color="auto" w:sz="4" w:space="0"/>
            </w:tcBorders>
            <w:vAlign w:val="center"/>
          </w:tcPr>
          <w:p w14:paraId="3FB6EB4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3</w:t>
            </w:r>
          </w:p>
        </w:tc>
        <w:tc>
          <w:tcPr>
            <w:tcW w:w="548" w:type="dxa"/>
            <w:tcBorders>
              <w:top w:val="single" w:color="auto" w:sz="4" w:space="0"/>
              <w:left w:val="nil"/>
              <w:bottom w:val="single" w:color="auto" w:sz="4" w:space="0"/>
              <w:right w:val="single" w:color="auto" w:sz="4" w:space="0"/>
            </w:tcBorders>
            <w:vAlign w:val="center"/>
          </w:tcPr>
          <w:p w14:paraId="501D65A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69F3D2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对未按规定建立印刷管理制度、履行报告、变更备案、留存备查材料和办理登记手续的处罚</w:t>
            </w:r>
          </w:p>
        </w:tc>
        <w:tc>
          <w:tcPr>
            <w:tcW w:w="548" w:type="dxa"/>
            <w:tcBorders>
              <w:top w:val="single" w:color="auto" w:sz="4" w:space="0"/>
              <w:left w:val="nil"/>
              <w:bottom w:val="single" w:color="auto" w:sz="4" w:space="0"/>
              <w:right w:val="single" w:color="auto" w:sz="4" w:space="0"/>
            </w:tcBorders>
            <w:vAlign w:val="center"/>
          </w:tcPr>
          <w:p w14:paraId="387601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2C6845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32345D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23738A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印刷业管理条例》（2001年国务院令第315号公布，2020年国务院令第732号修订）第三十九条：印刷业经营者有下列行为之一的，由县级以上地方人民政府出版行政部门、公安部门依据法定职权责令改正，给予警告；情节严重的，责令停业整顿或者由原发证机关吊销许可证：（一）没有建立承印验证制度、承印登记制度、印刷品保管制度、印刷品交付制度、印刷活动残次品销毁制度等的；（二）在印刷经营活动中发现违法犯罪行为没有及时向公安部门或者出版行政部门报告的；（三）变更名称、法定代表人或者负责人、住所或者经营场所等主要登记事项</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终止印刷经营活动，不向原批准设立的出版行政部门备案的；（四）未依照本条例的规定留存备查的材料的。单位内部设立印刷厂（所）违反本条例的规定，没有向所在地县级以上地方人民政府出版行政部门、保密工作部门办理登记手续的，由县级以上地方人民政府出版行政部门、保密工作部门依据法定职权责令改正，给予警告；情节严重的，责令停业整顿。</w:t>
            </w:r>
          </w:p>
        </w:tc>
        <w:tc>
          <w:tcPr>
            <w:tcW w:w="1916" w:type="dxa"/>
            <w:tcBorders>
              <w:top w:val="single" w:color="auto" w:sz="4" w:space="0"/>
              <w:left w:val="nil"/>
              <w:bottom w:val="single" w:color="auto" w:sz="4" w:space="0"/>
              <w:right w:val="single" w:color="auto" w:sz="4" w:space="0"/>
            </w:tcBorders>
            <w:vAlign w:val="center"/>
          </w:tcPr>
          <w:p w14:paraId="3318BD8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E9FEB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028FD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DA088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F2D6F9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AA1F0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3BC5BE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2A059B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9D726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41845F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0DC0FF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45FD095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0927B5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1F9A6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A74CA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5E4AC8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CE094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55662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09AEE2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FEFEE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63C14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688AC4E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755921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0E149C7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706A254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2D3A142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37AC6C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6A72FB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2B7C543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32614B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1995A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86AB6F6">
        <w:tblPrEx>
          <w:tblCellMar>
            <w:top w:w="28" w:type="dxa"/>
            <w:left w:w="28" w:type="dxa"/>
            <w:bottom w:w="28" w:type="dxa"/>
            <w:right w:w="28" w:type="dxa"/>
          </w:tblCellMar>
        </w:tblPrEx>
        <w:trPr>
          <w:trHeight w:val="13257" w:hRule="atLeast"/>
        </w:trPr>
        <w:tc>
          <w:tcPr>
            <w:tcW w:w="409" w:type="dxa"/>
            <w:tcBorders>
              <w:top w:val="single" w:color="auto" w:sz="4" w:space="0"/>
              <w:left w:val="single" w:color="auto" w:sz="4" w:space="0"/>
              <w:bottom w:val="single" w:color="auto" w:sz="4" w:space="0"/>
              <w:right w:val="single" w:color="auto" w:sz="4" w:space="0"/>
            </w:tcBorders>
            <w:vAlign w:val="center"/>
          </w:tcPr>
          <w:p w14:paraId="7B7CFC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4</w:t>
            </w:r>
          </w:p>
        </w:tc>
        <w:tc>
          <w:tcPr>
            <w:tcW w:w="548" w:type="dxa"/>
            <w:tcBorders>
              <w:top w:val="single" w:color="auto" w:sz="4" w:space="0"/>
              <w:left w:val="nil"/>
              <w:bottom w:val="single" w:color="auto" w:sz="4" w:space="0"/>
              <w:right w:val="single" w:color="auto" w:sz="4" w:space="0"/>
            </w:tcBorders>
            <w:vAlign w:val="center"/>
          </w:tcPr>
          <w:p w14:paraId="0F2709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5F1E67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对不按规定印刷、经营出版物行为的处罚</w:t>
            </w:r>
          </w:p>
        </w:tc>
        <w:tc>
          <w:tcPr>
            <w:tcW w:w="548" w:type="dxa"/>
            <w:tcBorders>
              <w:top w:val="single" w:color="auto" w:sz="4" w:space="0"/>
              <w:left w:val="nil"/>
              <w:bottom w:val="single" w:color="auto" w:sz="4" w:space="0"/>
              <w:right w:val="single" w:color="auto" w:sz="4" w:space="0"/>
            </w:tcBorders>
            <w:vAlign w:val="center"/>
          </w:tcPr>
          <w:p w14:paraId="60A3F6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5F24DB6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004D979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1C95C5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印刷业管理条例》（2001年国务院令第315号公布，2020年国务院令第732号修订）第四十条：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他人委托印刷出版物，未依照本条例的规定验证印刷委托书、有关证明或者准印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未将印刷委托书报出版行政部门备案的；（二）假冒或者盗用他人名义，印刷出版物的；（三）盗印他人出版物的；（四）非法加印或者销售受委托印刷的出版物的；（五）征订、销售出版物的；</w:t>
            </w:r>
          </w:p>
          <w:p w14:paraId="3097D0F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（六）擅自将出版单位委托印刷的出版物纸型及印刷底片等出售、出租、出借或者以其他形式转让的；（七）未经批准，接受委托印刷境外出版物的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未将印刷的境外出版物全部运输出境的。</w:t>
            </w:r>
          </w:p>
        </w:tc>
        <w:tc>
          <w:tcPr>
            <w:tcW w:w="1916" w:type="dxa"/>
            <w:tcBorders>
              <w:top w:val="single" w:color="auto" w:sz="4" w:space="0"/>
              <w:left w:val="nil"/>
              <w:bottom w:val="single" w:color="auto" w:sz="4" w:space="0"/>
              <w:right w:val="single" w:color="auto" w:sz="4" w:space="0"/>
            </w:tcBorders>
            <w:vAlign w:val="center"/>
          </w:tcPr>
          <w:p w14:paraId="3878A03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415E8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CC3BBB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5E439E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3ED226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7BA302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3C31CE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698554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10B229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D9F967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37C452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0C573A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95D3B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C4BE2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AE29C3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22C18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F90D6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449B1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44DFC5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58E02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ABF1F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20E10F6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1F663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10228A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6B8F77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6F8FBB0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064299B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64C63DA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3DA378D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6E6F22E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AD0CE0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634EDF7">
        <w:tblPrEx>
          <w:tblCellMar>
            <w:top w:w="28" w:type="dxa"/>
            <w:left w:w="28" w:type="dxa"/>
            <w:bottom w:w="28" w:type="dxa"/>
            <w:right w:w="28" w:type="dxa"/>
          </w:tblCellMar>
        </w:tblPrEx>
        <w:trPr>
          <w:trHeight w:val="13359" w:hRule="atLeast"/>
        </w:trPr>
        <w:tc>
          <w:tcPr>
            <w:tcW w:w="409" w:type="dxa"/>
            <w:tcBorders>
              <w:top w:val="single" w:color="auto" w:sz="4" w:space="0"/>
              <w:left w:val="single" w:color="auto" w:sz="4" w:space="0"/>
              <w:bottom w:val="single" w:color="auto" w:sz="4" w:space="0"/>
              <w:right w:val="single" w:color="auto" w:sz="4" w:space="0"/>
            </w:tcBorders>
            <w:vAlign w:val="center"/>
          </w:tcPr>
          <w:p w14:paraId="309A049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5</w:t>
            </w:r>
          </w:p>
        </w:tc>
        <w:tc>
          <w:tcPr>
            <w:tcW w:w="548" w:type="dxa"/>
            <w:tcBorders>
              <w:top w:val="single" w:color="auto" w:sz="4" w:space="0"/>
              <w:left w:val="nil"/>
              <w:bottom w:val="single" w:color="auto" w:sz="4" w:space="0"/>
              <w:right w:val="single" w:color="auto" w:sz="4" w:space="0"/>
            </w:tcBorders>
            <w:vAlign w:val="center"/>
          </w:tcPr>
          <w:p w14:paraId="73FA02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7793D7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对不按规定印刷、经营包装装潢印刷品行为的处罚</w:t>
            </w:r>
          </w:p>
        </w:tc>
        <w:tc>
          <w:tcPr>
            <w:tcW w:w="548" w:type="dxa"/>
            <w:tcBorders>
              <w:top w:val="single" w:color="auto" w:sz="4" w:space="0"/>
              <w:left w:val="nil"/>
              <w:bottom w:val="single" w:color="auto" w:sz="4" w:space="0"/>
              <w:right w:val="single" w:color="auto" w:sz="4" w:space="0"/>
            </w:tcBorders>
            <w:vAlign w:val="center"/>
          </w:tcPr>
          <w:p w14:paraId="2F4211B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72280AF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1FF71F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7CF6A6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印刷业管理条例》（2001年国务院令第315号公布，2020年国务院令第732号修订）第四十一条：从事包装装潢印刷品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委托印刷注册商标标识，未依照本条例的规定验证、核查工商行政管理部门签章的《商标注册证》复印件、注册商标图样或者注册商标使用许可合同复印件的；（二）接受委托印刷广告宣传品、作为产品包装装潢的印刷品，未依照本条例的规定验证委托印刷单位的营业执照或者个人的居民身份证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接受广告经营者的委托印刷广告宣传品，未验证广告经营资格证明的；（三）盗印他人包装装潢印刷品的；（四）接受委托印刷境外包装装潢印刷品未依照本条例的规定向出版行政部门备案的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未将印刷的境外包装装潢印刷品全部运输出境的。</w:t>
            </w:r>
          </w:p>
          <w:p w14:paraId="6FB27B4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印刷企业接受委托印刷注册商标标识、广告宣传品，违反国家有关注册商标、广告印刷管理规定的，由工商行政管理部门给予警告，没收印刷品和违法所得，违法经营额1万元以上的，并处违法经营额5倍以上10倍以下的罚款；违法经营额不足1万元的，并处1万元以上5万元以下的罚款。</w:t>
            </w:r>
          </w:p>
        </w:tc>
        <w:tc>
          <w:tcPr>
            <w:tcW w:w="1916" w:type="dxa"/>
            <w:tcBorders>
              <w:top w:val="single" w:color="auto" w:sz="4" w:space="0"/>
              <w:left w:val="nil"/>
              <w:bottom w:val="single" w:color="auto" w:sz="4" w:space="0"/>
              <w:right w:val="single" w:color="auto" w:sz="4" w:space="0"/>
            </w:tcBorders>
            <w:vAlign w:val="center"/>
          </w:tcPr>
          <w:p w14:paraId="73D68C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5547B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34A5C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DF1280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43CD2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B3503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1681AC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742A69C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51F3287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7CD108C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498E50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52837B9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DF6719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D38E48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CC3876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B60BC6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8E6E0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E6431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FBC918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2E0F9F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B6393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2F53070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0CA4E38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7B2821C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0A444A6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05FB1A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3507F2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15B95DB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7469CD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00BF875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76489E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11186BFB">
        <w:tblPrEx>
          <w:tblCellMar>
            <w:top w:w="28" w:type="dxa"/>
            <w:left w:w="28" w:type="dxa"/>
            <w:bottom w:w="28" w:type="dxa"/>
            <w:right w:w="28" w:type="dxa"/>
          </w:tblCellMar>
        </w:tblPrEx>
        <w:trPr>
          <w:trHeight w:val="12931" w:hRule="atLeast"/>
        </w:trPr>
        <w:tc>
          <w:tcPr>
            <w:tcW w:w="409" w:type="dxa"/>
            <w:tcBorders>
              <w:top w:val="single" w:color="auto" w:sz="4" w:space="0"/>
              <w:left w:val="single" w:color="auto" w:sz="4" w:space="0"/>
              <w:bottom w:val="single" w:color="auto" w:sz="4" w:space="0"/>
              <w:right w:val="single" w:color="auto" w:sz="4" w:space="0"/>
            </w:tcBorders>
            <w:vAlign w:val="center"/>
          </w:tcPr>
          <w:p w14:paraId="64582C4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6</w:t>
            </w:r>
          </w:p>
        </w:tc>
        <w:tc>
          <w:tcPr>
            <w:tcW w:w="548" w:type="dxa"/>
            <w:tcBorders>
              <w:top w:val="single" w:color="auto" w:sz="4" w:space="0"/>
              <w:left w:val="nil"/>
              <w:bottom w:val="single" w:color="auto" w:sz="4" w:space="0"/>
              <w:right w:val="single" w:color="auto" w:sz="4" w:space="0"/>
            </w:tcBorders>
            <w:vAlign w:val="center"/>
          </w:tcPr>
          <w:p w14:paraId="668479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7A693F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对不按规定印刷、经营其他印刷品行为的处罚</w:t>
            </w:r>
          </w:p>
        </w:tc>
        <w:tc>
          <w:tcPr>
            <w:tcW w:w="548" w:type="dxa"/>
            <w:tcBorders>
              <w:top w:val="single" w:color="auto" w:sz="4" w:space="0"/>
              <w:left w:val="nil"/>
              <w:bottom w:val="single" w:color="auto" w:sz="4" w:space="0"/>
              <w:right w:val="single" w:color="auto" w:sz="4" w:space="0"/>
            </w:tcBorders>
            <w:vAlign w:val="center"/>
          </w:tcPr>
          <w:p w14:paraId="0AD556F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07994F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284EE6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392CC7B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印刷业管理条例》（2001年国务院令第315号公布，2020年国务院令第732号修订）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委托印刷其他印刷品，未依照本条例的规定验证有关证明的；（二）擅自将接受委托印刷的其他印刷品再委托他人印刷的；（三）将委托印刷的其他印刷品的纸型及印刷底片出售、出租、出借或者以其他形式转让的；（四）伪造、变造学位证书、学历证书等国家机关公文、证件或者企业事业单位、人民团体公文、证件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盗印他人的其他印刷品的；（五）非法加印或者销售委托印刷的其他印刷品的；（六）接受委托印刷境外其他印刷品未依照本条例的规定向出版行政部门备案的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未将印刷的境外其他印刷品全部运输出境的；（七）从事其他印刷品印刷经营活动的个人超范围经营的。</w:t>
            </w:r>
          </w:p>
        </w:tc>
        <w:tc>
          <w:tcPr>
            <w:tcW w:w="1916" w:type="dxa"/>
            <w:tcBorders>
              <w:top w:val="single" w:color="auto" w:sz="4" w:space="0"/>
              <w:left w:val="nil"/>
              <w:bottom w:val="single" w:color="auto" w:sz="4" w:space="0"/>
              <w:right w:val="single" w:color="auto" w:sz="4" w:space="0"/>
            </w:tcBorders>
            <w:vAlign w:val="center"/>
          </w:tcPr>
          <w:p w14:paraId="33D58E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5D8DF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DCEFC0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5CA48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607DA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1E4AB1C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340C2DE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3A220B2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9B2F6D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6FF5BE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47413E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3FEA53E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5696B6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4FF57D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0B0AD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142FC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3898E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CF091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83FF3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D91291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19589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522A64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11953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2E9D11F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125DA15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700B23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971B2D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6B7786E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740D42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FCC27E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2AC367B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6F10DFA7">
        <w:tblPrEx>
          <w:tblCellMar>
            <w:top w:w="28" w:type="dxa"/>
            <w:left w:w="28" w:type="dxa"/>
            <w:bottom w:w="28" w:type="dxa"/>
            <w:right w:w="28" w:type="dxa"/>
          </w:tblCellMar>
        </w:tblPrEx>
        <w:trPr>
          <w:trHeight w:val="12911" w:hRule="atLeast"/>
        </w:trPr>
        <w:tc>
          <w:tcPr>
            <w:tcW w:w="409" w:type="dxa"/>
            <w:tcBorders>
              <w:top w:val="single" w:color="auto" w:sz="4" w:space="0"/>
              <w:left w:val="single" w:color="auto" w:sz="4" w:space="0"/>
              <w:bottom w:val="single" w:color="auto" w:sz="4" w:space="0"/>
              <w:right w:val="single" w:color="auto" w:sz="4" w:space="0"/>
            </w:tcBorders>
            <w:vAlign w:val="center"/>
          </w:tcPr>
          <w:p w14:paraId="3D9A27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7</w:t>
            </w:r>
          </w:p>
        </w:tc>
        <w:tc>
          <w:tcPr>
            <w:tcW w:w="548" w:type="dxa"/>
            <w:tcBorders>
              <w:top w:val="single" w:color="auto" w:sz="4" w:space="0"/>
              <w:left w:val="nil"/>
              <w:bottom w:val="single" w:color="auto" w:sz="4" w:space="0"/>
              <w:right w:val="single" w:color="auto" w:sz="4" w:space="0"/>
            </w:tcBorders>
            <w:vAlign w:val="center"/>
          </w:tcPr>
          <w:p w14:paraId="7F0B28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06B401A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对印刷业经营者擅自超范围从事印刷经营活动</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出租、出借和以其他形式转让印刷经营许可证的处罚</w:t>
            </w:r>
          </w:p>
        </w:tc>
        <w:tc>
          <w:tcPr>
            <w:tcW w:w="548" w:type="dxa"/>
            <w:tcBorders>
              <w:top w:val="single" w:color="auto" w:sz="4" w:space="0"/>
              <w:left w:val="nil"/>
              <w:bottom w:val="single" w:color="auto" w:sz="4" w:space="0"/>
              <w:right w:val="single" w:color="auto" w:sz="4" w:space="0"/>
            </w:tcBorders>
            <w:vAlign w:val="center"/>
          </w:tcPr>
          <w:p w14:paraId="5BEF5B0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7D274B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451D4D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7FDD4A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印刷业管理条例》（2001年国务院令第315号公布，2020年国务院令第732号修订）第三十七条：印刷业经营者违反本条例规定，有下列行为之一的，由县级以上地方人民政府出版行政部门责令停止违法行为，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一）未取得出版行政部门的许可，擅自兼营或者变更从事出版物、包装装潢印刷品或者其他印刷品印刷经营活动</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擅自兼并其他印刷业经营者的；（二）因合并、分立而设立新的印刷业经营者，未依照本条例的规定办理手续的；（三）出售、出租、出借或者以其他形式转让印刷经营许可证的。</w:t>
            </w:r>
          </w:p>
        </w:tc>
        <w:tc>
          <w:tcPr>
            <w:tcW w:w="1916" w:type="dxa"/>
            <w:tcBorders>
              <w:top w:val="single" w:color="auto" w:sz="4" w:space="0"/>
              <w:left w:val="nil"/>
              <w:bottom w:val="single" w:color="auto" w:sz="4" w:space="0"/>
              <w:right w:val="single" w:color="auto" w:sz="4" w:space="0"/>
            </w:tcBorders>
            <w:vAlign w:val="center"/>
          </w:tcPr>
          <w:p w14:paraId="71E51D8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389E84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5521D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12681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D8F26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61B1659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718D908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0187EC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81A6CD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47C8275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755C4C0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6F753D9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58019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B46CE0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0D40E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28F28A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EF26DD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3CFC2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6D2C5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0E4CB5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E20ED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20D27CD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1307C7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22D476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5C3290D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31D3C8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0BF14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EA6CA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5E62092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65160A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62A971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7859235C">
        <w:tblPrEx>
          <w:tblCellMar>
            <w:top w:w="28" w:type="dxa"/>
            <w:left w:w="28" w:type="dxa"/>
            <w:bottom w:w="28" w:type="dxa"/>
            <w:right w:w="28" w:type="dxa"/>
          </w:tblCellMar>
        </w:tblPrEx>
        <w:trPr>
          <w:trHeight w:val="12766" w:hRule="atLeast"/>
        </w:trPr>
        <w:tc>
          <w:tcPr>
            <w:tcW w:w="409" w:type="dxa"/>
            <w:tcBorders>
              <w:top w:val="single" w:color="auto" w:sz="4" w:space="0"/>
              <w:left w:val="single" w:color="auto" w:sz="4" w:space="0"/>
              <w:bottom w:val="single" w:color="auto" w:sz="4" w:space="0"/>
              <w:right w:val="single" w:color="auto" w:sz="4" w:space="0"/>
            </w:tcBorders>
            <w:vAlign w:val="center"/>
          </w:tcPr>
          <w:p w14:paraId="14B8FA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2</w:t>
            </w:r>
            <w:r>
              <w:rPr>
                <w:rFonts w:hint="eastAsia" w:eastAsia="仿宋_GB2312" w:cs="仿宋_GB2312"/>
                <w:snapToGrid w:val="0"/>
                <w:color w:val="000000"/>
                <w:sz w:val="18"/>
                <w:szCs w:val="18"/>
                <w:lang w:val="en-US" w:eastAsia="zh-CN"/>
              </w:rPr>
              <w:t>8</w:t>
            </w:r>
          </w:p>
        </w:tc>
        <w:tc>
          <w:tcPr>
            <w:tcW w:w="548" w:type="dxa"/>
            <w:tcBorders>
              <w:top w:val="single" w:color="auto" w:sz="4" w:space="0"/>
              <w:left w:val="nil"/>
              <w:bottom w:val="single" w:color="auto" w:sz="4" w:space="0"/>
              <w:right w:val="single" w:color="auto" w:sz="4" w:space="0"/>
            </w:tcBorders>
            <w:vAlign w:val="center"/>
          </w:tcPr>
          <w:p w14:paraId="351C4B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620B9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对违反规定擅自留存印刷品成品、半成品、废品和印板、纸型、印刷底片、原稿、样本、样张等行为的处罚</w:t>
            </w:r>
          </w:p>
        </w:tc>
        <w:tc>
          <w:tcPr>
            <w:tcW w:w="548" w:type="dxa"/>
            <w:tcBorders>
              <w:top w:val="single" w:color="auto" w:sz="4" w:space="0"/>
              <w:left w:val="nil"/>
              <w:bottom w:val="single" w:color="auto" w:sz="4" w:space="0"/>
              <w:right w:val="single" w:color="auto" w:sz="4" w:space="0"/>
            </w:tcBorders>
            <w:vAlign w:val="center"/>
          </w:tcPr>
          <w:p w14:paraId="432A76C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058BC6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7ADA2D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5CFCADE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印刷业管理条例》（2001年国务院令第315号公布，2020年国务院令第732号修订）第四十四条：印刷业经营者违反本条例规定，有下列行为之一的，由县级以上地方人民政府出版行政部门责令改正，给予警告；情节严重的，责令停业整顿或者由原发证机关吊销许可证：（一）从事包装装潢印刷品印刷经营活动的企业擅自留存委托印刷的包装装潢印刷品的成品、半成品、废品和印板、纸型、印刷底片、原稿等的；（二）从事其他印刷品印刷经营活动的企业和个人擅自保留其他印刷品的样本、样张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在所保留的样本、样张上未加盖“样本”、“样张”戳记的。</w:t>
            </w:r>
          </w:p>
        </w:tc>
        <w:tc>
          <w:tcPr>
            <w:tcW w:w="1916" w:type="dxa"/>
            <w:tcBorders>
              <w:top w:val="single" w:color="auto" w:sz="4" w:space="0"/>
              <w:left w:val="nil"/>
              <w:bottom w:val="single" w:color="auto" w:sz="4" w:space="0"/>
              <w:right w:val="single" w:color="auto" w:sz="4" w:space="0"/>
            </w:tcBorders>
            <w:vAlign w:val="center"/>
          </w:tcPr>
          <w:p w14:paraId="48891BB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41683E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9263E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27E0D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CEA79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1255D0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44F91E0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2B2463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706CF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6F801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2E6250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26D7E19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8719F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696CD5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22DA2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7B154E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8B3A4A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5793C0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DF8E3D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1D1B4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016394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0CAF89C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2B82742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04AA017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56B2B8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7E9B2D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04383F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78B0B9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687BF8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38AFF53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2E2C2E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6EB86F26">
        <w:tblPrEx>
          <w:tblCellMar>
            <w:top w:w="28" w:type="dxa"/>
            <w:left w:w="28" w:type="dxa"/>
            <w:bottom w:w="28" w:type="dxa"/>
            <w:right w:w="28" w:type="dxa"/>
          </w:tblCellMar>
        </w:tblPrEx>
        <w:trPr>
          <w:trHeight w:val="13055" w:hRule="atLeast"/>
        </w:trPr>
        <w:tc>
          <w:tcPr>
            <w:tcW w:w="409" w:type="dxa"/>
            <w:tcBorders>
              <w:top w:val="single" w:color="auto" w:sz="4" w:space="0"/>
              <w:left w:val="single" w:color="auto" w:sz="4" w:space="0"/>
              <w:bottom w:val="single" w:color="auto" w:sz="4" w:space="0"/>
              <w:right w:val="single" w:color="auto" w:sz="4" w:space="0"/>
            </w:tcBorders>
            <w:vAlign w:val="center"/>
          </w:tcPr>
          <w:p w14:paraId="7DCFF1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29</w:t>
            </w:r>
          </w:p>
        </w:tc>
        <w:tc>
          <w:tcPr>
            <w:tcW w:w="548" w:type="dxa"/>
            <w:tcBorders>
              <w:top w:val="single" w:color="auto" w:sz="4" w:space="0"/>
              <w:left w:val="nil"/>
              <w:bottom w:val="single" w:color="auto" w:sz="4" w:space="0"/>
              <w:right w:val="single" w:color="auto" w:sz="4" w:space="0"/>
            </w:tcBorders>
            <w:vAlign w:val="center"/>
          </w:tcPr>
          <w:p w14:paraId="38C3BD2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45FD745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对出版物印刷企业违规承印内部资料的处罚</w:t>
            </w:r>
          </w:p>
        </w:tc>
        <w:tc>
          <w:tcPr>
            <w:tcW w:w="548" w:type="dxa"/>
            <w:tcBorders>
              <w:top w:val="single" w:color="auto" w:sz="4" w:space="0"/>
              <w:left w:val="nil"/>
              <w:bottom w:val="single" w:color="auto" w:sz="4" w:space="0"/>
              <w:right w:val="single" w:color="auto" w:sz="4" w:space="0"/>
            </w:tcBorders>
            <w:vAlign w:val="center"/>
          </w:tcPr>
          <w:p w14:paraId="52BE29A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4764C6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4BD831B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03D0EC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【部门规章】《内部资料性出版物管理办法》（2015年国家新闻出版广电总局令第2号）第二十四条： 出版物印刷企业未按本规定承印内部资料的，由县级以上新闻出版行政部门依照《印刷业管理条例》的有关规定，给予警告，没收违法所得，违法经营额1万元以上的，并处违法经营额5倍以上10倍以下的罚款；违法经营额不足1万元的，并处1万元以上5万元以下的罚款；情节严重的，责令停业整顿或者由原发证机关吊销许可证。</w:t>
            </w:r>
          </w:p>
        </w:tc>
        <w:tc>
          <w:tcPr>
            <w:tcW w:w="1916" w:type="dxa"/>
            <w:tcBorders>
              <w:top w:val="single" w:color="auto" w:sz="4" w:space="0"/>
              <w:left w:val="nil"/>
              <w:bottom w:val="single" w:color="auto" w:sz="4" w:space="0"/>
              <w:right w:val="single" w:color="auto" w:sz="4" w:space="0"/>
            </w:tcBorders>
            <w:vAlign w:val="center"/>
          </w:tcPr>
          <w:p w14:paraId="46986FC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D14CD2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B4824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1122A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1CF7B1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1635C0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0E59849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228784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691240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0F559A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130C7F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58571F2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8ACA2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4091D0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0A4B1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FE43B3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E944E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9F4A55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B150F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F565FC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0D3F7E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360B6C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1E75739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5563932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46B9A1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7951E6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E2269D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716E5DD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64B0DF8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4470C7D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4469B0A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2C9621AC">
        <w:tblPrEx>
          <w:tblCellMar>
            <w:top w:w="28" w:type="dxa"/>
            <w:left w:w="28" w:type="dxa"/>
            <w:bottom w:w="28" w:type="dxa"/>
            <w:right w:w="28" w:type="dxa"/>
          </w:tblCellMar>
        </w:tblPrEx>
        <w:trPr>
          <w:trHeight w:val="13019" w:hRule="atLeast"/>
        </w:trPr>
        <w:tc>
          <w:tcPr>
            <w:tcW w:w="409" w:type="dxa"/>
            <w:tcBorders>
              <w:top w:val="single" w:color="auto" w:sz="4" w:space="0"/>
              <w:left w:val="single" w:color="auto" w:sz="4" w:space="0"/>
              <w:bottom w:val="single" w:color="auto" w:sz="4" w:space="0"/>
              <w:right w:val="single" w:color="auto" w:sz="4" w:space="0"/>
            </w:tcBorders>
            <w:vAlign w:val="center"/>
          </w:tcPr>
          <w:p w14:paraId="479EA57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0</w:t>
            </w:r>
          </w:p>
        </w:tc>
        <w:tc>
          <w:tcPr>
            <w:tcW w:w="548" w:type="dxa"/>
            <w:tcBorders>
              <w:top w:val="single" w:color="auto" w:sz="4" w:space="0"/>
              <w:left w:val="nil"/>
              <w:bottom w:val="single" w:color="auto" w:sz="4" w:space="0"/>
              <w:right w:val="single" w:color="auto" w:sz="4" w:space="0"/>
            </w:tcBorders>
            <w:vAlign w:val="center"/>
          </w:tcPr>
          <w:p w14:paraId="32E25A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5EBA6C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对光盘复制企业违法经营活动的处罚</w:t>
            </w:r>
          </w:p>
        </w:tc>
        <w:tc>
          <w:tcPr>
            <w:tcW w:w="548" w:type="dxa"/>
            <w:tcBorders>
              <w:top w:val="single" w:color="auto" w:sz="4" w:space="0"/>
              <w:left w:val="nil"/>
              <w:bottom w:val="single" w:color="auto" w:sz="4" w:space="0"/>
              <w:right w:val="single" w:color="auto" w:sz="4" w:space="0"/>
            </w:tcBorders>
            <w:vAlign w:val="center"/>
          </w:tcPr>
          <w:p w14:paraId="039EC6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1792280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35E79D6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77A361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复制管理办法》（2009年新闻出版总署令第42号公布，2015年国家新闻出版广电总局令第3号修订）第四十条：有下列行为之一的，由新闻出版行政部门责令停止违法行为，给予警告，没收违法经营的产品和违法所得；违法经营额1万元以上的，并处违法经营额5倍以上10倍以下的罚款；违法经营额不足1万元的，并处1万元以上5万元以下罚款；情节严重的，并责令停业整顿或者由新闻出版总署吊销其复制经营许可证：（一）复制单位未依照本办法的规定验证复制委托书及其他法定文书的；（二）复制单位擅自复制他人的只读类光盘和磁带磁盘的；（三）复制单位接受非音像出版单位、电子出版物单位或者个人委托复制经营性的音像制品、电子出版物或者自行复制音像制品、电子出版物的；（四）复制单位未履行法定手续复制境外产品的</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复制的境外产品没有全部运输出境的。</w:t>
            </w:r>
          </w:p>
        </w:tc>
        <w:tc>
          <w:tcPr>
            <w:tcW w:w="1916" w:type="dxa"/>
            <w:tcBorders>
              <w:top w:val="single" w:color="auto" w:sz="4" w:space="0"/>
              <w:left w:val="nil"/>
              <w:bottom w:val="single" w:color="auto" w:sz="4" w:space="0"/>
              <w:right w:val="single" w:color="auto" w:sz="4" w:space="0"/>
            </w:tcBorders>
            <w:vAlign w:val="center"/>
          </w:tcPr>
          <w:p w14:paraId="7FFEB2E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4AA2F5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7F46B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CAF0A0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1AF3A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43A3B2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5D8F8B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01DFBAB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1517EC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6B3BB9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5FE0F7A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001234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EBC95F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DA2ED7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A8690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DB6D61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A4B30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2E8958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34E9BB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ED9A4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2BD84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153F369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2DCE1E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22A974E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08D9E5B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32A4CC0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2159764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7B683BD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30D2A05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65D2CD7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792FD6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454C132D">
        <w:tblPrEx>
          <w:tblCellMar>
            <w:top w:w="28" w:type="dxa"/>
            <w:left w:w="28" w:type="dxa"/>
            <w:bottom w:w="28" w:type="dxa"/>
            <w:right w:w="28" w:type="dxa"/>
          </w:tblCellMar>
        </w:tblPrEx>
        <w:trPr>
          <w:trHeight w:val="12821" w:hRule="atLeast"/>
        </w:trPr>
        <w:tc>
          <w:tcPr>
            <w:tcW w:w="409" w:type="dxa"/>
            <w:tcBorders>
              <w:top w:val="single" w:color="auto" w:sz="4" w:space="0"/>
              <w:left w:val="single" w:color="auto" w:sz="4" w:space="0"/>
              <w:bottom w:val="single" w:color="auto" w:sz="4" w:space="0"/>
              <w:right w:val="single" w:color="auto" w:sz="4" w:space="0"/>
            </w:tcBorders>
            <w:vAlign w:val="center"/>
          </w:tcPr>
          <w:p w14:paraId="6277258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1</w:t>
            </w:r>
          </w:p>
        </w:tc>
        <w:tc>
          <w:tcPr>
            <w:tcW w:w="548" w:type="dxa"/>
            <w:tcBorders>
              <w:top w:val="single" w:color="auto" w:sz="4" w:space="0"/>
              <w:left w:val="nil"/>
              <w:bottom w:val="single" w:color="auto" w:sz="4" w:space="0"/>
              <w:right w:val="single" w:color="auto" w:sz="4" w:space="0"/>
            </w:tcBorders>
            <w:vAlign w:val="center"/>
          </w:tcPr>
          <w:p w14:paraId="01AE962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412EACE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对光盘复制企业违反复制管理有关规定的处罚</w:t>
            </w:r>
          </w:p>
        </w:tc>
        <w:tc>
          <w:tcPr>
            <w:tcW w:w="548" w:type="dxa"/>
            <w:tcBorders>
              <w:top w:val="single" w:color="auto" w:sz="4" w:space="0"/>
              <w:left w:val="nil"/>
              <w:bottom w:val="single" w:color="auto" w:sz="4" w:space="0"/>
              <w:right w:val="single" w:color="auto" w:sz="4" w:space="0"/>
            </w:tcBorders>
            <w:vAlign w:val="center"/>
          </w:tcPr>
          <w:p w14:paraId="58C232F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49EA55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5487E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5D8DF89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复制管理办法》（2009年新闻出版总署令第42号公布，2015年国家新闻出版广电总局令第3号修订）第四十一条：有下列行为之一的，由新闻出版行政部门责令改正，给予警告；情节严重的，并责令停业整顿或者由新闻出版总署吊销其复制经营许可证：（一）复制单位变更名称、地址、法定代表人或者主要负责人、业务范围等，未依照本办法规定办理审批、备案手续的；（二）复制单位未依照本办法的规定留存备查的材料的；（三）光盘复制单位使用未蚀刻或者未按本办法规定蚀刻SID码的注塑模具复制只读类光盘的。</w:t>
            </w:r>
          </w:p>
        </w:tc>
        <w:tc>
          <w:tcPr>
            <w:tcW w:w="1916" w:type="dxa"/>
            <w:tcBorders>
              <w:top w:val="single" w:color="auto" w:sz="4" w:space="0"/>
              <w:left w:val="nil"/>
              <w:bottom w:val="single" w:color="auto" w:sz="4" w:space="0"/>
              <w:right w:val="single" w:color="auto" w:sz="4" w:space="0"/>
            </w:tcBorders>
            <w:vAlign w:val="center"/>
          </w:tcPr>
          <w:p w14:paraId="7C615E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D1E5F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2E77B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4D33FD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26F98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E9579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6FAC106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016E43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58E3744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7C1381A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3092131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715D610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A3C5A8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172721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061C8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25C813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A3226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385787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055A99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D0160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57B792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59A0F05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65BBA49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531372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15708D0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372D40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401545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EBEB55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1958DA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5A82F54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6D6B75C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4BF7E465">
        <w:tblPrEx>
          <w:tblCellMar>
            <w:top w:w="28" w:type="dxa"/>
            <w:left w:w="28" w:type="dxa"/>
            <w:bottom w:w="28" w:type="dxa"/>
            <w:right w:w="28" w:type="dxa"/>
          </w:tblCellMar>
        </w:tblPrEx>
        <w:trPr>
          <w:trHeight w:val="12855" w:hRule="atLeast"/>
        </w:trPr>
        <w:tc>
          <w:tcPr>
            <w:tcW w:w="409" w:type="dxa"/>
            <w:tcBorders>
              <w:top w:val="single" w:color="auto" w:sz="4" w:space="0"/>
              <w:left w:val="single" w:color="auto" w:sz="4" w:space="0"/>
              <w:bottom w:val="single" w:color="auto" w:sz="4" w:space="0"/>
              <w:right w:val="single" w:color="auto" w:sz="4" w:space="0"/>
            </w:tcBorders>
            <w:vAlign w:val="center"/>
          </w:tcPr>
          <w:p w14:paraId="1E57C7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32</w:t>
            </w:r>
          </w:p>
        </w:tc>
        <w:tc>
          <w:tcPr>
            <w:tcW w:w="548" w:type="dxa"/>
            <w:tcBorders>
              <w:top w:val="single" w:color="auto" w:sz="4" w:space="0"/>
              <w:left w:val="nil"/>
              <w:bottom w:val="single" w:color="auto" w:sz="4" w:space="0"/>
              <w:right w:val="single" w:color="auto" w:sz="4" w:space="0"/>
            </w:tcBorders>
            <w:vAlign w:val="center"/>
          </w:tcPr>
          <w:p w14:paraId="220ADB1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5DC19C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对复制单位擅自增加、进口、购买、变更光盘复制生产设备等行为的处罚</w:t>
            </w:r>
          </w:p>
        </w:tc>
        <w:tc>
          <w:tcPr>
            <w:tcW w:w="548" w:type="dxa"/>
            <w:tcBorders>
              <w:top w:val="single" w:color="auto" w:sz="4" w:space="0"/>
              <w:left w:val="nil"/>
              <w:bottom w:val="single" w:color="auto" w:sz="4" w:space="0"/>
              <w:right w:val="single" w:color="auto" w:sz="4" w:space="0"/>
            </w:tcBorders>
            <w:vAlign w:val="center"/>
          </w:tcPr>
          <w:p w14:paraId="474867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5C59F4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2B967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99FA4E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复制管理办法》（2009年新闻出版总署令第42号公布，2015年国家新闻出版广电总局令第3号修订）第四十二条：有下列行为之一的，由新闻出版行政部门责令停止违法行为，给予警告，并处3万元以下的罚款：（一）光盘复制单位违反本办法第十五条的规定，未经审批，擅自增加、进口、购买、变更光盘复制生产设备的；（二）国产光盘复制生产设备的生产商未按本办法第十九条的要求报送备案的；（三）光盘复制单位未按本办法第二十条规定报送样盘的；（四）复制生产设备或复制产品不符合国家或行业标准的；（五）复制单位的有关人员未按本办法第三十一条参加岗位培训的；（六）违反本办法的其他行为。</w:t>
            </w:r>
          </w:p>
        </w:tc>
        <w:tc>
          <w:tcPr>
            <w:tcW w:w="1916" w:type="dxa"/>
            <w:tcBorders>
              <w:top w:val="single" w:color="auto" w:sz="4" w:space="0"/>
              <w:left w:val="nil"/>
              <w:bottom w:val="single" w:color="auto" w:sz="4" w:space="0"/>
              <w:right w:val="single" w:color="auto" w:sz="4" w:space="0"/>
            </w:tcBorders>
            <w:vAlign w:val="center"/>
          </w:tcPr>
          <w:p w14:paraId="472B44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1B49C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A1157D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63DA6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C2DD43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E5CBEB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4736D5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3A5C692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C9F2F5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22336D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05B4589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5E0A8C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5DAFC0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C3A753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9EFF6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812C41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A74D9B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0D7C2C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56910B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FC6A39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CE6FD7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068F995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1185BB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44900D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42CD14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162BB32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038F3C6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413DBEA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7AC3629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56C9E19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7D6974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4639346B">
        <w:tblPrEx>
          <w:tblCellMar>
            <w:top w:w="28" w:type="dxa"/>
            <w:left w:w="28" w:type="dxa"/>
            <w:bottom w:w="28" w:type="dxa"/>
            <w:right w:w="28" w:type="dxa"/>
          </w:tblCellMar>
        </w:tblPrEx>
        <w:trPr>
          <w:trHeight w:val="12838" w:hRule="atLeast"/>
        </w:trPr>
        <w:tc>
          <w:tcPr>
            <w:tcW w:w="409" w:type="dxa"/>
            <w:tcBorders>
              <w:top w:val="single" w:color="auto" w:sz="4" w:space="0"/>
              <w:left w:val="single" w:color="auto" w:sz="4" w:space="0"/>
              <w:bottom w:val="single" w:color="auto" w:sz="4" w:space="0"/>
              <w:right w:val="single" w:color="auto" w:sz="4" w:space="0"/>
            </w:tcBorders>
            <w:vAlign w:val="center"/>
          </w:tcPr>
          <w:p w14:paraId="40B7E42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3</w:t>
            </w:r>
          </w:p>
        </w:tc>
        <w:tc>
          <w:tcPr>
            <w:tcW w:w="548" w:type="dxa"/>
            <w:tcBorders>
              <w:top w:val="single" w:color="auto" w:sz="4" w:space="0"/>
              <w:left w:val="nil"/>
              <w:bottom w:val="single" w:color="auto" w:sz="4" w:space="0"/>
              <w:right w:val="single" w:color="auto" w:sz="4" w:space="0"/>
            </w:tcBorders>
            <w:vAlign w:val="center"/>
          </w:tcPr>
          <w:p w14:paraId="4A1EE40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65AD71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对违反发行管理有关规定的</w:t>
            </w:r>
          </w:p>
          <w:p w14:paraId="30B7D2B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处罚</w:t>
            </w:r>
          </w:p>
        </w:tc>
        <w:tc>
          <w:tcPr>
            <w:tcW w:w="548" w:type="dxa"/>
            <w:tcBorders>
              <w:top w:val="single" w:color="auto" w:sz="4" w:space="0"/>
              <w:left w:val="nil"/>
              <w:bottom w:val="single" w:color="auto" w:sz="4" w:space="0"/>
              <w:right w:val="single" w:color="auto" w:sz="4" w:space="0"/>
            </w:tcBorders>
            <w:vAlign w:val="center"/>
          </w:tcPr>
          <w:p w14:paraId="66CA579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4E3EF3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4543D3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6971898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【部门规章】《出版物市场管理规定》（2016年国家新闻出版广电总局 商务部第10号令）第三十七条：违反本规定，有下列行为之一的，由出版行政主管部门责令停止违法行为，予以警告，并处3万元以下罚款：（一）未能提供近两年的出版物发行进销货清单等有关非财务票据或者清单、票据未按规定载明有关内容的；（二）超出出版行政主管部门核准的经营范围经营的；（三）张贴、散发、登载有法律、法规禁止内容的或者有欺诈性文字、与事实不符的征订单、广告和宣传画的；（四）擅自更改出版物版权页的；（五）出版物经营许可证未在经营场所明显处张挂或者未在网页醒目位置公开出版物经营许可证和营业执照登载的有关信息或者链接标识的；（六）出售、出借、出租、转让或者擅自涂改、变造出版物经营许可证的；（七）公开宣传、陈列、展示、征订、销售或者面向社会公众发送规定应由内部发行的出版物的；（八）委托无出版物批发、零售资质的单位或者个人销售出版物或者代理出版物销售业务的；（九）未从依法取得出版物批发、零售资质的出版发行单位进货的；（十）提供出版物网络交易平台服务的经营者未按本规定履行有关审查及管理责任的；（十一）应按本规定进行备案而未备案的；（十二）不按规定接受年度核验的。</w:t>
            </w:r>
          </w:p>
        </w:tc>
        <w:tc>
          <w:tcPr>
            <w:tcW w:w="1916" w:type="dxa"/>
            <w:tcBorders>
              <w:top w:val="single" w:color="auto" w:sz="4" w:space="0"/>
              <w:left w:val="nil"/>
              <w:bottom w:val="single" w:color="auto" w:sz="4" w:space="0"/>
              <w:right w:val="single" w:color="auto" w:sz="4" w:space="0"/>
            </w:tcBorders>
            <w:vAlign w:val="center"/>
          </w:tcPr>
          <w:p w14:paraId="366315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61B09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84721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C65DBB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609AA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B97AB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714813D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26E8F60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11878D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14DAFD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718" w:type="dxa"/>
            <w:tcBorders>
              <w:top w:val="single" w:color="auto" w:sz="4" w:space="0"/>
              <w:left w:val="nil"/>
              <w:bottom w:val="single" w:color="auto" w:sz="4" w:space="0"/>
              <w:right w:val="single" w:color="auto" w:sz="4" w:space="0"/>
            </w:tcBorders>
            <w:vAlign w:val="center"/>
          </w:tcPr>
          <w:p w14:paraId="1F53C8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397D74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6C0D8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09F451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24DAC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394ABF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63627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0D626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2D517E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D891E4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346C9D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3404F15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7EA7F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47C21D1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13CFF0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6D98895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4C5C0E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0EDD83D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01E2F25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788CE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716ABD4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325C09EE">
        <w:tblPrEx>
          <w:tblCellMar>
            <w:top w:w="28" w:type="dxa"/>
            <w:left w:w="28" w:type="dxa"/>
            <w:bottom w:w="28" w:type="dxa"/>
            <w:right w:w="28" w:type="dxa"/>
          </w:tblCellMar>
        </w:tblPrEx>
        <w:trPr>
          <w:trHeight w:val="12566" w:hRule="atLeast"/>
        </w:trPr>
        <w:tc>
          <w:tcPr>
            <w:tcW w:w="409" w:type="dxa"/>
            <w:tcBorders>
              <w:top w:val="single" w:color="auto" w:sz="4" w:space="0"/>
              <w:left w:val="single" w:color="auto" w:sz="4" w:space="0"/>
              <w:bottom w:val="single" w:color="auto" w:sz="4" w:space="0"/>
              <w:right w:val="single" w:color="auto" w:sz="4" w:space="0"/>
            </w:tcBorders>
            <w:vAlign w:val="center"/>
          </w:tcPr>
          <w:p w14:paraId="4C3CA5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4</w:t>
            </w:r>
          </w:p>
        </w:tc>
        <w:tc>
          <w:tcPr>
            <w:tcW w:w="548" w:type="dxa"/>
            <w:tcBorders>
              <w:top w:val="single" w:color="auto" w:sz="4" w:space="0"/>
              <w:left w:val="nil"/>
              <w:bottom w:val="single" w:color="auto" w:sz="4" w:space="0"/>
              <w:right w:val="single" w:color="auto" w:sz="4" w:space="0"/>
            </w:tcBorders>
            <w:vAlign w:val="center"/>
          </w:tcPr>
          <w:p w14:paraId="7BDF33C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3A948BB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对侵犯计算机软件著作权的行为的处罚</w:t>
            </w:r>
          </w:p>
        </w:tc>
        <w:tc>
          <w:tcPr>
            <w:tcW w:w="548" w:type="dxa"/>
            <w:tcBorders>
              <w:top w:val="single" w:color="auto" w:sz="4" w:space="0"/>
              <w:left w:val="nil"/>
              <w:bottom w:val="single" w:color="auto" w:sz="4" w:space="0"/>
              <w:right w:val="single" w:color="auto" w:sz="4" w:space="0"/>
            </w:tcBorders>
            <w:vAlign w:val="center"/>
          </w:tcPr>
          <w:p w14:paraId="0AC983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04645A6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35562E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013B053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法规】《计算机软件保护条例》（2001年国务院令第339号公布，2013年国务院令第632号修订）第二十四条：除《中华人民共和国著作权法例或者其他法律、行政法规另有规定外，未经软件著作权人许可，有下列侵权行为的，应当根据情况，承担停止侵害、消除影响、赔礼道歉、赔偿损失等民事责任；同时损害社会公共利益，由著作权行政管理部门责令停止侵权行为，没收违法所得，没收、销毁侵权复制品，可以并处罚款；情节严重的，著作权行政管理部门并可以没收主要用于制作侵权复制品的材料、工具、设备；触犯刑律的，依照刑法关于侵犯著作权罪、销售侵权复制品罪的规定，依法追究刑事责任：（一）复制或者部分复制著作权人的软件的；（二）向公众发行、出租、通过信息网络传播著作权人的软件的；（三）故意避开或者破坏著作权人为保护其软件著作权而采取的技术措施的；（四）故意删除或者改变软件权利管理电子信息的；（五）转让或者许可他人行使著作权人的软件著作权的。有前款第一项或者第二项行为的，可以并处每件100元或者货值金额1倍以上5倍以下的罚款；有前款第三项、第四项或者第五项行为的，可以并处20万元以下的罚款。</w:t>
            </w:r>
          </w:p>
        </w:tc>
        <w:tc>
          <w:tcPr>
            <w:tcW w:w="1916" w:type="dxa"/>
            <w:tcBorders>
              <w:top w:val="single" w:color="auto" w:sz="4" w:space="0"/>
              <w:left w:val="nil"/>
              <w:bottom w:val="single" w:color="auto" w:sz="4" w:space="0"/>
              <w:right w:val="single" w:color="auto" w:sz="4" w:space="0"/>
            </w:tcBorders>
            <w:vAlign w:val="center"/>
          </w:tcPr>
          <w:p w14:paraId="03C8E0E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23E21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721D0B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7AFA8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130B165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51BC025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6C6CDA0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3A776BD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782751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812017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2.【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599C123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4.【法律】《中华人民共和国行政处罚法》第四十条：行政处罚决定书应当在宣告后当场交付当事人；当事人不在场的，行政机关应当在七日内依照民事诉讼法的有关规定，将行政处罚决定书送达当事人。</w:t>
            </w:r>
          </w:p>
        </w:tc>
        <w:tc>
          <w:tcPr>
            <w:tcW w:w="1718" w:type="dxa"/>
            <w:tcBorders>
              <w:top w:val="single" w:color="auto" w:sz="4" w:space="0"/>
              <w:left w:val="nil"/>
              <w:bottom w:val="single" w:color="auto" w:sz="4" w:space="0"/>
              <w:right w:val="single" w:color="auto" w:sz="4" w:space="0"/>
            </w:tcBorders>
            <w:vAlign w:val="center"/>
          </w:tcPr>
          <w:p w14:paraId="3A384B2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3BCC4B0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A685A8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FBBA1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2B68C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268226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FD3AD7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328BBE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52952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B52D1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C1807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7FE6FC0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04877C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0B938D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1EF41C7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42ACC7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199A2A9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1C95DF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18D2A1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2ADE835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3D378C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53FD90A4">
        <w:tblPrEx>
          <w:tblCellMar>
            <w:top w:w="28" w:type="dxa"/>
            <w:left w:w="28" w:type="dxa"/>
            <w:bottom w:w="28" w:type="dxa"/>
            <w:right w:w="28" w:type="dxa"/>
          </w:tblCellMar>
        </w:tblPrEx>
        <w:trPr>
          <w:trHeight w:val="12403" w:hRule="atLeast"/>
        </w:trPr>
        <w:tc>
          <w:tcPr>
            <w:tcW w:w="409" w:type="dxa"/>
            <w:tcBorders>
              <w:top w:val="single" w:color="auto" w:sz="4" w:space="0"/>
              <w:left w:val="single" w:color="auto" w:sz="4" w:space="0"/>
              <w:bottom w:val="single" w:color="auto" w:sz="4" w:space="0"/>
              <w:right w:val="single" w:color="auto" w:sz="4" w:space="0"/>
            </w:tcBorders>
            <w:vAlign w:val="center"/>
          </w:tcPr>
          <w:p w14:paraId="4302DC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5</w:t>
            </w:r>
          </w:p>
        </w:tc>
        <w:tc>
          <w:tcPr>
            <w:tcW w:w="548" w:type="dxa"/>
            <w:tcBorders>
              <w:top w:val="single" w:color="auto" w:sz="4" w:space="0"/>
              <w:left w:val="nil"/>
              <w:bottom w:val="single" w:color="auto" w:sz="4" w:space="0"/>
              <w:right w:val="single" w:color="auto" w:sz="4" w:space="0"/>
            </w:tcBorders>
            <w:vAlign w:val="center"/>
          </w:tcPr>
          <w:p w14:paraId="7860403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427E9DB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对侵犯著作权行为的处罚</w:t>
            </w:r>
          </w:p>
        </w:tc>
        <w:tc>
          <w:tcPr>
            <w:tcW w:w="548" w:type="dxa"/>
            <w:tcBorders>
              <w:top w:val="single" w:color="auto" w:sz="4" w:space="0"/>
              <w:left w:val="nil"/>
              <w:bottom w:val="single" w:color="auto" w:sz="4" w:space="0"/>
              <w:right w:val="single" w:color="auto" w:sz="4" w:space="0"/>
            </w:tcBorders>
            <w:vAlign w:val="center"/>
          </w:tcPr>
          <w:p w14:paraId="0F637F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3600AC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56B87E5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2633D0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中华人民共和国著作权法》第四十八条：有下列侵权行为的，应当根据情况，承担停止侵害、消除影响、赔礼道歉、赔偿损失等民事责任；同时损害公共利益的，可以由著作权行政管理部门责令停止侵权行为，没收违法所得，没收、销毁侵权复制品，并可处以罚款；情节严重的，著作权行政管理部门还可以没收主要用于制作侵权复制品的材料、工具、设备等；构成犯罪的，依法追究刑事责任：（一）未经著作权人许可，复制、发行、表演、放映、广播、汇编、通过信息网络向公众传播其作品的，本法另有规定的除外；二）出版他人享有专有出版权的图书的；（三）未经表演者许可，复制、发行录有其表演的录音录像制品</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过信息网络向公众传播其表演的，本法另有规定的除外；（四）未经录音录像制作者许可，复制、发行、通过信息网络向公众传播其制作的录音录像制品的，本法另有规定的除外；（五）未经许可，播放或者复制广播、电视的，本法另有规定的除外；（六）未经著作权人或者与著作权有关的权利人许可，故意避开或者破坏权利人为其作品、录音录像制品等采取的保护著作权或者与著作权有关的权利的技术措施的，法律、行政法规另有规定的除外；（七）未经著作权人或者与著作权有关的权利人许可，故意删除或者改变作品、录音录像制品等的权利管理电子信息的，法律、行政法规另有规定的除外；（八）制作、出售假冒他人署名的作品的。</w:t>
            </w:r>
          </w:p>
        </w:tc>
        <w:tc>
          <w:tcPr>
            <w:tcW w:w="1916" w:type="dxa"/>
            <w:tcBorders>
              <w:top w:val="single" w:color="auto" w:sz="4" w:space="0"/>
              <w:left w:val="nil"/>
              <w:bottom w:val="single" w:color="auto" w:sz="4" w:space="0"/>
              <w:right w:val="single" w:color="auto" w:sz="4" w:space="0"/>
            </w:tcBorders>
            <w:vAlign w:val="center"/>
          </w:tcPr>
          <w:p w14:paraId="156072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1.受理责任：在检查中发现或者接到举报、控告涉嫌违反电影管理有关规定的违法行为或违法案件，及时制止，并予以审查，决定是否立案。</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C13E5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对案件违法事实、证据、调查取证程序、法律适用、当事人陈述和申辩理由等方面进行审查，提出处理意见（主要证据不足时，以适当的方式补充调查）。构成违法行为的，但不属于本部门权限的，应当及时将案件移送有关部门。</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987E47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3.决定责任：根据审理情况决定是否予以行政处罚。依法需要给予行政处罚的，制作行政处罚决定书，载明违法事实和证据、处罚依据和内容、申请行政复议或提起行政诉讼的途径和期限等内容。</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C346CA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4.送达责任：将行政处罚决定书按法律规定的方式送达当事人。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448F66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5.其他法律法规规章文件规定应履行的其他责任。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235AB11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14:paraId="4836DAB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第十六条：新闻出版行政机关应当严格履行职责，对有关公民、法人或者其他组织遵守出版法律、法规和规章的情况进行监督检查。对在检查中发现的违法行为，新闻出版行政机关应当及时立案。</w:t>
            </w:r>
          </w:p>
          <w:p w14:paraId="5D9B5C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56A06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A66933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9B94D1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4.【法律】《中华人民共和国行政处罚法》第四十条：行政处罚决定书应当在宣告后当场交付当事人；当事人不在场的，行政机关应当在七日内依照民事诉讼法的有关规定，将行政处罚决定书送达当事人。</w:t>
            </w:r>
          </w:p>
        </w:tc>
        <w:tc>
          <w:tcPr>
            <w:tcW w:w="1718" w:type="dxa"/>
            <w:tcBorders>
              <w:top w:val="single" w:color="auto" w:sz="4" w:space="0"/>
              <w:left w:val="nil"/>
              <w:bottom w:val="single" w:color="auto" w:sz="4" w:space="0"/>
              <w:right w:val="single" w:color="auto" w:sz="4" w:space="0"/>
            </w:tcBorders>
            <w:vAlign w:val="center"/>
          </w:tcPr>
          <w:p w14:paraId="492D32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w:t>
            </w:r>
          </w:p>
          <w:p w14:paraId="6465E5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574AA8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A767C3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8711BF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B29E8B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E7FBB3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C265F6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D4232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9D56D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850235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10.其他违反法律行政法规规章文件规定的行为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0D60CB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处罚法》（1996年3月17日通过，2017年9月1日第二次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00CD0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1996年3月17日通过，2017年9月1日第二次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5963E20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3.【规章】《广西壮族自治区行政过错责任追究办法》（2007年4月17日自治区第十届人民政府第63次常务会议审议通过，自2007年6月1日起施行）   第十二条 行政机关在实施行政处罚过程中，有下列情形之一的，应当追究行政过错责任：  （一）不具备行政处罚主体资格；</w:t>
            </w:r>
          </w:p>
          <w:p w14:paraId="41A1F94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4.【规章】《文化市场突发事件应急管理办法（试行）》（2012年8月14日发布）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p>
          <w:p w14:paraId="161AB48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3F3AC2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 。7.同1。</w:t>
            </w:r>
          </w:p>
          <w:p w14:paraId="362239A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8.【规章】《广西壮族自治区行政过错责任追究办法》（2007年4月17日自治区第十届人民政府第63次常务会议审议通过，自2007年6月1日起施行）  第八条 实施行政行为，有下列情形之一的，应当追究行政过错责任人的责任:（二）依法应当听证不组织听证；</w:t>
            </w:r>
          </w:p>
          <w:p w14:paraId="557D58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法律】《中华人民共和国行政处罚法》（1996年3月17日通过，2017年9月1日第二次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908" w:type="dxa"/>
            <w:tcBorders>
              <w:top w:val="single" w:color="auto" w:sz="4" w:space="0"/>
              <w:left w:val="nil"/>
              <w:bottom w:val="single" w:color="auto" w:sz="4" w:space="0"/>
              <w:right w:val="single" w:color="auto" w:sz="4" w:space="0"/>
            </w:tcBorders>
            <w:vAlign w:val="center"/>
          </w:tcPr>
          <w:p w14:paraId="6E01ED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法律法规规章规定免责情形以及《自治区党委办公厅关于印发&lt;深入推进激励干部新时代新担当新作为工作实施方案&gt;等6个文件的通知》</w:t>
            </w:r>
            <w:r>
              <w:rPr>
                <w:rFonts w:hint="eastAsia" w:eastAsia="仿宋_GB2312" w:cs="仿宋_GB2312"/>
                <w:snapToGrid w:val="0"/>
                <w:color w:val="000000"/>
                <w:sz w:val="18"/>
                <w:szCs w:val="18"/>
                <w:lang w:eastAsia="zh-CN"/>
              </w:rPr>
              <w:t>。</w:t>
            </w:r>
          </w:p>
        </w:tc>
        <w:tc>
          <w:tcPr>
            <w:tcW w:w="826" w:type="dxa"/>
            <w:tcBorders>
              <w:top w:val="single" w:color="auto" w:sz="4" w:space="0"/>
              <w:left w:val="nil"/>
              <w:bottom w:val="single" w:color="auto" w:sz="4" w:space="0"/>
              <w:right w:val="single" w:color="auto" w:sz="4" w:space="0"/>
            </w:tcBorders>
            <w:vAlign w:val="center"/>
          </w:tcPr>
          <w:p w14:paraId="6777366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3DF0DF69">
        <w:tblPrEx>
          <w:tblCellMar>
            <w:top w:w="28" w:type="dxa"/>
            <w:left w:w="28" w:type="dxa"/>
            <w:bottom w:w="28" w:type="dxa"/>
            <w:right w:w="28" w:type="dxa"/>
          </w:tblCellMar>
        </w:tblPrEx>
        <w:trPr>
          <w:trHeight w:val="13098" w:hRule="atLeast"/>
        </w:trPr>
        <w:tc>
          <w:tcPr>
            <w:tcW w:w="409" w:type="dxa"/>
            <w:tcBorders>
              <w:top w:val="single" w:color="auto" w:sz="4" w:space="0"/>
              <w:left w:val="single" w:color="auto" w:sz="4" w:space="0"/>
              <w:bottom w:val="single" w:color="auto" w:sz="4" w:space="0"/>
              <w:right w:val="single" w:color="auto" w:sz="4" w:space="0"/>
            </w:tcBorders>
            <w:vAlign w:val="center"/>
          </w:tcPr>
          <w:p w14:paraId="1F17A2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6</w:t>
            </w:r>
          </w:p>
        </w:tc>
        <w:tc>
          <w:tcPr>
            <w:tcW w:w="548" w:type="dxa"/>
            <w:tcBorders>
              <w:top w:val="single" w:color="auto" w:sz="4" w:space="0"/>
              <w:left w:val="nil"/>
              <w:bottom w:val="single" w:color="auto" w:sz="4" w:space="0"/>
              <w:right w:val="single" w:color="auto" w:sz="4" w:space="0"/>
            </w:tcBorders>
            <w:vAlign w:val="center"/>
          </w:tcPr>
          <w:p w14:paraId="7AD21A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行政检查</w:t>
            </w:r>
          </w:p>
        </w:tc>
        <w:tc>
          <w:tcPr>
            <w:tcW w:w="523" w:type="dxa"/>
            <w:tcBorders>
              <w:top w:val="single" w:color="auto" w:sz="4" w:space="0"/>
              <w:left w:val="nil"/>
              <w:bottom w:val="single" w:color="auto" w:sz="4" w:space="0"/>
              <w:right w:val="single" w:color="auto" w:sz="4" w:space="0"/>
            </w:tcBorders>
            <w:vAlign w:val="center"/>
          </w:tcPr>
          <w:p w14:paraId="441099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对印刷企业的监督检查</w:t>
            </w:r>
          </w:p>
        </w:tc>
        <w:tc>
          <w:tcPr>
            <w:tcW w:w="548" w:type="dxa"/>
            <w:tcBorders>
              <w:top w:val="single" w:color="auto" w:sz="4" w:space="0"/>
              <w:left w:val="nil"/>
              <w:bottom w:val="single" w:color="auto" w:sz="4" w:space="0"/>
              <w:right w:val="single" w:color="auto" w:sz="4" w:space="0"/>
            </w:tcBorders>
            <w:vAlign w:val="center"/>
          </w:tcPr>
          <w:p w14:paraId="56533EC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480392C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7019D40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4739AC6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行政法规】《出版管理条例》（2001年10月25日国务院令第343号，根据2016年2月6日发布的国务院令第666号修订）第六条第二款：县级以上地方各级人民政府负责出版管理的部门（以下简称出版行政主管部门）负责本行政区域内出版活动的监督管理工作。县级以上地方各级人民政府其他有关部门在各自的职责范围内，负责有关的出版活动的监督管理工作。</w:t>
            </w:r>
          </w:p>
          <w:p w14:paraId="76BCEDE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2.【行政法规】《印刷业管理条例》（2001年国务院令第315号公布，2020年国务院令第732号修订） 第四条：国务院出版行政部门主管全国的印刷业监督管理工作。县级以上地方各级人民政府负责出版管理的行政部门（以下简称出版行政部门）负责本行政区域内的印刷业监督管理工作。</w:t>
            </w:r>
          </w:p>
        </w:tc>
        <w:tc>
          <w:tcPr>
            <w:tcW w:w="1916" w:type="dxa"/>
            <w:tcBorders>
              <w:top w:val="single" w:color="auto" w:sz="4" w:space="0"/>
              <w:left w:val="nil"/>
              <w:bottom w:val="single" w:color="auto" w:sz="4" w:space="0"/>
              <w:right w:val="single" w:color="auto" w:sz="4" w:space="0"/>
            </w:tcBorders>
            <w:vAlign w:val="center"/>
          </w:tcPr>
          <w:p w14:paraId="07BE95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1.告知责任：对违法事实、处理依据、处理意见告知，听取当事人陈述申辩。</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2F4BE8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A3E4A1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3.处理责任：对违法事实、证据资料、调查程序、法律适用、当事人陈述理由等进行审查，提出初步处理意见。</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2BA1C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4.监督责任：新闻出版管理部门进行事中事后监管。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0883E02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CD1CB2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3429ED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tc>
        <w:tc>
          <w:tcPr>
            <w:tcW w:w="1718" w:type="dxa"/>
            <w:tcBorders>
              <w:top w:val="single" w:color="auto" w:sz="4" w:space="0"/>
              <w:left w:val="nil"/>
              <w:bottom w:val="single" w:color="auto" w:sz="4" w:space="0"/>
              <w:right w:val="single" w:color="auto" w:sz="4" w:space="0"/>
            </w:tcBorders>
            <w:vAlign w:val="center"/>
          </w:tcPr>
          <w:p w14:paraId="75BF71B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4F197B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5C49C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88BC6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90ED5A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69BAE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32917F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A016E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4194D2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9.在行政处罚过程中发生腐败行为的；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CDB3A7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4BE4B14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1-1.【行政法规】《印刷业管理条例》（2001年国务院令第315号公布，2016年国务院令第666号修改，2017年国务院令第676号修订）第四十七条 出版行政部门、工商行政管理部门或者其他有关部门违反本条例规定，擅自批准不符合法定条件的申请人取得许可证、批准文件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不履行监督职责</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发现违法行为不予查处，造成严重后果的，对负责的主管人员和其他直接责任人员给予降级或者撤职的处分；构成犯罪的，依法追究刑事责任。</w:t>
            </w:r>
          </w:p>
          <w:p w14:paraId="6E4DCD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1-2.【政府规章】《广西壮族自治区行政过错责任追究办法》（2007年4月17日自治区第十届人民政府第63次常务会议审议通过，自2007年6月1日起施行） 第十一条第四项 行政机关及其工作人员在实施行政监督检查过程中，有下列情形之一的，应当追究行政过错责任：（四）发现违法行为不依法制止、纠正。</w:t>
            </w:r>
          </w:p>
          <w:p w14:paraId="1774A2A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2.【部门规章】《文化市场综合行政执法管理办法》（2011年文化部令第52号公布）第三十九条第四项 执法人员有下列情形之一，尚不构成犯罪的，应当依法给予行政处分，并收回其执法证件；情节严重，构成犯罪的，依法追究刑事责任：（四）玩忽职守、贻误工作的。</w:t>
            </w:r>
          </w:p>
          <w:p w14:paraId="2C79E1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3.【部门规章】《文化市场综合行政执法管理办法》（2011年文化部令第52号公布）第三十九条第一项、第二项 执法人员有下列情形之一，尚不构成犯罪的，应当依法给予行政处分，并收回其执法证件；情节严重，构成犯罪的，依法追究刑事责任：（一）滥用职权，侵犯公民、法人及其他组织合法权益的；（二）利用职权或者工作之便索取或者收受他人财物</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支持、纵容、包庇文化市场违法经营活动的。</w:t>
            </w:r>
          </w:p>
        </w:tc>
        <w:tc>
          <w:tcPr>
            <w:tcW w:w="908" w:type="dxa"/>
            <w:tcBorders>
              <w:top w:val="single" w:color="auto" w:sz="4" w:space="0"/>
              <w:left w:val="nil"/>
              <w:bottom w:val="single" w:color="auto" w:sz="4" w:space="0"/>
              <w:right w:val="single" w:color="auto" w:sz="4" w:space="0"/>
            </w:tcBorders>
            <w:vAlign w:val="center"/>
          </w:tcPr>
          <w:p w14:paraId="085B3A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法律法规规定的免责情形以及《自治区党委办公厅关于印发〈深入推进激励干部新时代新担当新作为工作实施方案〉》中明确的免责情形。</w:t>
            </w:r>
          </w:p>
        </w:tc>
        <w:tc>
          <w:tcPr>
            <w:tcW w:w="826" w:type="dxa"/>
            <w:tcBorders>
              <w:top w:val="single" w:color="auto" w:sz="4" w:space="0"/>
              <w:left w:val="nil"/>
              <w:bottom w:val="single" w:color="auto" w:sz="4" w:space="0"/>
              <w:right w:val="single" w:color="auto" w:sz="4" w:space="0"/>
            </w:tcBorders>
            <w:vAlign w:val="center"/>
          </w:tcPr>
          <w:p w14:paraId="363AA86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69ABE9C0">
        <w:tblPrEx>
          <w:tblCellMar>
            <w:top w:w="28" w:type="dxa"/>
            <w:left w:w="28" w:type="dxa"/>
            <w:bottom w:w="28" w:type="dxa"/>
            <w:right w:w="28" w:type="dxa"/>
          </w:tblCellMar>
        </w:tblPrEx>
        <w:trPr>
          <w:trHeight w:val="12721" w:hRule="atLeast"/>
        </w:trPr>
        <w:tc>
          <w:tcPr>
            <w:tcW w:w="409" w:type="dxa"/>
            <w:tcBorders>
              <w:top w:val="single" w:color="auto" w:sz="4" w:space="0"/>
              <w:left w:val="single" w:color="auto" w:sz="4" w:space="0"/>
              <w:bottom w:val="single" w:color="auto" w:sz="4" w:space="0"/>
              <w:right w:val="single" w:color="auto" w:sz="4" w:space="0"/>
            </w:tcBorders>
            <w:vAlign w:val="center"/>
          </w:tcPr>
          <w:p w14:paraId="62B1175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7</w:t>
            </w:r>
          </w:p>
        </w:tc>
        <w:tc>
          <w:tcPr>
            <w:tcW w:w="548" w:type="dxa"/>
            <w:tcBorders>
              <w:top w:val="single" w:color="auto" w:sz="4" w:space="0"/>
              <w:left w:val="nil"/>
              <w:bottom w:val="single" w:color="auto" w:sz="4" w:space="0"/>
              <w:right w:val="single" w:color="auto" w:sz="4" w:space="0"/>
            </w:tcBorders>
            <w:vAlign w:val="center"/>
          </w:tcPr>
          <w:p w14:paraId="3249D8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行政检查</w:t>
            </w:r>
          </w:p>
        </w:tc>
        <w:tc>
          <w:tcPr>
            <w:tcW w:w="523" w:type="dxa"/>
            <w:tcBorders>
              <w:top w:val="single" w:color="auto" w:sz="4" w:space="0"/>
              <w:left w:val="nil"/>
              <w:bottom w:val="single" w:color="auto" w:sz="4" w:space="0"/>
              <w:right w:val="single" w:color="auto" w:sz="4" w:space="0"/>
            </w:tcBorders>
            <w:vAlign w:val="center"/>
          </w:tcPr>
          <w:p w14:paraId="3BD8BF5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对电影活动的监督检查</w:t>
            </w:r>
          </w:p>
        </w:tc>
        <w:tc>
          <w:tcPr>
            <w:tcW w:w="548" w:type="dxa"/>
            <w:tcBorders>
              <w:top w:val="single" w:color="auto" w:sz="4" w:space="0"/>
              <w:left w:val="nil"/>
              <w:bottom w:val="single" w:color="auto" w:sz="4" w:space="0"/>
              <w:right w:val="single" w:color="auto" w:sz="4" w:space="0"/>
            </w:tcBorders>
            <w:vAlign w:val="center"/>
          </w:tcPr>
          <w:p w14:paraId="591FE7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41CE038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768358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0A312D7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电影产业促进法》第八条：国务院电影主管部门负责全国的电影工作；县级以上地方人民政府电影主管部门负责本行政区域内的电影工作。县级以上人民政府其他有关部门在各自职责范围内，负责有关的电影工作。第四十六条：县级以上人民政府电影主管部门应当加强对电影活动的日常监督管理，受理对违反本法规定的行为的投诉、举报，并及时核实、处理、答复；将从事电影活动的单位和个人违反本法规定受到行政处罚的情形记入信用档案，并向社会公布。</w:t>
            </w:r>
          </w:p>
          <w:p w14:paraId="5511CF0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2.【行政法规】《电影管理条例》（2001年国务院令第342号）第四条：县级以上地方人民政府管理电影的行政部门（以下简称电影行政部门），依照本条例的规定负责本行政区域内的电影管理工作。</w:t>
            </w:r>
          </w:p>
        </w:tc>
        <w:tc>
          <w:tcPr>
            <w:tcW w:w="1916" w:type="dxa"/>
            <w:tcBorders>
              <w:top w:val="single" w:color="auto" w:sz="4" w:space="0"/>
              <w:left w:val="nil"/>
              <w:bottom w:val="single" w:color="auto" w:sz="4" w:space="0"/>
              <w:right w:val="single" w:color="auto" w:sz="4" w:space="0"/>
            </w:tcBorders>
            <w:vAlign w:val="center"/>
          </w:tcPr>
          <w:p w14:paraId="1C9C780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1.告知责任：对违法事实、处理依据、处理意见告知，听取当事人陈述申辩。</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3DD86DF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817CDE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3.处理责任：对违法事实、证据资料、调查程序、法律适用、当事人陈述理由等进行审查，提出初步处理意见。</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0798BB9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4.监督责任：电影部门进行事中事后监管。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1A2A78D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AC27F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21CF70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tc>
        <w:tc>
          <w:tcPr>
            <w:tcW w:w="1718" w:type="dxa"/>
            <w:tcBorders>
              <w:top w:val="single" w:color="auto" w:sz="4" w:space="0"/>
              <w:left w:val="nil"/>
              <w:bottom w:val="single" w:color="auto" w:sz="4" w:space="0"/>
              <w:right w:val="single" w:color="auto" w:sz="4" w:space="0"/>
            </w:tcBorders>
            <w:vAlign w:val="center"/>
          </w:tcPr>
          <w:p w14:paraId="2ADAFB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48E46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12D97A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1084B1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E65EB8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03308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438FB08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EC9E4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35995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9.在行政处罚过程中发生腐败行为的；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1AFC1A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72C42F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1-1.【行政法规】《印刷业管理条例》（2001年国务院令第315号公布，2016年国务院令第666号修改，2017年国务院令第676号修订）第四十七条 出版行政部门、工商行政管理部门或者其他有关部门违反本条例规定，擅自批准不符合法定条件的申请人取得许可证、批准文件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不履行监督职责</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发现违法行为不予查处，造成严重后果的，对负责的主管人员和其他直接责任人员给予降级或者撤职的处分；构成犯罪的，依法追究刑事责任。</w:t>
            </w:r>
          </w:p>
          <w:p w14:paraId="060CDA6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1-2.【政府规章】《广西壮族自治区行政过错责任追究办法》（2007年4月17日自治区第十届人民政府第63次常务会议审议通过，自2007年6月1日起施行） 第十一条第四项 行政机关及其工作人员在实施行政监督检查过程中，有下列情形之一的，应当追究行政过错责任：（四）发现违法行为不依法制止、纠正。</w:t>
            </w:r>
          </w:p>
          <w:p w14:paraId="06AB9B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2.【部门规章】《文化市场综合行政执法管理办法》（2011年文化部令第52号公布）第三十九条第四项 执法人员有下列情形之一，尚不构成犯罪的，应当依法给予行政处分，并收回其执法证件；情节严重，构成犯罪的，依法追究刑事责任：（四）玩忽职守、贻误工作的。</w:t>
            </w:r>
          </w:p>
          <w:p w14:paraId="13392C9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3.【部门规章】《文化市场综合行政执法管理办法》（2011年文化部令第52号公布）第三十九条第一项、第二项 执法人员有下列情形之一，尚不构成犯罪的，应当依法给予行政处分，并收回其执法证件；情节严重，构成犯罪的，依法追究刑事责任：（一）滥用职权，侵犯公民、法人及其他组织合法权益的；（二）利用职权或者工作之便索取或者收受他人财物</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支持、纵容、包庇文化市场违法经营活动的。</w:t>
            </w:r>
          </w:p>
        </w:tc>
        <w:tc>
          <w:tcPr>
            <w:tcW w:w="908" w:type="dxa"/>
            <w:tcBorders>
              <w:top w:val="single" w:color="auto" w:sz="4" w:space="0"/>
              <w:left w:val="nil"/>
              <w:bottom w:val="single" w:color="auto" w:sz="4" w:space="0"/>
              <w:right w:val="single" w:color="auto" w:sz="4" w:space="0"/>
            </w:tcBorders>
            <w:vAlign w:val="center"/>
          </w:tcPr>
          <w:p w14:paraId="082949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法律法规规定的免责情形以及《自治区党委办公厅关于印发〈深入推进激励干部新时代新担当新作为工作实施方案〉》中明确的免责情形。</w:t>
            </w:r>
          </w:p>
        </w:tc>
        <w:tc>
          <w:tcPr>
            <w:tcW w:w="826" w:type="dxa"/>
            <w:tcBorders>
              <w:top w:val="single" w:color="auto" w:sz="4" w:space="0"/>
              <w:left w:val="nil"/>
              <w:bottom w:val="single" w:color="auto" w:sz="4" w:space="0"/>
              <w:right w:val="single" w:color="auto" w:sz="4" w:space="0"/>
            </w:tcBorders>
            <w:vAlign w:val="center"/>
          </w:tcPr>
          <w:p w14:paraId="0D7277D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07E31CD4">
        <w:tblPrEx>
          <w:tblCellMar>
            <w:top w:w="28" w:type="dxa"/>
            <w:left w:w="28" w:type="dxa"/>
            <w:bottom w:w="28" w:type="dxa"/>
            <w:right w:w="28" w:type="dxa"/>
          </w:tblCellMar>
        </w:tblPrEx>
        <w:trPr>
          <w:trHeight w:val="12755" w:hRule="atLeast"/>
        </w:trPr>
        <w:tc>
          <w:tcPr>
            <w:tcW w:w="409" w:type="dxa"/>
            <w:tcBorders>
              <w:top w:val="single" w:color="auto" w:sz="4" w:space="0"/>
              <w:left w:val="single" w:color="auto" w:sz="4" w:space="0"/>
              <w:bottom w:val="single" w:color="auto" w:sz="4" w:space="0"/>
              <w:right w:val="single" w:color="auto" w:sz="4" w:space="0"/>
            </w:tcBorders>
            <w:vAlign w:val="center"/>
          </w:tcPr>
          <w:p w14:paraId="1B0E847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w:t>
            </w:r>
            <w:r>
              <w:rPr>
                <w:rFonts w:hint="eastAsia" w:eastAsia="仿宋_GB2312" w:cs="仿宋_GB2312"/>
                <w:snapToGrid w:val="0"/>
                <w:color w:val="000000"/>
                <w:sz w:val="18"/>
                <w:szCs w:val="18"/>
                <w:lang w:val="en-US" w:eastAsia="zh-CN"/>
              </w:rPr>
              <w:t>8</w:t>
            </w:r>
          </w:p>
        </w:tc>
        <w:tc>
          <w:tcPr>
            <w:tcW w:w="548" w:type="dxa"/>
            <w:tcBorders>
              <w:top w:val="single" w:color="auto" w:sz="4" w:space="0"/>
              <w:left w:val="nil"/>
              <w:bottom w:val="single" w:color="auto" w:sz="4" w:space="0"/>
              <w:right w:val="single" w:color="auto" w:sz="4" w:space="0"/>
            </w:tcBorders>
            <w:vAlign w:val="center"/>
          </w:tcPr>
          <w:p w14:paraId="312371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行政检查</w:t>
            </w:r>
          </w:p>
        </w:tc>
        <w:tc>
          <w:tcPr>
            <w:tcW w:w="523" w:type="dxa"/>
            <w:tcBorders>
              <w:top w:val="single" w:color="auto" w:sz="4" w:space="0"/>
              <w:left w:val="nil"/>
              <w:bottom w:val="single" w:color="auto" w:sz="4" w:space="0"/>
              <w:right w:val="single" w:color="auto" w:sz="4" w:space="0"/>
            </w:tcBorders>
            <w:vAlign w:val="center"/>
          </w:tcPr>
          <w:p w14:paraId="124140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对出版物批发、零售单位的监督检查</w:t>
            </w:r>
          </w:p>
        </w:tc>
        <w:tc>
          <w:tcPr>
            <w:tcW w:w="548" w:type="dxa"/>
            <w:tcBorders>
              <w:top w:val="single" w:color="auto" w:sz="4" w:space="0"/>
              <w:left w:val="nil"/>
              <w:bottom w:val="single" w:color="auto" w:sz="4" w:space="0"/>
              <w:right w:val="single" w:color="auto" w:sz="4" w:space="0"/>
            </w:tcBorders>
            <w:vAlign w:val="center"/>
          </w:tcPr>
          <w:p w14:paraId="5674CC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69A2CD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AAEF81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58A7D0C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行政法规】《出版管理条例》（2001年国务院令第343号公布，2020年国务院令第732号修订）第六条第二款：县级以上地方各级人民政府负责出版管理的部门（以下简称出版行政主管部门）负责本行政区域内出版活动的监督管理工作。县级以上地方各级人民政府其他有关部门在各自的职责范围内，负责有关的出版活动的监督管理工作。</w:t>
            </w:r>
          </w:p>
          <w:p w14:paraId="5C9D80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出版物市场管理规定》（2016年国家新闻出版广电总局、商务部令第10号）第四条第二款：省、自治区直辖市人民政府出版行政主管部门负责本行政区域内出版物发行活动的监督管理，制定本省、自治区、直辖市出版物发行业发展规划。省级以下各级人民政府出版行政主管部门负责本行政区域内出版物发行活动的监督管理。</w:t>
            </w:r>
          </w:p>
        </w:tc>
        <w:tc>
          <w:tcPr>
            <w:tcW w:w="1916" w:type="dxa"/>
            <w:tcBorders>
              <w:top w:val="single" w:color="auto" w:sz="4" w:space="0"/>
              <w:left w:val="nil"/>
              <w:bottom w:val="single" w:color="auto" w:sz="4" w:space="0"/>
              <w:right w:val="single" w:color="auto" w:sz="4" w:space="0"/>
            </w:tcBorders>
            <w:vAlign w:val="center"/>
          </w:tcPr>
          <w:p w14:paraId="4AE4EF1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1.告知责任：对违法事实、处理依据、处理意见告知，听取当事人陈述申辩。</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740A6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4A63C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3.处理责任：对违法事实、证据资料、调查程序、法律适用、当事人陈述理由等进行审查，提出初步处理意见。</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7ABD72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4.监督责任：电影部门进行事中事后监管。</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2C78CA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F214A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4EDE65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tc>
        <w:tc>
          <w:tcPr>
            <w:tcW w:w="1718" w:type="dxa"/>
            <w:tcBorders>
              <w:top w:val="single" w:color="auto" w:sz="4" w:space="0"/>
              <w:left w:val="nil"/>
              <w:bottom w:val="single" w:color="auto" w:sz="4" w:space="0"/>
              <w:right w:val="single" w:color="auto" w:sz="4" w:space="0"/>
            </w:tcBorders>
            <w:vAlign w:val="center"/>
          </w:tcPr>
          <w:p w14:paraId="623A3F7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因不履行或不正确履行行政职责，有下列情形的，行政机关及相关工作人应承担相应责任：1.没有法律和事实依据实施行政处罚的；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7B1122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2.执法人员玩忽职守，对应当予以制止和处罚的违法行为不予制止、处罚，致使公民、法人或者其他组织的合法权益、公共利益和社会秩序遭受损害的；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3612A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3.不具备行政执法资格实施行政处罚的；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3CF37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4.迟报、谎报、瞒报、漏报突发事件信息</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通报、报告、公布虚假突发事件信息，造成严重后果的；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8CEED1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5.应当依法移送追究刑事责任，而未依法移送有关机关的；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C40541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6.擅自改变行政处罚种类、幅度的；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5EAECFA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7.违反法定的行政处罚程序的；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259810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8.符合听证条件、行政管理相对人要求听证，应予组织听证而不组织听证的；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A912EF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9.在行政处罚过程中发生腐败行为的；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2E09AD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10.其他违反法律法规规章文件规定的行为。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56109B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1-1.【行政法规】《印刷业管理条例》（2001年国务院令第315号公布，2016年国务院令第666号修改，2017年国务院令第676号修订）第四十七条 出版行政部门、工商行政管理部门或者其他有关部门违反本条例规定，擅自批准不符合法定条件的申请人取得许可证、批准文件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不履行监督职责</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发现违法行为不予查处，造成严重后果的，对负责的主管人员和其他直接责任人员给予降级或者撤职的处分；构成犯罪的，依法追究刑事责任。</w:t>
            </w:r>
          </w:p>
          <w:p w14:paraId="14428A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1-2.【政府规章】《广西壮族自治区行政过错责任追究办法》（2007年4月17日自治区第十届人民政府第63次常务会议审议通过，自2007年6月1日起施行） 第十一条第四项 行政机关及其工作人员在实施行政监督检查过程中，有下列情形之一的，应当追究行政过错责任：（四）发现违法行为不依法制止、纠正。</w:t>
            </w:r>
          </w:p>
          <w:p w14:paraId="72FE33F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2.【部门规章】《文化市场综合行政执法管理办法》（2011年文化部令第52号公布）第三十九条第四项 执法人员有下列情形之一，尚不构成犯罪的，应当依法给予行政处分，并收回其执法证件；情节严重，构成犯罪的，依法追究刑事责任：（四）玩忽职守、贻误工作的。</w:t>
            </w:r>
          </w:p>
          <w:p w14:paraId="748E530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3.【部门规章】《文化市场综合行政执法管理办法》（2011年文化部令第52号公布）第三十九条第一项、第二项 执法人员有下列情形之一，尚不构成犯罪的，应当依法给予行政处分，并收回其执法证件；情节严重，构成犯罪的，依法追究刑事责任：（一）滥用职权，侵犯公民、法人及其他组织合法权益的；（二）利用职权或者工作之便索取或者收受他人财物</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支持、纵容、包庇文化市场违法经营活动的。</w:t>
            </w:r>
          </w:p>
        </w:tc>
        <w:tc>
          <w:tcPr>
            <w:tcW w:w="908" w:type="dxa"/>
            <w:tcBorders>
              <w:top w:val="single" w:color="auto" w:sz="4" w:space="0"/>
              <w:left w:val="nil"/>
              <w:bottom w:val="single" w:color="auto" w:sz="4" w:space="0"/>
              <w:right w:val="single" w:color="auto" w:sz="4" w:space="0"/>
            </w:tcBorders>
            <w:vAlign w:val="center"/>
          </w:tcPr>
          <w:p w14:paraId="333C8BA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法律法规规定的免责情形以及《自治区党委办公厅关于印发〈深入推进激励干部新时代新担当新作为工作实施方案〉》中明确的免责情形。</w:t>
            </w:r>
          </w:p>
        </w:tc>
        <w:tc>
          <w:tcPr>
            <w:tcW w:w="826" w:type="dxa"/>
            <w:tcBorders>
              <w:top w:val="single" w:color="auto" w:sz="4" w:space="0"/>
              <w:left w:val="nil"/>
              <w:bottom w:val="single" w:color="auto" w:sz="4" w:space="0"/>
              <w:right w:val="single" w:color="auto" w:sz="4" w:space="0"/>
            </w:tcBorders>
            <w:vAlign w:val="center"/>
          </w:tcPr>
          <w:p w14:paraId="7EDAEA1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6760AC05">
        <w:tblPrEx>
          <w:tblCellMar>
            <w:top w:w="28" w:type="dxa"/>
            <w:left w:w="28" w:type="dxa"/>
            <w:bottom w:w="28" w:type="dxa"/>
            <w:right w:w="28" w:type="dxa"/>
          </w:tblCellMar>
        </w:tblPrEx>
        <w:trPr>
          <w:trHeight w:val="12591" w:hRule="atLeast"/>
        </w:trPr>
        <w:tc>
          <w:tcPr>
            <w:tcW w:w="409" w:type="dxa"/>
            <w:tcBorders>
              <w:top w:val="single" w:color="auto" w:sz="4" w:space="0"/>
              <w:left w:val="single" w:color="auto" w:sz="4" w:space="0"/>
              <w:bottom w:val="single" w:color="auto" w:sz="4" w:space="0"/>
              <w:right w:val="single" w:color="auto" w:sz="4" w:space="0"/>
            </w:tcBorders>
            <w:vAlign w:val="center"/>
          </w:tcPr>
          <w:p w14:paraId="04C175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39</w:t>
            </w:r>
          </w:p>
        </w:tc>
        <w:tc>
          <w:tcPr>
            <w:tcW w:w="548" w:type="dxa"/>
            <w:tcBorders>
              <w:top w:val="single" w:color="auto" w:sz="4" w:space="0"/>
              <w:left w:val="nil"/>
              <w:bottom w:val="single" w:color="auto" w:sz="4" w:space="0"/>
              <w:right w:val="single" w:color="auto" w:sz="4" w:space="0"/>
            </w:tcBorders>
            <w:vAlign w:val="center"/>
          </w:tcPr>
          <w:p w14:paraId="6FDB7E0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其他行政权力</w:t>
            </w:r>
          </w:p>
        </w:tc>
        <w:tc>
          <w:tcPr>
            <w:tcW w:w="523" w:type="dxa"/>
            <w:tcBorders>
              <w:top w:val="single" w:color="auto" w:sz="4" w:space="0"/>
              <w:left w:val="nil"/>
              <w:bottom w:val="single" w:color="auto" w:sz="4" w:space="0"/>
              <w:right w:val="single" w:color="auto" w:sz="4" w:space="0"/>
            </w:tcBorders>
            <w:vAlign w:val="center"/>
          </w:tcPr>
          <w:p w14:paraId="7B1ADC1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出版物发行单位年检</w:t>
            </w:r>
          </w:p>
        </w:tc>
        <w:tc>
          <w:tcPr>
            <w:tcW w:w="548" w:type="dxa"/>
            <w:tcBorders>
              <w:top w:val="single" w:color="auto" w:sz="4" w:space="0"/>
              <w:left w:val="nil"/>
              <w:bottom w:val="single" w:color="auto" w:sz="4" w:space="0"/>
              <w:right w:val="single" w:color="auto" w:sz="4" w:space="0"/>
            </w:tcBorders>
            <w:vAlign w:val="center"/>
          </w:tcPr>
          <w:p w14:paraId="766717D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p>
        </w:tc>
        <w:tc>
          <w:tcPr>
            <w:tcW w:w="536" w:type="dxa"/>
            <w:tcBorders>
              <w:top w:val="single" w:color="auto" w:sz="4" w:space="0"/>
              <w:left w:val="nil"/>
              <w:bottom w:val="single" w:color="auto" w:sz="4" w:space="0"/>
              <w:right w:val="single" w:color="auto" w:sz="4" w:space="0"/>
            </w:tcBorders>
            <w:vAlign w:val="center"/>
          </w:tcPr>
          <w:p w14:paraId="30A160D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1F2AE28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lang w:eastAsia="zh-CN"/>
              </w:rPr>
              <w:t>县新闻出版局</w:t>
            </w:r>
          </w:p>
        </w:tc>
        <w:tc>
          <w:tcPr>
            <w:tcW w:w="2557" w:type="dxa"/>
            <w:tcBorders>
              <w:top w:val="single" w:color="auto" w:sz="4" w:space="0"/>
              <w:left w:val="nil"/>
              <w:bottom w:val="single" w:color="auto" w:sz="4" w:space="0"/>
              <w:right w:val="single" w:color="auto" w:sz="4" w:space="0"/>
            </w:tcBorders>
            <w:vAlign w:val="center"/>
          </w:tcPr>
          <w:p w14:paraId="50DD45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【部门规章】《出版物市场管理规定》（2016年国家新闻出版广电总局 商务部令第10号）第三十条：从事出版物发行业务的单位、个人应当按照出版行政主管部门的规定接受年度核验，并按照《中华人民共和国统计法》《新闻出版统计管理办法》及有关规定如实报送统计资料，不得以任何借口拒报、迟报、虚报、瞒报以及伪造和篡改统计资料。出版物发行单位、个人不再具备行政许可的法定条件的，由出版行政主管部门责令限期改正；逾期仍未改正的，由原发证机关撤销出版物经营许可证。中小学教科书发行单位不再具备中小学教科书发行资质的法定条件的，由出版行政主管部门责令限期改正；逾期仍未改正的，由原发证机关撤销中小学教科书发行资质证。</w:t>
            </w:r>
          </w:p>
        </w:tc>
        <w:tc>
          <w:tcPr>
            <w:tcW w:w="1916" w:type="dxa"/>
            <w:tcBorders>
              <w:top w:val="single" w:color="auto" w:sz="4" w:space="0"/>
              <w:left w:val="nil"/>
              <w:bottom w:val="single" w:color="auto" w:sz="4" w:space="0"/>
              <w:right w:val="single" w:color="auto" w:sz="4" w:space="0"/>
            </w:tcBorders>
            <w:vAlign w:val="center"/>
          </w:tcPr>
          <w:p w14:paraId="3823355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1.受理责任：公示依法应当提交的材料；一次性告知补正材料；依法受理或不予受理（不予受理的，将《不予受理通知书》交办件人）。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548C06D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2.审查责任：受理后审查是否符合年检的材料要求，作出准予年检的决定（不予年检的说明理由），年检后许可证当场交办件人。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643D4FD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3.事后监管责任：开展后续监督管理。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p w14:paraId="2F3CD2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县新闻出版局</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737753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5B9C020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29B45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第四十四条：行政机关作出准予行政许可的决定，应当自作出决定之日起十日内向申请人颁发、送达行政许可证件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加贴标签、加盖检验、检测、检疫印章。</w:t>
            </w:r>
          </w:p>
          <w:p w14:paraId="2224C6B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3.【法律】《中华人民共和国行政许可法》第六十一条：行政机关应当建立健全监督制度，通过核查反映被许可人从事行政许可事项活动情况的有关材料，履行监督责任。</w:t>
            </w:r>
          </w:p>
        </w:tc>
        <w:tc>
          <w:tcPr>
            <w:tcW w:w="1718" w:type="dxa"/>
            <w:tcBorders>
              <w:top w:val="single" w:color="auto" w:sz="4" w:space="0"/>
              <w:left w:val="nil"/>
              <w:bottom w:val="single" w:color="auto" w:sz="4" w:space="0"/>
              <w:right w:val="single" w:color="auto" w:sz="4" w:space="0"/>
            </w:tcBorders>
            <w:vAlign w:val="center"/>
          </w:tcPr>
          <w:p w14:paraId="461BE3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因不履行或不正确履行行政职责，有下列情形的行政机关及相关工作人员应承担相应的责任：</w:t>
            </w:r>
          </w:p>
          <w:p w14:paraId="478B57D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1.对符合法定条件的材料不予受理、核验的；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A687D7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2.不公示依法应当公示的材料的；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6A41D34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3.在受理、审查、决定核验过程中，未向申请人、利害关系人履行法定告知义务的；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7B9D998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4.申请人提交的申请材料不齐全、不符合法定形式，不一次性告知申请人必须补交的全部内容的；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A2D32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5.未依法说明不受理核验申请或者不予核验的理由的；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0C89E14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6.依法应当举行听证而不举行听证的；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22882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7.对不符合法定条件申请人准予核验或者超越法定职权作出准予核验决定的；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B732EE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8.对符合法定条件的申请人不予核验或者不在法定期限内作出准予核验决定的；</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3444D5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9.其他违反法律法规规定的行为。</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4C746EC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260EB26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p w14:paraId="1C416A1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w:t>
            </w:r>
            <w:r>
              <w:rPr>
                <w:rFonts w:hint="eastAsia" w:eastAsia="仿宋_GB2312" w:cs="仿宋_GB2312"/>
                <w:snapToGrid w:val="0"/>
                <w:color w:val="000000"/>
                <w:sz w:val="18"/>
                <w:szCs w:val="18"/>
                <w:lang w:eastAsia="zh-CN"/>
              </w:rPr>
              <w:t>部门</w:t>
            </w:r>
            <w:r>
              <w:rPr>
                <w:rFonts w:hint="eastAsia" w:eastAsia="仿宋_GB2312" w:cs="仿宋_GB2312"/>
                <w:snapToGrid w:val="0"/>
                <w:color w:val="000000"/>
                <w:sz w:val="18"/>
                <w:szCs w:val="18"/>
              </w:rPr>
              <w:t>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法律】《公务员法》（２００５年４月２７日中华人民共和国主席令第三十五号发布）第一百零四条：“公务员主管部门的工作人员，违反本法规定，滥用职权、玩忽职守、徇私舞弊，构成犯罪的，依法追究刑事责任；尚不构成犯罪的，给予处分。”</w:t>
            </w:r>
          </w:p>
          <w:p w14:paraId="0CC4AC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法规】《行政机关公务员处分条例》（2007年4月4日中华人民共和国国务院令第495号公布）第23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908" w:type="dxa"/>
            <w:tcBorders>
              <w:top w:val="single" w:color="auto" w:sz="4" w:space="0"/>
              <w:left w:val="nil"/>
              <w:bottom w:val="single" w:color="auto" w:sz="4" w:space="0"/>
              <w:right w:val="single" w:color="auto" w:sz="4" w:space="0"/>
            </w:tcBorders>
            <w:vAlign w:val="center"/>
          </w:tcPr>
          <w:p w14:paraId="73F4A7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法律法规规定的免责情形以及《自治区党委办公厅关于印发〈深入推进激励干部新时代新担当新作为工作实施方案〉》中明确的免责情形。</w:t>
            </w:r>
          </w:p>
        </w:tc>
        <w:tc>
          <w:tcPr>
            <w:tcW w:w="826" w:type="dxa"/>
            <w:tcBorders>
              <w:top w:val="single" w:color="auto" w:sz="4" w:space="0"/>
              <w:left w:val="nil"/>
              <w:bottom w:val="single" w:color="auto" w:sz="4" w:space="0"/>
              <w:right w:val="single" w:color="auto" w:sz="4" w:space="0"/>
            </w:tcBorders>
            <w:vAlign w:val="center"/>
          </w:tcPr>
          <w:p w14:paraId="22D86BC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p>
        </w:tc>
      </w:tr>
      <w:tr w14:paraId="1CC1DEFC">
        <w:tblPrEx>
          <w:tblCellMar>
            <w:top w:w="28" w:type="dxa"/>
            <w:left w:w="28" w:type="dxa"/>
            <w:bottom w:w="28" w:type="dxa"/>
            <w:right w:w="28" w:type="dxa"/>
          </w:tblCellMar>
        </w:tblPrEx>
        <w:trPr>
          <w:trHeight w:val="12776" w:hRule="atLeast"/>
        </w:trPr>
        <w:tc>
          <w:tcPr>
            <w:tcW w:w="409" w:type="dxa"/>
            <w:tcBorders>
              <w:top w:val="single" w:color="auto" w:sz="4" w:space="0"/>
              <w:left w:val="single" w:color="auto" w:sz="4" w:space="0"/>
              <w:bottom w:val="single" w:color="auto" w:sz="4" w:space="0"/>
              <w:right w:val="single" w:color="auto" w:sz="4" w:space="0"/>
            </w:tcBorders>
            <w:vAlign w:val="center"/>
          </w:tcPr>
          <w:p w14:paraId="6A57749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40</w:t>
            </w:r>
          </w:p>
        </w:tc>
        <w:tc>
          <w:tcPr>
            <w:tcW w:w="548" w:type="dxa"/>
            <w:tcBorders>
              <w:top w:val="single" w:color="auto" w:sz="4" w:space="0"/>
              <w:left w:val="nil"/>
              <w:bottom w:val="single" w:color="auto" w:sz="4" w:space="0"/>
              <w:right w:val="single" w:color="auto" w:sz="4" w:space="0"/>
            </w:tcBorders>
            <w:vAlign w:val="center"/>
          </w:tcPr>
          <w:p w14:paraId="0E2218E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1A9367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对法律、行政法规禁止发布或者传输的信息未停止传输、采取消除等处置措施、保存有关记录，未按要求对法律、行政法规禁止发布或者传输的信息采取处置措施，拒绝、阻碍有关部门依法实施的监督检查的行政处罚</w:t>
            </w:r>
          </w:p>
        </w:tc>
        <w:tc>
          <w:tcPr>
            <w:tcW w:w="548" w:type="dxa"/>
            <w:tcBorders>
              <w:top w:val="single" w:color="auto" w:sz="4" w:space="0"/>
              <w:left w:val="nil"/>
              <w:bottom w:val="single" w:color="auto" w:sz="4" w:space="0"/>
              <w:right w:val="single" w:color="auto" w:sz="4" w:space="0"/>
            </w:tcBorders>
            <w:vAlign w:val="center"/>
          </w:tcPr>
          <w:p w14:paraId="5F19977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p>
        </w:tc>
        <w:tc>
          <w:tcPr>
            <w:tcW w:w="536" w:type="dxa"/>
            <w:tcBorders>
              <w:top w:val="single" w:color="auto" w:sz="4" w:space="0"/>
              <w:left w:val="nil"/>
              <w:bottom w:val="single" w:color="auto" w:sz="4" w:space="0"/>
              <w:right w:val="single" w:color="auto" w:sz="4" w:space="0"/>
            </w:tcBorders>
            <w:vAlign w:val="center"/>
          </w:tcPr>
          <w:p w14:paraId="2CC4DE4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352858D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县委网信办</w:t>
            </w:r>
          </w:p>
        </w:tc>
        <w:tc>
          <w:tcPr>
            <w:tcW w:w="2557" w:type="dxa"/>
            <w:tcBorders>
              <w:top w:val="single" w:color="auto" w:sz="4" w:space="0"/>
              <w:left w:val="nil"/>
              <w:bottom w:val="single" w:color="auto" w:sz="4" w:space="0"/>
              <w:right w:val="single" w:color="auto" w:sz="4" w:space="0"/>
            </w:tcBorders>
            <w:vAlign w:val="center"/>
          </w:tcPr>
          <w:p w14:paraId="368962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网络安全法》第四十七条：网络运营者应当加强对其用户发布的信息的管理，发现法律、行政法规禁止发布或者传输的信息的，应当立即停止传输该信息，采取消除等处置措施，防止信息扩散，保存有关记录，并向有关主管部门报告。</w:t>
            </w:r>
          </w:p>
          <w:p w14:paraId="1324F6B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六十八条：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14:paraId="48B697A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六十九条：网络运营者违反本法规定，有下列行为之一的，由有关主管部门责令改正；拒不改正或者情节严重的，处五万元以上五十万元以下罚款，对直接负责的主管人员和其他直接责任人员，处一万元以上十万元以下罚款：</w:t>
            </w:r>
          </w:p>
          <w:p w14:paraId="18DCFC0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（一）不按照有关部门的要求对法律、行政法规禁止发布或者传输的信息，采取停止传输、消除等处置措施的；</w:t>
            </w:r>
          </w:p>
          <w:p w14:paraId="1979559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（二）拒绝、阻碍有关部门依法实施的监督检查的。</w:t>
            </w:r>
          </w:p>
          <w:p w14:paraId="1B546FA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互联网信息内容管理行政执法程序规定》（2017年国家互联网信息办公室令第2号）第二条：互联网信息内容管理部门依法实施行政执法，对违反有关互联网信息内容管理法律法规规章的行为实施行政处罚，适用本规定。本规定所称互联网信息内容管理部门，是指国家互联网信息办公室和地方互联网信息办公室。</w:t>
            </w:r>
          </w:p>
          <w:p w14:paraId="6110F5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第七条：市（地、州）级以下互联网信息内容管理部门依职权管辖本行政区域内的互联网信息内容行政处罚案件。省、自治区、直辖市互联网信息内容管理部门依职权管辖本行政区域内重大、复杂的互联网信息内容行政处罚案件。</w:t>
            </w:r>
          </w:p>
        </w:tc>
        <w:tc>
          <w:tcPr>
            <w:tcW w:w="1916" w:type="dxa"/>
            <w:tcBorders>
              <w:top w:val="single" w:color="auto" w:sz="4" w:space="0"/>
              <w:left w:val="nil"/>
              <w:bottom w:val="single" w:color="auto" w:sz="4" w:space="0"/>
              <w:right w:val="single" w:color="auto" w:sz="4" w:space="0"/>
            </w:tcBorders>
            <w:vAlign w:val="center"/>
          </w:tcPr>
          <w:p w14:paraId="754B590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1.立案责任：通过日常管理和监督发现违法行为，决定是否立案受理；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7BCA0C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2.调查取证责任：记录违规事实，收集有关证据材料；</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5AA7D9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3.复核审查责任：对违法主体的违规记录及相关证明材料进行审查和确认；</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14982E1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4.告知责任：作出行政处罚决定前，由网信部门告知违法组织或个人其违法违规事实、理由及依据，以及享有的陈述、申辩等权利；</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1FEF402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5.决定责任：作出处罚决定，制作处罚决定书；</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259590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6.送达责任：处罚决定书送达当事人；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652426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7.执行责任：对违法行为作出处理，当事组织或个人应接受生效的行政处罚决定；</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6C377E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8.监督责任：对处罚决定的执行情况进行监督检查；</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305C327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9.其他法律法规规章文件规定应履行的责任。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E5962D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14:paraId="0811B9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第三十六条：行政机关发现公民、法人或者其他组织有依法应当给予行政处罚的行为的，必须全面、客观、公正地调查，收集有关证据；必要时，依照法律、法规的规定，可以进行检查。</w:t>
            </w:r>
          </w:p>
          <w:p w14:paraId="5E24BB3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3.【法律】《中华人民共和国行政处罚法》第三十八条：调查终结，行政机关负责人应当对调查结果进行审查。</w:t>
            </w:r>
          </w:p>
          <w:p w14:paraId="54BF76A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4.【法律】《中华人民共和国行政处罚法》第三十一条：行政机关在作出行政处罚决定之前，应当告知当事人作出行政处罚决定的事实、理由及依据，并告知当事人依法享有的权利。</w:t>
            </w:r>
          </w:p>
          <w:p w14:paraId="125225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5.【部门规章】《互联网信息内容管理行政执法程序规定》（2017年国家互联网信息办公室令第2号）第三十九条：互联网信息内容管理部门作出行政处罚决定，应当制作统一编号的《行政处罚决定书》。</w:t>
            </w:r>
          </w:p>
          <w:p w14:paraId="75C67A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211AA6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7.【部门规章】《互联网信息内容管理行政执法程序规定》（2017年国家互联网信息办公室令第2号）第四十一条：《行政处罚决定书》送达后，当事人应当在处罚决定的期限内予以履行。</w:t>
            </w:r>
          </w:p>
          <w:p w14:paraId="00E4A44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第四十二条：互联网信息服务提供者违反相关法律法规规章，需由电信主管部门关闭网站、吊销互联网信息服务增值电信业务经营许可证或者取消备案的，转电信主管部门处理。</w:t>
            </w:r>
          </w:p>
          <w:p w14:paraId="64BF393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8.【部门规章】《互联网信息内容管理行政执法程序规定》（2017年国家互联网信息办公室令第2号）第四条：互联网信息内容管理部门建立行政执法督查制度。</w:t>
            </w:r>
          </w:p>
          <w:p w14:paraId="0B3E9F3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上级互联网信息内容管理部门对下级互联网信息内容管理部门实施的行政执法进行督查。</w:t>
            </w:r>
          </w:p>
        </w:tc>
        <w:tc>
          <w:tcPr>
            <w:tcW w:w="1718" w:type="dxa"/>
            <w:tcBorders>
              <w:top w:val="single" w:color="auto" w:sz="4" w:space="0"/>
              <w:left w:val="nil"/>
              <w:bottom w:val="single" w:color="auto" w:sz="4" w:space="0"/>
              <w:right w:val="single" w:color="auto" w:sz="4" w:space="0"/>
            </w:tcBorders>
            <w:vAlign w:val="center"/>
          </w:tcPr>
          <w:p w14:paraId="0D70215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因不履行或不正确履行职责，有下列情形的行政机关及相关工作人员应承担相应的责任：</w:t>
            </w:r>
          </w:p>
          <w:p w14:paraId="450957C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1.不具备行政处罚主体资格</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4A539B8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2.没有事实和法律依据</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3E22173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3.擅自改变处罚种类、幅度</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090C9BC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4.违反法定程序</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7B7B0E3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5.违法处理罚没财物</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03A6290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eastAsia="zh-CN"/>
              </w:rPr>
            </w:pPr>
            <w:r>
              <w:rPr>
                <w:rFonts w:hint="eastAsia" w:eastAsia="仿宋_GB2312" w:cs="仿宋_GB2312"/>
                <w:snapToGrid w:val="0"/>
                <w:color w:val="000000"/>
                <w:sz w:val="18"/>
                <w:szCs w:val="18"/>
              </w:rPr>
              <w:t>6.涉嫌犯罪，不移交司法机关</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p w14:paraId="1F28C5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7.对违法行为应当处罚不处罚或者乱处罚</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181F05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8.除以上追责情形外，其他违反法律法规规章的行为依法追究相应责任</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p>
        </w:tc>
        <w:tc>
          <w:tcPr>
            <w:tcW w:w="4908" w:type="dxa"/>
            <w:tcBorders>
              <w:top w:val="single" w:color="auto" w:sz="4" w:space="0"/>
              <w:left w:val="nil"/>
              <w:bottom w:val="single" w:color="auto" w:sz="4" w:space="0"/>
              <w:right w:val="single" w:color="auto" w:sz="4" w:space="0"/>
            </w:tcBorders>
            <w:vAlign w:val="center"/>
          </w:tcPr>
          <w:p w14:paraId="22295E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326DE0D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2.同1。</w:t>
            </w:r>
          </w:p>
          <w:p w14:paraId="0B1EFE6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3.同1。</w:t>
            </w:r>
          </w:p>
          <w:p w14:paraId="43B7877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4.同1。</w:t>
            </w:r>
          </w:p>
          <w:p w14:paraId="1441A1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5.同1。</w:t>
            </w:r>
          </w:p>
          <w:p w14:paraId="0287E7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w:t>
            </w:r>
          </w:p>
          <w:p w14:paraId="05BDC8F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7.同1。</w:t>
            </w:r>
          </w:p>
        </w:tc>
        <w:tc>
          <w:tcPr>
            <w:tcW w:w="908" w:type="dxa"/>
            <w:tcBorders>
              <w:top w:val="single" w:color="auto" w:sz="4" w:space="0"/>
              <w:left w:val="nil"/>
              <w:bottom w:val="single" w:color="auto" w:sz="4" w:space="0"/>
              <w:right w:val="single" w:color="auto" w:sz="4" w:space="0"/>
            </w:tcBorders>
            <w:vAlign w:val="center"/>
          </w:tcPr>
          <w:p w14:paraId="21679C3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法律法规规定的免责情形及自治区党委、自治区人民政府有关文件中明确的免责情形。</w:t>
            </w:r>
          </w:p>
        </w:tc>
        <w:tc>
          <w:tcPr>
            <w:tcW w:w="826" w:type="dxa"/>
            <w:tcBorders>
              <w:top w:val="single" w:color="auto" w:sz="4" w:space="0"/>
              <w:left w:val="nil"/>
              <w:bottom w:val="single" w:color="auto" w:sz="4" w:space="0"/>
              <w:right w:val="single" w:color="auto" w:sz="4" w:space="0"/>
            </w:tcBorders>
            <w:vAlign w:val="center"/>
          </w:tcPr>
          <w:p w14:paraId="28EDBF6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p>
        </w:tc>
      </w:tr>
      <w:tr w14:paraId="2D92B42D">
        <w:tblPrEx>
          <w:tblCellMar>
            <w:top w:w="28" w:type="dxa"/>
            <w:left w:w="28" w:type="dxa"/>
            <w:bottom w:w="28" w:type="dxa"/>
            <w:right w:w="28" w:type="dxa"/>
          </w:tblCellMar>
        </w:tblPrEx>
        <w:trPr>
          <w:trHeight w:val="12693" w:hRule="atLeast"/>
        </w:trPr>
        <w:tc>
          <w:tcPr>
            <w:tcW w:w="409" w:type="dxa"/>
            <w:tcBorders>
              <w:top w:val="single" w:color="auto" w:sz="4" w:space="0"/>
              <w:left w:val="single" w:color="auto" w:sz="4" w:space="0"/>
              <w:bottom w:val="single" w:color="auto" w:sz="4" w:space="0"/>
              <w:right w:val="single" w:color="auto" w:sz="4" w:space="0"/>
            </w:tcBorders>
            <w:vAlign w:val="center"/>
          </w:tcPr>
          <w:p w14:paraId="14F5F13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41</w:t>
            </w:r>
          </w:p>
        </w:tc>
        <w:tc>
          <w:tcPr>
            <w:tcW w:w="548" w:type="dxa"/>
            <w:tcBorders>
              <w:top w:val="single" w:color="auto" w:sz="4" w:space="0"/>
              <w:left w:val="nil"/>
              <w:bottom w:val="single" w:color="auto" w:sz="4" w:space="0"/>
              <w:right w:val="single" w:color="auto" w:sz="4" w:space="0"/>
            </w:tcBorders>
            <w:vAlign w:val="center"/>
          </w:tcPr>
          <w:p w14:paraId="5633DD9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31D83AC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对拒不配合执法工作的行政处罚</w:t>
            </w:r>
          </w:p>
        </w:tc>
        <w:tc>
          <w:tcPr>
            <w:tcW w:w="548" w:type="dxa"/>
            <w:tcBorders>
              <w:top w:val="single" w:color="auto" w:sz="4" w:space="0"/>
              <w:left w:val="nil"/>
              <w:bottom w:val="single" w:color="auto" w:sz="4" w:space="0"/>
              <w:right w:val="single" w:color="auto" w:sz="4" w:space="0"/>
            </w:tcBorders>
            <w:vAlign w:val="center"/>
          </w:tcPr>
          <w:p w14:paraId="003E315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p>
        </w:tc>
        <w:tc>
          <w:tcPr>
            <w:tcW w:w="536" w:type="dxa"/>
            <w:tcBorders>
              <w:top w:val="single" w:color="auto" w:sz="4" w:space="0"/>
              <w:left w:val="nil"/>
              <w:bottom w:val="single" w:color="auto" w:sz="4" w:space="0"/>
              <w:right w:val="single" w:color="auto" w:sz="4" w:space="0"/>
            </w:tcBorders>
            <w:vAlign w:val="center"/>
          </w:tcPr>
          <w:p w14:paraId="3AF5240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ascii="Times New Roman" w:hAnsi="Times New Roman" w:eastAsia="仿宋_GB2312" w:cs="仿宋_GB2312"/>
                <w:snapToGrid w:val="0"/>
                <w:color w:val="000000"/>
                <w:kern w:val="2"/>
                <w:sz w:val="18"/>
                <w:szCs w:val="18"/>
                <w:lang w:val="en-US" w:eastAsia="zh-CN" w:bidi="ar-SA"/>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1B558B1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ascii="Times New Roman" w:hAnsi="Times New Roman" w:eastAsia="仿宋_GB2312" w:cs="仿宋_GB2312"/>
                <w:snapToGrid w:val="0"/>
                <w:color w:val="000000"/>
                <w:kern w:val="2"/>
                <w:sz w:val="18"/>
                <w:szCs w:val="18"/>
                <w:lang w:val="en-US" w:eastAsia="zh-CN" w:bidi="ar-SA"/>
              </w:rPr>
            </w:pPr>
            <w:r>
              <w:rPr>
                <w:rFonts w:hint="eastAsia" w:eastAsia="仿宋_GB2312" w:cs="仿宋_GB2312"/>
                <w:snapToGrid w:val="0"/>
                <w:color w:val="000000"/>
                <w:sz w:val="18"/>
                <w:szCs w:val="18"/>
                <w:lang w:val="en-US" w:eastAsia="zh-CN"/>
              </w:rPr>
              <w:t>县委网信办</w:t>
            </w:r>
          </w:p>
        </w:tc>
        <w:tc>
          <w:tcPr>
            <w:tcW w:w="2557" w:type="dxa"/>
            <w:tcBorders>
              <w:top w:val="single" w:color="auto" w:sz="4" w:space="0"/>
              <w:left w:val="nil"/>
              <w:bottom w:val="single" w:color="auto" w:sz="4" w:space="0"/>
              <w:right w:val="single" w:color="auto" w:sz="4" w:space="0"/>
            </w:tcBorders>
            <w:vAlign w:val="center"/>
          </w:tcPr>
          <w:p w14:paraId="0CCD3EB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法律】《中华人民共和国网络安全法》第六十九条：网络运营者违反本法规定，有下列行为之一的，由有关主管部门责令改正；拒不改正或者情节严重的，处五万元以上五十万元以下罚款，对直接负责的主管人员和其他直接责任人员，处一万元以上十万元以下罚款：……　　　（二）拒绝、阻碍有关部门依法实施的监督检查的；</w:t>
            </w:r>
          </w:p>
          <w:p w14:paraId="52A8324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互联网新闻信息服务管理规定》（2017年国家互联网信息办公室令第1号）第十九条第一款：国家和地方互联网信息办公室应当建立日常检查和定期检查相结合的监督管理制度，依法对互联网新闻信息服务活动实施监督检查，有关单位、个人应当予以配合。</w:t>
            </w:r>
          </w:p>
          <w:p w14:paraId="68EC07E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第二十条第二款：国家和地方互联网信息办公室应当向社会公开举报受理方式，收到举报后，应当依法予以处置。互联网新闻信息服务提供者应当予以配合。</w:t>
            </w:r>
          </w:p>
          <w:p w14:paraId="5B9DF00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二十五条：互联网新闻信息服务提供者违反本规定第三条、第十六条第一款、第十九条第一款、第二十条第二款规定的，由国家和地方互联网信息办公室依据职责给予警告，责令限期改正；情节严重或拒不改正的，暂停新闻信息更新，处二万元以上三万元以下罚款；构成犯罪的，依法追究刑事责任。</w:t>
            </w:r>
          </w:p>
          <w:p w14:paraId="555E5C7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3.【规范性文件】《国务院关于授权国家互联网信息办公室负责互联网信息内容管理工作的通知》（国发〔2014〕33号）为促进互联网信息服务健康有序发展，保护公民、法人和其他组织的合法权益，维护国家安全和公共利益，授权重新组建的国家互联网信息办公室负责全国互联网信息内容管理工作，并负责监督管理执法。</w:t>
            </w:r>
          </w:p>
        </w:tc>
        <w:tc>
          <w:tcPr>
            <w:tcW w:w="1916" w:type="dxa"/>
            <w:tcBorders>
              <w:top w:val="single" w:color="auto" w:sz="4" w:space="0"/>
              <w:left w:val="nil"/>
              <w:bottom w:val="single" w:color="auto" w:sz="4" w:space="0"/>
              <w:right w:val="single" w:color="auto" w:sz="4" w:space="0"/>
            </w:tcBorders>
            <w:vAlign w:val="center"/>
          </w:tcPr>
          <w:p w14:paraId="6FA0A53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1.立案责任：通过日常管理和监督发现违法行为，决定是否立案受理；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36BC9F8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2.调查取证责任：记录违规事实，收集有关证据材料；</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06AC5B5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3.复核审查责任：对违法主体的违规记录及相关证明材料进行审查和确认；</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57E2066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4.告知责任：作出行政处罚决定前，由网信部门告知违法组织或个人其违法违规事实、理由及依据，以及享有的陈述、申辩等权利；</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4C2D82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5.决定责任：作出处罚决定，制作处罚决定书；</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642AEC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6.送达责任：处罚决定书送达当事人；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361FF5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7.执行责任：对违法行为作出处理，当事组织或个人应接受生效的行政处罚决定；</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4F6C082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8.监督责任：对处罚决定的执行情况进行监督检查；</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61595A7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9.其他法律法规规章文件规定应履行的责任。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3858C2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14:paraId="762BF4C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第三十六条：行政机关发现公民、法人或者其他组织有依法应当给予行政处罚的行为的，必须全面、客观、公正地调查，收集有关证据；必要时，依照法律、法规的规定，可以进行检查。</w:t>
            </w:r>
          </w:p>
          <w:p w14:paraId="61E177E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3.【法律】《中华人民共和国行政处罚法》第三十八条：调查终结，行政机关负责人应当对调查结果进行审查。</w:t>
            </w:r>
          </w:p>
          <w:p w14:paraId="13500A9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4.【法律】《中华人民共和国行政处罚法》第三十一条：行政机关在作出行政处罚决定之前，应当告知当事人作出行政处罚决定的事实、理由及依据，并告知当事人依法享有的权利。</w:t>
            </w:r>
          </w:p>
          <w:p w14:paraId="4592075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5.【部门规章】《互联网信息内容管理行政执法程序规定》（2017年国家互联网信息办公室令第2号）第三十九条：互联网信息内容管理部门作出行政处罚决定，应当制作统一编号的《行政处罚决定书》。</w:t>
            </w:r>
          </w:p>
          <w:p w14:paraId="776E453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760EEB1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7.【部门规章】《互联网信息内容管理行政执法程序规定》（2017年国家互联网信息办公室令第2号）第四十一条：《行政处罚决定书》送达后，当事人应当在处罚决定的期限内予以履行。</w:t>
            </w:r>
          </w:p>
          <w:p w14:paraId="663CBA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第四十二条：互联网信息服务提供者违反相关法律法规规章，需由电信主管部门关闭网站、吊销互联网信息服务增值电信业务经营许可证或者取消备案的，转电信主管部门处理。</w:t>
            </w:r>
          </w:p>
          <w:p w14:paraId="701EE4E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8.【部门规章】《互联网信息内容管理行政执法程序规定》（2017年国家互联网信息办公室令第2号）第四条：互联网信息内容管理部门建立行政执法督查制度。</w:t>
            </w:r>
          </w:p>
          <w:p w14:paraId="3D8E8D9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上级互联网信息内容管理部门对下级互联网信息内容管理部门实施的行政执法进行督查。</w:t>
            </w:r>
          </w:p>
        </w:tc>
        <w:tc>
          <w:tcPr>
            <w:tcW w:w="1718" w:type="dxa"/>
            <w:tcBorders>
              <w:top w:val="single" w:color="auto" w:sz="4" w:space="0"/>
              <w:left w:val="nil"/>
              <w:bottom w:val="single" w:color="auto" w:sz="4" w:space="0"/>
              <w:right w:val="single" w:color="auto" w:sz="4" w:space="0"/>
            </w:tcBorders>
            <w:vAlign w:val="center"/>
          </w:tcPr>
          <w:p w14:paraId="561F1E1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因不履行或不正确履行职责，有下列情形的行政机关及相关工作人员应承担相应的责任：</w:t>
            </w:r>
          </w:p>
          <w:p w14:paraId="7D6058E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1.不具备行政处罚主体资格</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7F6B15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2.没有事实和法律依据</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453225B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3.擅自改变处罚种类、幅度</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20ED4AC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4.违反法定程序</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1323158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5.违法处理罚没财物</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351906D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6.涉嫌犯罪，不移交司法机关</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6D54C0D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7.对违法行为应当处罚不处罚或者乱处罚</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1E0B0EC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8.除以上追责情形外，其他违反法律法规规章的行为依法追究相应责任</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w:t>
            </w:r>
          </w:p>
        </w:tc>
        <w:tc>
          <w:tcPr>
            <w:tcW w:w="4908" w:type="dxa"/>
            <w:tcBorders>
              <w:top w:val="single" w:color="auto" w:sz="4" w:space="0"/>
              <w:left w:val="nil"/>
              <w:bottom w:val="single" w:color="auto" w:sz="4" w:space="0"/>
              <w:right w:val="single" w:color="auto" w:sz="4" w:space="0"/>
            </w:tcBorders>
            <w:vAlign w:val="center"/>
          </w:tcPr>
          <w:p w14:paraId="7A17AD4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22259E5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2.同1。</w:t>
            </w:r>
          </w:p>
          <w:p w14:paraId="207AC9A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3.同1。</w:t>
            </w:r>
          </w:p>
          <w:p w14:paraId="1968C60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4.同1。</w:t>
            </w:r>
          </w:p>
          <w:p w14:paraId="523851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5.同1。</w:t>
            </w:r>
          </w:p>
          <w:p w14:paraId="02D66B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w:t>
            </w:r>
          </w:p>
          <w:p w14:paraId="76DAE20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7.同1。</w:t>
            </w:r>
          </w:p>
        </w:tc>
        <w:tc>
          <w:tcPr>
            <w:tcW w:w="908" w:type="dxa"/>
            <w:tcBorders>
              <w:top w:val="single" w:color="auto" w:sz="4" w:space="0"/>
              <w:left w:val="nil"/>
              <w:bottom w:val="single" w:color="auto" w:sz="4" w:space="0"/>
              <w:right w:val="single" w:color="auto" w:sz="4" w:space="0"/>
            </w:tcBorders>
            <w:vAlign w:val="center"/>
          </w:tcPr>
          <w:p w14:paraId="09DF90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法律法规规定的免责情形及自治区党委、自治区人民政府有关文件中明确的免责情形。</w:t>
            </w:r>
          </w:p>
        </w:tc>
        <w:tc>
          <w:tcPr>
            <w:tcW w:w="826" w:type="dxa"/>
            <w:tcBorders>
              <w:top w:val="single" w:color="auto" w:sz="4" w:space="0"/>
              <w:left w:val="nil"/>
              <w:bottom w:val="single" w:color="auto" w:sz="4" w:space="0"/>
              <w:right w:val="single" w:color="auto" w:sz="4" w:space="0"/>
            </w:tcBorders>
            <w:vAlign w:val="center"/>
          </w:tcPr>
          <w:p w14:paraId="35D4477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p>
        </w:tc>
      </w:tr>
      <w:tr w14:paraId="64C891B3">
        <w:tblPrEx>
          <w:tblCellMar>
            <w:top w:w="28" w:type="dxa"/>
            <w:left w:w="28" w:type="dxa"/>
            <w:bottom w:w="28" w:type="dxa"/>
            <w:right w:w="28" w:type="dxa"/>
          </w:tblCellMar>
        </w:tblPrEx>
        <w:trPr>
          <w:trHeight w:val="13700" w:hRule="atLeast"/>
        </w:trPr>
        <w:tc>
          <w:tcPr>
            <w:tcW w:w="409" w:type="dxa"/>
            <w:tcBorders>
              <w:top w:val="single" w:color="auto" w:sz="4" w:space="0"/>
              <w:left w:val="single" w:color="auto" w:sz="4" w:space="0"/>
              <w:bottom w:val="single" w:color="auto" w:sz="4" w:space="0"/>
              <w:right w:val="single" w:color="auto" w:sz="4" w:space="0"/>
            </w:tcBorders>
            <w:vAlign w:val="center"/>
          </w:tcPr>
          <w:p w14:paraId="3FFA85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default" w:eastAsia="仿宋_GB2312" w:cs="仿宋_GB2312"/>
                <w:snapToGrid w:val="0"/>
                <w:color w:val="000000"/>
                <w:sz w:val="18"/>
                <w:szCs w:val="18"/>
                <w:lang w:val="en-US" w:eastAsia="zh-CN"/>
              </w:rPr>
            </w:pPr>
            <w:r>
              <w:rPr>
                <w:rFonts w:hint="eastAsia" w:eastAsia="仿宋_GB2312" w:cs="仿宋_GB2312"/>
                <w:snapToGrid w:val="0"/>
                <w:color w:val="000000"/>
                <w:sz w:val="18"/>
                <w:szCs w:val="18"/>
                <w:lang w:val="en-US" w:eastAsia="zh-CN"/>
              </w:rPr>
              <w:t>42</w:t>
            </w:r>
          </w:p>
        </w:tc>
        <w:tc>
          <w:tcPr>
            <w:tcW w:w="548" w:type="dxa"/>
            <w:tcBorders>
              <w:top w:val="single" w:color="auto" w:sz="4" w:space="0"/>
              <w:left w:val="nil"/>
              <w:bottom w:val="single" w:color="auto" w:sz="4" w:space="0"/>
              <w:right w:val="single" w:color="auto" w:sz="4" w:space="0"/>
            </w:tcBorders>
            <w:vAlign w:val="center"/>
          </w:tcPr>
          <w:p w14:paraId="44972A8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6EDB510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对提供违法违规互联网信息内容的行政处罚</w:t>
            </w:r>
          </w:p>
        </w:tc>
        <w:tc>
          <w:tcPr>
            <w:tcW w:w="548" w:type="dxa"/>
            <w:tcBorders>
              <w:top w:val="single" w:color="auto" w:sz="4" w:space="0"/>
              <w:left w:val="nil"/>
              <w:bottom w:val="single" w:color="auto" w:sz="4" w:space="0"/>
              <w:right w:val="single" w:color="auto" w:sz="4" w:space="0"/>
            </w:tcBorders>
            <w:vAlign w:val="center"/>
          </w:tcPr>
          <w:p w14:paraId="5479F7E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p>
        </w:tc>
        <w:tc>
          <w:tcPr>
            <w:tcW w:w="536" w:type="dxa"/>
            <w:tcBorders>
              <w:top w:val="single" w:color="auto" w:sz="4" w:space="0"/>
              <w:left w:val="nil"/>
              <w:bottom w:val="single" w:color="auto" w:sz="4" w:space="0"/>
              <w:right w:val="single" w:color="auto" w:sz="4" w:space="0"/>
            </w:tcBorders>
            <w:vAlign w:val="center"/>
          </w:tcPr>
          <w:p w14:paraId="617C087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ascii="Times New Roman" w:hAnsi="Times New Roman" w:eastAsia="仿宋_GB2312" w:cs="仿宋_GB2312"/>
                <w:snapToGrid w:val="0"/>
                <w:color w:val="000000"/>
                <w:kern w:val="2"/>
                <w:sz w:val="18"/>
                <w:szCs w:val="18"/>
                <w:lang w:val="en-US" w:eastAsia="zh-CN" w:bidi="ar-SA"/>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2A89CA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ascii="Times New Roman" w:hAnsi="Times New Roman" w:eastAsia="仿宋_GB2312" w:cs="仿宋_GB2312"/>
                <w:snapToGrid w:val="0"/>
                <w:color w:val="000000"/>
                <w:kern w:val="2"/>
                <w:sz w:val="18"/>
                <w:szCs w:val="18"/>
                <w:lang w:val="en-US" w:eastAsia="zh-CN" w:bidi="ar-SA"/>
              </w:rPr>
            </w:pPr>
            <w:r>
              <w:rPr>
                <w:rFonts w:hint="eastAsia" w:eastAsia="仿宋_GB2312" w:cs="仿宋_GB2312"/>
                <w:snapToGrid w:val="0"/>
                <w:color w:val="000000"/>
                <w:sz w:val="18"/>
                <w:szCs w:val="18"/>
                <w:lang w:val="en-US" w:eastAsia="zh-CN"/>
              </w:rPr>
              <w:t>县委网信办</w:t>
            </w:r>
          </w:p>
        </w:tc>
        <w:tc>
          <w:tcPr>
            <w:tcW w:w="2557" w:type="dxa"/>
            <w:tcBorders>
              <w:top w:val="single" w:color="auto" w:sz="4" w:space="0"/>
              <w:left w:val="nil"/>
              <w:bottom w:val="single" w:color="auto" w:sz="4" w:space="0"/>
              <w:right w:val="single" w:color="auto" w:sz="4" w:space="0"/>
            </w:tcBorders>
            <w:vAlign w:val="center"/>
          </w:tcPr>
          <w:p w14:paraId="6483ABA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行政法规】《互联网信息服务管理办法》（2000年9月25日中华人民共和国国务院令第292号公布，2000年9月25日国务院令第588号令修改）第十五条：互联网信息服务提供者不得制作、复制、发布、传播含有下列内容的信息：</w:t>
            </w:r>
          </w:p>
          <w:p w14:paraId="018ECFE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（一）反对宪法所确定的基本原则的；</w:t>
            </w:r>
          </w:p>
          <w:p w14:paraId="5136A52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（二）危害国家安全，泄露国家秘密，颠覆国家政权，破坏国家统一的；</w:t>
            </w:r>
          </w:p>
          <w:p w14:paraId="574C461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（三）损害国家荣誉和利益的；</w:t>
            </w:r>
          </w:p>
          <w:p w14:paraId="7D568E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（四）煽动民族仇恨、民族歧视，破坏民族团结的；</w:t>
            </w:r>
          </w:p>
          <w:p w14:paraId="34E314D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（五）破坏国家宗教政策，宣扬邪教和封建迷信的；</w:t>
            </w:r>
          </w:p>
          <w:p w14:paraId="7358244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（六）散布谣言，扰乱社会秩序，破坏社会稳定的；</w:t>
            </w:r>
          </w:p>
          <w:p w14:paraId="570F26D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（七）散布淫秽、色情、赌博、暴力、凶杀、恐怖或者教唆犯罪的；</w:t>
            </w:r>
          </w:p>
          <w:p w14:paraId="6D3FA08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（八）侮辱或者诽谤他人，侵害他人合法权益的；</w:t>
            </w:r>
          </w:p>
          <w:p w14:paraId="0334821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（九）含有法律、行政法规禁止的其他内容的。</w:t>
            </w:r>
          </w:p>
          <w:p w14:paraId="195488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二十条：制作、复制、发布、传播本办法第十五条所列内容之一的信息，构成犯罪的，依法追究刑事责任；尚不构成犯罪的，由公安机关、国家安全机关依照《中华人民共和国治安管理处罚法》、《计算机信息网络国际联网安全保护管理办法》等有关法律、行政法规的规定予以处罚；对经营性互联网信息服务提供者，并由发证机关责令停业整顿直至吊销经营许可证，通知企业登记机关；对非经营性互联网信息服务提供者，并由备案机关责令暂时关闭网站直至关闭网站。</w:t>
            </w:r>
          </w:p>
          <w:p w14:paraId="2134324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部门规章】《互联网新闻信息服务管理规定》（2017年国家互联网信息办公室令第1号）第三条：提供互联网新闻信息服务，应当遵守宪法、法律和行政法规，坚持为人民服务、为社会主义服务的方向，坚持正确舆论导向，发挥舆论监督作用，促进形成积极健康、向上向善的网络文化，维护国家利益和公共利益。</w:t>
            </w:r>
          </w:p>
          <w:p w14:paraId="2F0688C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第十六条第一款：互联网新闻信息服务提供者和用户不得制作、复制、发布、传播法律、行政法规禁止的信息内容。</w:t>
            </w:r>
          </w:p>
          <w:p w14:paraId="30ABD13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第二十五条：互联网新闻信息服务提供者违反本规定第三条、第十六条第一款、第十九条第一款、第二十条第二款规定的，由国家和地方互联网信息办公室依据职责给予警告，责令限期改正；情节严重或拒不改正的，暂停新闻信息更新，处二万元以上三万元以下罚款；构成犯罪的，依法追究刑事责任。</w:t>
            </w:r>
          </w:p>
        </w:tc>
        <w:tc>
          <w:tcPr>
            <w:tcW w:w="1916" w:type="dxa"/>
            <w:tcBorders>
              <w:top w:val="single" w:color="auto" w:sz="4" w:space="0"/>
              <w:left w:val="nil"/>
              <w:bottom w:val="single" w:color="auto" w:sz="4" w:space="0"/>
              <w:right w:val="single" w:color="auto" w:sz="4" w:space="0"/>
            </w:tcBorders>
            <w:vAlign w:val="center"/>
          </w:tcPr>
          <w:p w14:paraId="08B5A99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1.立案责任：通过日常管理和监督发现违法行为，决定是否立案受理；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09B0911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2.调查取证责任：记录违规事实，收集有关证据材料；</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332288E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3.复核审查责任：对违法主体的违规记录及相关证明材料进行审查和确认；</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610F2D8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4.告知责任：作出行政处罚决定前，由网信部门告知违法组织或个人其违法违规事实、理由及依据，以及享有的陈述、申辩等权利；</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6CD4A02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5.决定责任：作出处罚决定，制作处罚决定书；</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1390F8F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6.送达责任：处罚决定书送达当事人；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68E67C3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7.执行责任：对违法行为作出处理，当事组织或个人应接受生效的行政处罚决定；</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358D373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8.监督责任：对处罚决定的执行情况进行监督检查；</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52AAB2F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9.其他法律法规规章文件规定应履行的责任。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19A4D4B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14:paraId="0333DAD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第三十六条：行政机关发现公民、法人或者其他组织有依法应当给予行政处罚的行为的，必须全面、客观、公正地调查，收集有关证据；必要时，依照法律、法规的规定，可以进行检查。</w:t>
            </w:r>
          </w:p>
          <w:p w14:paraId="1754D7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3.【法律】《中华人民共和国行政处罚法》第三十八条：调查终结，行政机关负责人应当对调查结果进行审查。</w:t>
            </w:r>
          </w:p>
          <w:p w14:paraId="2FF027B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4.【法律】《中华人民共和国行政处罚法》第三十一条：行政机关在作出行政处罚决定之前，应当告知当事人作出行政处罚决定的事实、理由及依据，并告知当事人依法享有的权利。</w:t>
            </w:r>
          </w:p>
          <w:p w14:paraId="5CEA9B5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5.【部门规章】《互联网信息内容管理行政执法程序规定》（2017年国家互联网信息办公室令第2号）第三十九条：互联网信息内容管理部门作出行政处罚决定，应当制作统一编号的《行政处罚决定书》。</w:t>
            </w:r>
          </w:p>
          <w:p w14:paraId="6DD6835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0CED643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7.【部门规章】《互联网信息内容管理行政执法程序规定》（2017年国家互联网信息办公室令第2号）第四十一条：《行政处罚决定书》送达后，当事人应当在处罚决定的期限内予以履行。</w:t>
            </w:r>
          </w:p>
          <w:p w14:paraId="597CE8F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第四十二条：互联网信息服务提供者违反相关法律法规规章，需由电信主管部门关闭网站、吊销互联网信息服务增值电信业务经营许可证或者取消备案的，转电信主管部门处理。</w:t>
            </w:r>
          </w:p>
          <w:p w14:paraId="2C9F3AF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8.【部门规章】《互联网信息内容管理行政执法程序规定》（2017年国家互联网信息办公室令第2号）第四条：互联网信息内容管理部门建立行政执法督查制度。上级互联网信息内容管理部门对下级互联网信息内容管理部门实施的行政执法进行督查。</w:t>
            </w:r>
          </w:p>
        </w:tc>
        <w:tc>
          <w:tcPr>
            <w:tcW w:w="1718" w:type="dxa"/>
            <w:tcBorders>
              <w:top w:val="single" w:color="auto" w:sz="4" w:space="0"/>
              <w:left w:val="nil"/>
              <w:bottom w:val="single" w:color="auto" w:sz="4" w:space="0"/>
              <w:right w:val="single" w:color="auto" w:sz="4" w:space="0"/>
            </w:tcBorders>
            <w:vAlign w:val="center"/>
          </w:tcPr>
          <w:p w14:paraId="26512D7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因不履行或不正确履行职责，有下列情形的行政机关及相关工作人员应承担相应的责任：</w:t>
            </w:r>
          </w:p>
          <w:p w14:paraId="3400EE7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1.不具备行政处罚主体资格</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479312E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2.没有事实和法律依据</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00BC7CD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3.擅自改变处罚种类、幅度</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54D3AED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4.违反法定程序</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319D1D2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5.违法处理罚没财物</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1AF769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6.涉嫌犯罪，不移交司法机关</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2E7BF68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7.对违法行为应当处罚不处罚或者乱处罚</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177A300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8.除以上追责情形外，其他违反法律法规规章的行为依法追究相应责任</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w:t>
            </w:r>
          </w:p>
        </w:tc>
        <w:tc>
          <w:tcPr>
            <w:tcW w:w="4908" w:type="dxa"/>
            <w:tcBorders>
              <w:top w:val="single" w:color="auto" w:sz="4" w:space="0"/>
              <w:left w:val="nil"/>
              <w:bottom w:val="single" w:color="auto" w:sz="4" w:space="0"/>
              <w:right w:val="single" w:color="auto" w:sz="4" w:space="0"/>
            </w:tcBorders>
            <w:vAlign w:val="center"/>
          </w:tcPr>
          <w:p w14:paraId="3AA1AA5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5B42BCA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2.同1。</w:t>
            </w:r>
          </w:p>
          <w:p w14:paraId="33CCC55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3.同1。</w:t>
            </w:r>
          </w:p>
          <w:p w14:paraId="230B6F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4.同1。</w:t>
            </w:r>
          </w:p>
          <w:p w14:paraId="65571B5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5.同1。</w:t>
            </w:r>
          </w:p>
          <w:p w14:paraId="22E5EAA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w:t>
            </w:r>
          </w:p>
          <w:p w14:paraId="4898F4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7.同1。</w:t>
            </w:r>
          </w:p>
        </w:tc>
        <w:tc>
          <w:tcPr>
            <w:tcW w:w="908" w:type="dxa"/>
            <w:tcBorders>
              <w:top w:val="single" w:color="auto" w:sz="4" w:space="0"/>
              <w:left w:val="nil"/>
              <w:bottom w:val="single" w:color="auto" w:sz="4" w:space="0"/>
              <w:right w:val="single" w:color="auto" w:sz="4" w:space="0"/>
            </w:tcBorders>
            <w:vAlign w:val="center"/>
          </w:tcPr>
          <w:p w14:paraId="75BE13C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法律法规规定的免责情形及自治区党委、自治区人民政府有关文件中明确的免责情形。</w:t>
            </w:r>
          </w:p>
        </w:tc>
        <w:tc>
          <w:tcPr>
            <w:tcW w:w="826" w:type="dxa"/>
            <w:tcBorders>
              <w:top w:val="single" w:color="auto" w:sz="4" w:space="0"/>
              <w:left w:val="nil"/>
              <w:bottom w:val="single" w:color="auto" w:sz="4" w:space="0"/>
              <w:right w:val="single" w:color="auto" w:sz="4" w:space="0"/>
            </w:tcBorders>
            <w:vAlign w:val="center"/>
          </w:tcPr>
          <w:p w14:paraId="7C00BE4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p>
        </w:tc>
      </w:tr>
      <w:tr w14:paraId="2B64C82F">
        <w:tblPrEx>
          <w:tblCellMar>
            <w:top w:w="28" w:type="dxa"/>
            <w:left w:w="28" w:type="dxa"/>
            <w:bottom w:w="28" w:type="dxa"/>
            <w:right w:w="28" w:type="dxa"/>
          </w:tblCellMar>
        </w:tblPrEx>
        <w:trPr>
          <w:trHeight w:val="5323" w:hRule="atLeast"/>
        </w:trPr>
        <w:tc>
          <w:tcPr>
            <w:tcW w:w="409" w:type="dxa"/>
            <w:tcBorders>
              <w:top w:val="single" w:color="auto" w:sz="4" w:space="0"/>
              <w:left w:val="single" w:color="auto" w:sz="4" w:space="0"/>
              <w:bottom w:val="single" w:color="auto" w:sz="4" w:space="0"/>
              <w:right w:val="single" w:color="auto" w:sz="4" w:space="0"/>
            </w:tcBorders>
            <w:vAlign w:val="center"/>
          </w:tcPr>
          <w:p w14:paraId="1D4640F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4</w:t>
            </w:r>
            <w:r>
              <w:rPr>
                <w:rFonts w:hint="eastAsia" w:eastAsia="仿宋_GB2312" w:cs="仿宋_GB2312"/>
                <w:snapToGrid w:val="0"/>
                <w:color w:val="000000"/>
                <w:sz w:val="18"/>
                <w:szCs w:val="18"/>
                <w:lang w:val="en-US" w:eastAsia="zh-CN"/>
              </w:rPr>
              <w:t>3</w:t>
            </w:r>
          </w:p>
        </w:tc>
        <w:tc>
          <w:tcPr>
            <w:tcW w:w="548" w:type="dxa"/>
            <w:tcBorders>
              <w:top w:val="single" w:color="auto" w:sz="4" w:space="0"/>
              <w:left w:val="nil"/>
              <w:bottom w:val="single" w:color="auto" w:sz="4" w:space="0"/>
              <w:right w:val="single" w:color="auto" w:sz="4" w:space="0"/>
            </w:tcBorders>
            <w:vAlign w:val="center"/>
          </w:tcPr>
          <w:p w14:paraId="6C5628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行政处罚</w:t>
            </w:r>
          </w:p>
        </w:tc>
        <w:tc>
          <w:tcPr>
            <w:tcW w:w="523" w:type="dxa"/>
            <w:tcBorders>
              <w:top w:val="single" w:color="auto" w:sz="4" w:space="0"/>
              <w:left w:val="nil"/>
              <w:bottom w:val="single" w:color="auto" w:sz="4" w:space="0"/>
              <w:right w:val="single" w:color="auto" w:sz="4" w:space="0"/>
            </w:tcBorders>
            <w:vAlign w:val="center"/>
          </w:tcPr>
          <w:p w14:paraId="4CB827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对违反安全评估、非公资本、总编辑及从业人员、管理制度和技术保障措施建设、传播平台、谋取不正当利益、账号管理、转载管理、违法信息处置、账号管理、重大事项变更、许可明示、举报管理等违法提供互联网新闻信息服务的行政处罚</w:t>
            </w:r>
          </w:p>
        </w:tc>
        <w:tc>
          <w:tcPr>
            <w:tcW w:w="548" w:type="dxa"/>
            <w:tcBorders>
              <w:top w:val="single" w:color="auto" w:sz="4" w:space="0"/>
              <w:left w:val="nil"/>
              <w:bottom w:val="single" w:color="auto" w:sz="4" w:space="0"/>
              <w:right w:val="single" w:color="auto" w:sz="4" w:space="0"/>
            </w:tcBorders>
            <w:vAlign w:val="center"/>
          </w:tcPr>
          <w:p w14:paraId="5AA2A11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eastAsia="仿宋_GB2312" w:cs="仿宋_GB2312"/>
                <w:snapToGrid w:val="0"/>
                <w:color w:val="000000"/>
                <w:sz w:val="18"/>
                <w:szCs w:val="18"/>
                <w:lang w:val="en-US" w:eastAsia="zh-CN"/>
              </w:rPr>
            </w:pPr>
          </w:p>
        </w:tc>
        <w:tc>
          <w:tcPr>
            <w:tcW w:w="536" w:type="dxa"/>
            <w:tcBorders>
              <w:top w:val="single" w:color="auto" w:sz="4" w:space="0"/>
              <w:left w:val="nil"/>
              <w:bottom w:val="single" w:color="auto" w:sz="4" w:space="0"/>
              <w:right w:val="single" w:color="auto" w:sz="4" w:space="0"/>
            </w:tcBorders>
            <w:vAlign w:val="center"/>
          </w:tcPr>
          <w:p w14:paraId="3DF8AEC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ascii="Times New Roman" w:hAnsi="Times New Roman" w:eastAsia="仿宋_GB2312" w:cs="仿宋_GB2312"/>
                <w:snapToGrid w:val="0"/>
                <w:color w:val="000000"/>
                <w:kern w:val="2"/>
                <w:sz w:val="18"/>
                <w:szCs w:val="18"/>
                <w:lang w:val="en-US" w:eastAsia="zh-CN" w:bidi="ar-SA"/>
              </w:rPr>
            </w:pPr>
            <w:r>
              <w:rPr>
                <w:rFonts w:hint="eastAsia" w:eastAsia="仿宋_GB2312" w:cs="仿宋_GB2312"/>
                <w:snapToGrid w:val="0"/>
                <w:color w:val="000000"/>
                <w:sz w:val="18"/>
                <w:szCs w:val="18"/>
                <w:lang w:val="en-US" w:eastAsia="zh-CN"/>
              </w:rPr>
              <w:t>县委宣传部</w:t>
            </w:r>
          </w:p>
        </w:tc>
        <w:tc>
          <w:tcPr>
            <w:tcW w:w="809" w:type="dxa"/>
            <w:tcBorders>
              <w:top w:val="single" w:color="auto" w:sz="4" w:space="0"/>
              <w:left w:val="nil"/>
              <w:bottom w:val="single" w:color="auto" w:sz="4" w:space="0"/>
              <w:right w:val="single" w:color="auto" w:sz="4" w:space="0"/>
            </w:tcBorders>
            <w:vAlign w:val="center"/>
          </w:tcPr>
          <w:p w14:paraId="6425FE0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center"/>
              <w:textAlignment w:val="auto"/>
              <w:rPr>
                <w:rFonts w:hint="eastAsia" w:ascii="Times New Roman" w:hAnsi="Times New Roman" w:eastAsia="仿宋_GB2312" w:cs="仿宋_GB2312"/>
                <w:snapToGrid w:val="0"/>
                <w:color w:val="000000"/>
                <w:kern w:val="2"/>
                <w:sz w:val="18"/>
                <w:szCs w:val="18"/>
                <w:lang w:val="en-US" w:eastAsia="zh-CN" w:bidi="ar-SA"/>
              </w:rPr>
            </w:pPr>
            <w:r>
              <w:rPr>
                <w:rFonts w:hint="eastAsia" w:eastAsia="仿宋_GB2312" w:cs="仿宋_GB2312"/>
                <w:snapToGrid w:val="0"/>
                <w:color w:val="000000"/>
                <w:sz w:val="18"/>
                <w:szCs w:val="18"/>
                <w:lang w:val="en-US" w:eastAsia="zh-CN"/>
              </w:rPr>
              <w:t>县委网信办</w:t>
            </w:r>
          </w:p>
        </w:tc>
        <w:tc>
          <w:tcPr>
            <w:tcW w:w="2557" w:type="dxa"/>
            <w:tcBorders>
              <w:top w:val="single" w:color="auto" w:sz="4" w:space="0"/>
              <w:left w:val="nil"/>
              <w:bottom w:val="single" w:color="auto" w:sz="4" w:space="0"/>
              <w:right w:val="single" w:color="auto" w:sz="4" w:space="0"/>
            </w:tcBorders>
            <w:vAlign w:val="center"/>
          </w:tcPr>
          <w:p w14:paraId="0C25FCB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互联网新闻信息服务管理规定》（2017年国家互联网信息办公室令第1号）第三条：提供互联网新闻信息服务，应当遵守宪法、法律和行政法规，坚持为人民服务、为社会主义服务的方向，坚持正确舆论导向，发挥舆论监督作用，促进形成积极健康、向上向善的网络文化，维护国家利益和公共利益。</w:t>
            </w:r>
          </w:p>
          <w:p w14:paraId="2D6C9CF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第七条第二款：互联网新闻信息服务单位与境内外中外合资经营、中外合作经营和外资经营的企业进行涉及互联网新闻信息服务业务的合作，应当报经国家互联网信息办公室进行安全评估。</w:t>
            </w:r>
          </w:p>
          <w:p w14:paraId="19AF99EF">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第八条：互联网新闻信息服务提供者的采编业务和经营业务应当分开，非公有资本不得介入互联网新闻信息采编业务。</w:t>
            </w:r>
          </w:p>
          <w:p w14:paraId="73ECF3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一条：互联网新闻信息服务提供者应当设立总编辑，总编辑对互联网新闻信息内容负总责。总编辑人选应当具有相关从业经验，符合相关条件，并报国家或省、自治区、直辖市互联网信息办公室备案。互联网新闻信息服务相关从业人员应当依法取得相应资质，接受专业培训、考核。互联网新闻信息服务相关从业人员从事新闻采编活动，应当具备新闻采编人员职业资格，持有国家新闻出版广电总局统一颁发的新闻记者证。</w:t>
            </w:r>
          </w:p>
          <w:p w14:paraId="53EF472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第十二条：互联网新闻信息服务提供者应当健全信息发布审核、公共信息巡查、应急处置等信息安全管理制度，具有安全可控的技术保障措施。</w:t>
            </w:r>
          </w:p>
          <w:p w14:paraId="2AB46DF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三条第一、三款：互联网新闻信息服务提供者为用户提供互联网新闻信息传播平台服务，应当按照《中华人民共和国网络安全法》的规定，要求用户提供真实身份信息。用户不提供真实身份信息的，互联网新闻信息服务提供者不得为其提供相关服务。互联网新闻信息服务提供者及其从业人员不得通过采编、发布、转载、删除新闻信息，干预新闻信息呈现或搜索结果等手段谋取不正当利益。</w:t>
            </w:r>
          </w:p>
          <w:p w14:paraId="7555D49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四条：互联网新闻信息服务提供者提供互联网新闻信息传播平台服务，应当与在其平台上注册的用户签订协议，明确双方权利义务。对用户开设公众账号的，互联网新闻信息服务提供者应当审核其账号信息、服务资质、服务范围等信息，并向所在地省、自治区、直辖市互联网信息办公室分类备案。</w:t>
            </w:r>
          </w:p>
          <w:p w14:paraId="301D73E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五条第一款：互联网新闻信息服务提供者转载新闻信息，应当转载中央新闻单位或省、自治区、直辖市直属新闻单位等国家规定范围内的单位发布的新闻信息，注明新闻信息来源、原作者、原标题、编辑真实姓名等，不得歪曲、篡改标题原意和新闻信息内容，并保证新闻信息来源可追溯。</w:t>
            </w:r>
          </w:p>
          <w:p w14:paraId="125F6D2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第十六条第二款：互联网新闻信息服务提供者提供服务过程中发现含有违反本规定第三条或前款规定内容的，应当依法立即停止传输该信息、采取消除等处置措施，保存有关记录，并向有关主管部门报告。</w:t>
            </w:r>
          </w:p>
          <w:p w14:paraId="3E6885B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服务提供者变更主要负责人、总编辑、主管单位、股权结构等影响许可条件的重大事项，应当向原许可机关办理变更手续。互联网新闻信息服务提供者应用新技术、调整增设具有新闻舆论属性或社会动员能力的应用功能，应当报国家或省、自治区、直辖市互联网信息办公室进行互联网新闻信息服务安全评估。</w:t>
            </w:r>
          </w:p>
          <w:p w14:paraId="3AE29BC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八条：互联网新闻信息服务提供者应当在明显位置明示互联网新闻信息服务许可证编号。互联网新闻信息服务提供者应当自觉接受社会监督，建立社会投诉举报渠道，设置便捷的投诉举报入口，及时处理公众投诉举报。</w:t>
            </w:r>
          </w:p>
          <w:p w14:paraId="1B3950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二十四条：互联网新闻信息服务提供者违反本规定第七条第二款、第八条、第十一条、第十二条、第十三条第三款、第十四条、第十五条第一款、第十七条、第十八条规定的，由国家和地方互联网信息办公室依据职责给予警告，责令限期改正；情节严重或拒不改正的，暂停新闻信息更新，处五千元以上三万元以下罚款；构成犯罪的，依法追究刑事责任。</w:t>
            </w:r>
          </w:p>
          <w:p w14:paraId="37103CB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第二十六条：互联网新闻信息服务提供者违反本规定第十三条第一款、第十六条第二款规定的，由国家和地方互联网信息办公室根据《中华人民共和国网络安全法》的规定予以处理。</w:t>
            </w:r>
          </w:p>
          <w:p w14:paraId="538214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网络安全法》第十五条：互联网信息服务提供者不得制作、复制、发布、传播含有下列内容的信息：（一）反对宪法所确定的基本原则的；（二）危害国家安全，泄露国家秘密，颠覆国家政权，破坏国家统一的；（三）损害国家荣誉和利益的；（四）煽动民族仇恨、民族歧视，破坏民族团结的；（五）破坏国家宗教政策，宣扬邪教和封建迷信的；（六）散布谣言，扰乱社会秩序，破坏社会稳定的；（七）散布淫秽、色情、赌博、暴力、凶杀、恐怖或者教唆犯罪的；（八）侮辱或者诽谤他人，侵害他人合法权益的；（九）含有法律、行政法规禁止的其他内容的。</w:t>
            </w:r>
          </w:p>
          <w:p w14:paraId="21E0D6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第十六条：互联网信息服务提供者发现其网站传输的信息明显属于本办法第十五条所列内容之一的，应当立即停止传输，保存有关记录，并向国家有关机关报告。</w:t>
            </w:r>
          </w:p>
          <w:p w14:paraId="671F379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第二十条：制作、复制、发布、传播本办法第十五条所列内容之一的信息，构成犯罪的，依法追究刑事责任；尚不构成犯罪的，由公安机关、国家安全机关依照《中华人民共和国治安管理处罚法》、《计算机信息网络国际联网安全保护管理办法》等有关法律、行政法规的规定予以处罚；对经营性互联网信息服务提供者，并由发证机关责令停业整顿直至吊销经营许可证，通知企业登记机关；对非经营性互联网信息服务提供者，并由备案机关责令暂时关闭网站直至关闭网站。</w:t>
            </w:r>
          </w:p>
        </w:tc>
        <w:tc>
          <w:tcPr>
            <w:tcW w:w="1916" w:type="dxa"/>
            <w:tcBorders>
              <w:top w:val="single" w:color="auto" w:sz="4" w:space="0"/>
              <w:left w:val="nil"/>
              <w:bottom w:val="single" w:color="auto" w:sz="4" w:space="0"/>
              <w:right w:val="single" w:color="auto" w:sz="4" w:space="0"/>
            </w:tcBorders>
            <w:vAlign w:val="center"/>
          </w:tcPr>
          <w:p w14:paraId="73A2F60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1.立案责任：通过日常管理和监督发现违法行为，决定是否立案受理；</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74724AB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2.调查取证责任：记录违规事实，收集有关证据材料；</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15A4BAA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3.复核审查责任：对违法主体的违规记录及相关证明材料进行审查和确认；</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1B5D30E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4.告知责任：作出行政处罚决定前，由网信部门告知违法组织或个人其违法违规事实、理由及依据，以及享有的陈述、申辩等权利；</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13971EB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5.决定责任：作出处罚决定，制作处罚决定书；</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2CA6FBA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6.送达责任：处罚决定书送达当事人；</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7666E99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7.执行责任：对违法行为作出处理，当事组织或个人应接受生效的行政处罚决定；</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2AB09B9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8.监督责任：对处罚决定的执行情况进行监督检查；</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p w14:paraId="739637C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9.其他法律法规规章文件规定应履行的责任。</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lang w:val="en-US" w:eastAsia="zh-CN"/>
              </w:rPr>
              <w:t>县委网信办</w:t>
            </w:r>
            <w:r>
              <w:rPr>
                <w:rFonts w:hint="eastAsia" w:eastAsia="仿宋_GB2312" w:cs="仿宋_GB2312"/>
                <w:snapToGrid w:val="0"/>
                <w:color w:val="000000"/>
                <w:sz w:val="18"/>
                <w:szCs w:val="18"/>
                <w:lang w:eastAsia="zh-CN"/>
              </w:rPr>
              <w:t>）</w:t>
            </w:r>
          </w:p>
        </w:tc>
        <w:tc>
          <w:tcPr>
            <w:tcW w:w="5372" w:type="dxa"/>
            <w:tcBorders>
              <w:top w:val="single" w:color="auto" w:sz="4" w:space="0"/>
              <w:left w:val="nil"/>
              <w:bottom w:val="single" w:color="auto" w:sz="4" w:space="0"/>
              <w:right w:val="single" w:color="auto" w:sz="4" w:space="0"/>
            </w:tcBorders>
            <w:vAlign w:val="center"/>
          </w:tcPr>
          <w:p w14:paraId="5671B84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14:paraId="7D53CC9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法律】《中华人民共和国行政处罚法》第三十六条：行政机关发现公民、法人或者其他组织有依法应当给予行政处罚的行为的，必须全面、客观、公正地调查，收集有关证据；必要时，依照法律、法规的规定，可以进行检查。</w:t>
            </w:r>
          </w:p>
          <w:p w14:paraId="14EF79F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3.【法律】《中华人民共和国行政处罚法》第三十八条：调查终结，行政机关负责人应当对调查结果进行审查。</w:t>
            </w:r>
          </w:p>
          <w:p w14:paraId="2586B0F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4.【法律】《中华人民共和国行政处罚法》第三十一条：行政机关在作出行政处罚决定之前，应当告知当事人作出行政处罚决定的事实、理由及依据，并告知当事人依法享有的权利。</w:t>
            </w:r>
          </w:p>
          <w:p w14:paraId="3877EF5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5.【部门规章】《互联网信息内容管理行政执法程序规定》（2017年国家互联网信息办公室令第2号）第三十九条：互联网信息内容管理部门作出行政处罚决定，应当制作统一编号的《行政处罚决定书》。</w:t>
            </w:r>
          </w:p>
          <w:p w14:paraId="11F67E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7903039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7.【部门规章】《互联网信息内容管理行政执法程序规定》（2017年国家互联网信息办公室令第2号）第四十一条：《行政处罚决定书》送达后，当事人应当在处罚决定的期限内予以履行。</w:t>
            </w:r>
          </w:p>
          <w:p w14:paraId="6F59A78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第四十二条：互联网信息服务提供者违反相关法律法规规章，需由电信主管部门关闭网站、吊销互联网信息服务增值电信业务经营许可证或者取消备案的，转电信主管部门处理。</w:t>
            </w:r>
          </w:p>
          <w:p w14:paraId="1A3BDB5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8.【部门规章】《互联网信息内容管理行政执法程序规定》（2017年国家互联网信息办公室令第2号）第四条：互联网信息内容管理部门建立行政执法督查制度。</w:t>
            </w:r>
          </w:p>
          <w:p w14:paraId="62C079EE">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上级互联网信息内容管理部门对下级互联网信息内容管理部门实施的行政执法进行督查。</w:t>
            </w:r>
          </w:p>
        </w:tc>
        <w:tc>
          <w:tcPr>
            <w:tcW w:w="1718" w:type="dxa"/>
            <w:tcBorders>
              <w:top w:val="single" w:color="auto" w:sz="4" w:space="0"/>
              <w:left w:val="nil"/>
              <w:bottom w:val="single" w:color="auto" w:sz="4" w:space="0"/>
              <w:right w:val="single" w:color="auto" w:sz="4" w:space="0"/>
            </w:tcBorders>
            <w:vAlign w:val="center"/>
          </w:tcPr>
          <w:p w14:paraId="7ADABE2A">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因不履行或不正确履行职责，有下列情形的行政机关及相关工作人员应承担相应的责任：</w:t>
            </w:r>
          </w:p>
          <w:p w14:paraId="66583CE6">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1.不具备行政处罚主体资格</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3F09C3AB">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2.没有事实和法律依据（</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51F55D49">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3.擅自改变处罚种类、幅度（</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710A9544">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4.违反法定程序（</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6852DA6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5.违法处理罚没财物</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1C65994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6.涉嫌犯罪，不移交司法机关</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709DA825">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7.对违法行为应当处罚不处罚或者乱处罚</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　</w:t>
            </w:r>
          </w:p>
          <w:p w14:paraId="6097BDA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8.除以上追责情形外，其他违反法律法规规章的行为依法追究相应责任</w:t>
            </w:r>
            <w:r>
              <w:rPr>
                <w:rFonts w:hint="eastAsia" w:eastAsia="仿宋_GB2312" w:cs="仿宋_GB2312"/>
                <w:snapToGrid w:val="0"/>
                <w:color w:val="000000"/>
                <w:sz w:val="18"/>
                <w:szCs w:val="18"/>
                <w:lang w:eastAsia="zh-CN"/>
              </w:rPr>
              <w:t>（</w:t>
            </w:r>
            <w:r>
              <w:rPr>
                <w:rFonts w:hint="eastAsia" w:ascii="Times New Roman" w:hAnsi="Times New Roman" w:eastAsia="仿宋_GB2312" w:cs="仿宋_GB2312"/>
                <w:snapToGrid w:val="0"/>
                <w:color w:val="000000"/>
                <w:sz w:val="18"/>
                <w:szCs w:val="18"/>
              </w:rPr>
              <w:t>驻</w:t>
            </w:r>
            <w:r>
              <w:rPr>
                <w:rFonts w:hint="eastAsia" w:ascii="Times New Roman" w:hAnsi="Times New Roman" w:eastAsia="仿宋_GB2312" w:cs="仿宋_GB2312"/>
                <w:snapToGrid w:val="0"/>
                <w:color w:val="000000"/>
                <w:sz w:val="18"/>
                <w:szCs w:val="18"/>
                <w:lang w:val="en-US" w:eastAsia="zh-CN"/>
              </w:rPr>
              <w:t>政府办</w:t>
            </w:r>
            <w:r>
              <w:rPr>
                <w:rFonts w:hint="eastAsia" w:ascii="Times New Roman" w:hAnsi="Times New Roman" w:eastAsia="仿宋_GB2312" w:cs="仿宋_GB2312"/>
                <w:snapToGrid w:val="0"/>
                <w:color w:val="000000"/>
                <w:sz w:val="18"/>
                <w:szCs w:val="18"/>
              </w:rPr>
              <w:t>纪检监察组</w:t>
            </w:r>
            <w:r>
              <w:rPr>
                <w:rFonts w:hint="eastAsia" w:eastAsia="仿宋_GB2312" w:cs="仿宋_GB2312"/>
                <w:snapToGrid w:val="0"/>
                <w:color w:val="000000"/>
                <w:sz w:val="18"/>
                <w:szCs w:val="18"/>
                <w:lang w:eastAsia="zh-CN"/>
              </w:rPr>
              <w:t>）</w:t>
            </w:r>
            <w:r>
              <w:rPr>
                <w:rFonts w:hint="eastAsia" w:eastAsia="仿宋_GB2312" w:cs="仿宋_GB2312"/>
                <w:snapToGrid w:val="0"/>
                <w:color w:val="000000"/>
                <w:sz w:val="18"/>
                <w:szCs w:val="18"/>
              </w:rPr>
              <w:t>。</w:t>
            </w:r>
          </w:p>
        </w:tc>
        <w:tc>
          <w:tcPr>
            <w:tcW w:w="4908" w:type="dxa"/>
            <w:tcBorders>
              <w:top w:val="single" w:color="auto" w:sz="4" w:space="0"/>
              <w:left w:val="nil"/>
              <w:bottom w:val="single" w:color="auto" w:sz="4" w:space="0"/>
              <w:right w:val="single" w:color="auto" w:sz="4" w:space="0"/>
            </w:tcBorders>
            <w:vAlign w:val="center"/>
          </w:tcPr>
          <w:p w14:paraId="45D61E1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14:paraId="73D8A50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2.同1。</w:t>
            </w:r>
          </w:p>
          <w:p w14:paraId="04BB6D07">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3.同1。</w:t>
            </w:r>
          </w:p>
          <w:p w14:paraId="2F9A2702">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4.同1。</w:t>
            </w:r>
          </w:p>
          <w:p w14:paraId="6BC9ACC8">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5.同1。</w:t>
            </w:r>
          </w:p>
          <w:p w14:paraId="7B9BC3AD">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6.同1。</w:t>
            </w:r>
          </w:p>
          <w:p w14:paraId="1D1ACCB0">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7.同1。</w:t>
            </w:r>
          </w:p>
        </w:tc>
        <w:tc>
          <w:tcPr>
            <w:tcW w:w="908" w:type="dxa"/>
            <w:tcBorders>
              <w:top w:val="single" w:color="auto" w:sz="4" w:space="0"/>
              <w:left w:val="nil"/>
              <w:bottom w:val="single" w:color="auto" w:sz="4" w:space="0"/>
              <w:right w:val="single" w:color="auto" w:sz="4" w:space="0"/>
            </w:tcBorders>
            <w:vAlign w:val="center"/>
          </w:tcPr>
          <w:p w14:paraId="4D4E0631">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r>
              <w:rPr>
                <w:rFonts w:hint="eastAsia" w:eastAsia="仿宋_GB2312" w:cs="仿宋_GB2312"/>
                <w:snapToGrid w:val="0"/>
                <w:color w:val="000000"/>
                <w:sz w:val="18"/>
                <w:szCs w:val="18"/>
              </w:rPr>
              <w:t>法律法规规定的免责情形及自治区党委、自治区人民政府有关文件中明确的免责情形。</w:t>
            </w:r>
          </w:p>
        </w:tc>
        <w:tc>
          <w:tcPr>
            <w:tcW w:w="826" w:type="dxa"/>
            <w:tcBorders>
              <w:top w:val="single" w:color="auto" w:sz="4" w:space="0"/>
              <w:left w:val="nil"/>
              <w:bottom w:val="single" w:color="auto" w:sz="4" w:space="0"/>
              <w:right w:val="single" w:color="auto" w:sz="4" w:space="0"/>
            </w:tcBorders>
            <w:vAlign w:val="center"/>
          </w:tcPr>
          <w:p w14:paraId="3E292D8C">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lang w:val="en-US" w:eastAsia="zh-CN"/>
              </w:rPr>
            </w:pPr>
          </w:p>
        </w:tc>
      </w:tr>
      <w:tr w14:paraId="4329E2FA">
        <w:tblPrEx>
          <w:tblCellMar>
            <w:top w:w="28" w:type="dxa"/>
            <w:left w:w="28" w:type="dxa"/>
            <w:bottom w:w="28" w:type="dxa"/>
            <w:right w:w="28" w:type="dxa"/>
          </w:tblCellMar>
        </w:tblPrEx>
        <w:trPr>
          <w:trHeight w:val="547" w:hRule="atLeast"/>
        </w:trPr>
        <w:tc>
          <w:tcPr>
            <w:tcW w:w="21578" w:type="dxa"/>
            <w:gridSpan w:val="13"/>
            <w:tcBorders>
              <w:top w:val="single" w:color="auto" w:sz="4" w:space="0"/>
              <w:bottom w:val="single" w:color="auto" w:sz="4" w:space="0"/>
            </w:tcBorders>
            <w:vAlign w:val="center"/>
          </w:tcPr>
          <w:p w14:paraId="5B6A4143">
            <w:pPr>
              <w:keepNext w:val="0"/>
              <w:keepLines w:val="0"/>
              <w:pageBreakBefore w:val="0"/>
              <w:widowControl/>
              <w:kinsoku/>
              <w:wordWrap/>
              <w:overflowPunct/>
              <w:topLinePunct w:val="0"/>
              <w:autoSpaceDE/>
              <w:autoSpaceDN/>
              <w:bidi w:val="0"/>
              <w:adjustRightInd w:val="0"/>
              <w:snapToGrid w:val="0"/>
              <w:spacing w:line="200" w:lineRule="exact"/>
              <w:ind w:firstLine="0" w:firstLineChars="0"/>
              <w:jc w:val="both"/>
              <w:textAlignment w:val="auto"/>
              <w:rPr>
                <w:rFonts w:hint="eastAsia" w:eastAsia="仿宋_GB2312" w:cs="仿宋_GB2312"/>
                <w:snapToGrid w:val="0"/>
                <w:color w:val="000000"/>
                <w:sz w:val="18"/>
                <w:szCs w:val="18"/>
              </w:rPr>
            </w:pPr>
            <w:r>
              <w:rPr>
                <w:rFonts w:hint="eastAsia" w:eastAsia="仿宋_GB2312" w:cs="仿宋_GB2312"/>
                <w:snapToGrid w:val="0"/>
                <w:color w:val="000000"/>
                <w:sz w:val="18"/>
                <w:szCs w:val="18"/>
              </w:rPr>
              <w:t>备注：目录中涉及新闻出版、版权、电影等方面的行政执法职责，各市县按照中央、自治区关于深化文化市场综合行政执法改革文件精神实施。</w:t>
            </w:r>
          </w:p>
        </w:tc>
      </w:tr>
    </w:tbl>
    <w:p w14:paraId="1036B738">
      <w:pPr>
        <w:adjustRightInd w:val="0"/>
        <w:snapToGrid w:val="0"/>
        <w:spacing w:line="20" w:lineRule="exact"/>
        <w:rPr>
          <w:rFonts w:hint="eastAsia"/>
          <w:lang w:val="en-US" w:eastAsia="zh-CN"/>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47843">
    <w:pPr>
      <w:pStyle w:val="2"/>
      <w:framePr w:wrap="around" w:vAnchor="text" w:hAnchor="margin" w:xAlign="center" w:y="1"/>
      <w:rPr>
        <w:rStyle w:val="6"/>
      </w:rPr>
    </w:pPr>
    <w:r>
      <w:fldChar w:fldCharType="begin"/>
    </w:r>
    <w:r>
      <w:rPr>
        <w:rStyle w:val="6"/>
      </w:rPr>
      <w:instrText xml:space="preserve">PAGE  </w:instrText>
    </w:r>
    <w:r>
      <w:fldChar w:fldCharType="end"/>
    </w:r>
  </w:p>
  <w:p w14:paraId="3365684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42F15"/>
    <w:rsid w:val="00F76416"/>
    <w:rsid w:val="00FF2AB4"/>
    <w:rsid w:val="02713414"/>
    <w:rsid w:val="027658C6"/>
    <w:rsid w:val="046D5BE8"/>
    <w:rsid w:val="04714B91"/>
    <w:rsid w:val="04FC2FCC"/>
    <w:rsid w:val="05297B93"/>
    <w:rsid w:val="06915138"/>
    <w:rsid w:val="095174F8"/>
    <w:rsid w:val="099E03A4"/>
    <w:rsid w:val="0A2C5891"/>
    <w:rsid w:val="0AFE5D7C"/>
    <w:rsid w:val="0B116543"/>
    <w:rsid w:val="0DFF27FC"/>
    <w:rsid w:val="0EA76558"/>
    <w:rsid w:val="0FB75999"/>
    <w:rsid w:val="101F61CC"/>
    <w:rsid w:val="102B7753"/>
    <w:rsid w:val="11D42771"/>
    <w:rsid w:val="13C60237"/>
    <w:rsid w:val="14C03257"/>
    <w:rsid w:val="193E2CF9"/>
    <w:rsid w:val="198C40FD"/>
    <w:rsid w:val="1BEA0119"/>
    <w:rsid w:val="1E601488"/>
    <w:rsid w:val="1F5D2C82"/>
    <w:rsid w:val="208F0317"/>
    <w:rsid w:val="22E05E96"/>
    <w:rsid w:val="23073300"/>
    <w:rsid w:val="23817E9C"/>
    <w:rsid w:val="24C251F7"/>
    <w:rsid w:val="25A24629"/>
    <w:rsid w:val="25D234C1"/>
    <w:rsid w:val="284D7733"/>
    <w:rsid w:val="2B2A16A2"/>
    <w:rsid w:val="2DBE1FF8"/>
    <w:rsid w:val="2E2D40A8"/>
    <w:rsid w:val="2EB76DCC"/>
    <w:rsid w:val="2F1644F8"/>
    <w:rsid w:val="2F1A5B31"/>
    <w:rsid w:val="316E13DB"/>
    <w:rsid w:val="33082146"/>
    <w:rsid w:val="35FF5D75"/>
    <w:rsid w:val="36492702"/>
    <w:rsid w:val="37785FBD"/>
    <w:rsid w:val="3897206C"/>
    <w:rsid w:val="3B333828"/>
    <w:rsid w:val="3BD20155"/>
    <w:rsid w:val="3CF559D4"/>
    <w:rsid w:val="3FC01706"/>
    <w:rsid w:val="3FFB237C"/>
    <w:rsid w:val="42C72925"/>
    <w:rsid w:val="43252179"/>
    <w:rsid w:val="43A92208"/>
    <w:rsid w:val="442A5381"/>
    <w:rsid w:val="450350C9"/>
    <w:rsid w:val="48B3291D"/>
    <w:rsid w:val="4D7A1B29"/>
    <w:rsid w:val="4DF83AE5"/>
    <w:rsid w:val="4FF22318"/>
    <w:rsid w:val="50E671DE"/>
    <w:rsid w:val="514637C8"/>
    <w:rsid w:val="521246D1"/>
    <w:rsid w:val="52820455"/>
    <w:rsid w:val="52B20825"/>
    <w:rsid w:val="56EB057D"/>
    <w:rsid w:val="58FF0FC6"/>
    <w:rsid w:val="5BF823AD"/>
    <w:rsid w:val="5C301AB5"/>
    <w:rsid w:val="5D354EA0"/>
    <w:rsid w:val="5DE70FDD"/>
    <w:rsid w:val="5E175A91"/>
    <w:rsid w:val="5F4C50DC"/>
    <w:rsid w:val="60C41631"/>
    <w:rsid w:val="620D774E"/>
    <w:rsid w:val="624A4A66"/>
    <w:rsid w:val="64696058"/>
    <w:rsid w:val="667F0C10"/>
    <w:rsid w:val="66C04989"/>
    <w:rsid w:val="67AE7591"/>
    <w:rsid w:val="68A64A7A"/>
    <w:rsid w:val="697000CA"/>
    <w:rsid w:val="69DE0E2C"/>
    <w:rsid w:val="69F77018"/>
    <w:rsid w:val="69F97951"/>
    <w:rsid w:val="6B567D39"/>
    <w:rsid w:val="6C64247C"/>
    <w:rsid w:val="6D8C76D1"/>
    <w:rsid w:val="6DC24AFA"/>
    <w:rsid w:val="72047416"/>
    <w:rsid w:val="73031463"/>
    <w:rsid w:val="73050AD7"/>
    <w:rsid w:val="78594A08"/>
    <w:rsid w:val="795C70E7"/>
    <w:rsid w:val="7A57044B"/>
    <w:rsid w:val="7CF93D77"/>
    <w:rsid w:val="7F777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40831</Words>
  <Characters>42025</Characters>
  <Lines>1</Lines>
  <Paragraphs>1</Paragraphs>
  <TotalTime>0</TotalTime>
  <ScaleCrop>false</ScaleCrop>
  <LinksUpToDate>false</LinksUpToDate>
  <CharactersWithSpaces>42178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cp:lastPrinted>2022-03-30T08:04:00Z</cp:lastPrinted>
  <dcterms:modified xsi:type="dcterms:W3CDTF">2025-02-28T08:54:36Z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6C4C823E39B34B96882EA52BB03724E9_12</vt:lpwstr>
  </property>
</Properties>
</file>