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367D">
      <w:pPr>
        <w:adjustRightInd w:val="0"/>
        <w:snapToGrid w:val="0"/>
        <w:spacing w:line="520" w:lineRule="exact"/>
        <w:jc w:val="center"/>
        <w:rPr>
          <w:rFonts w:ascii="方正小标宋_GBK" w:eastAsia="方正小标宋_GBK"/>
          <w:sz w:val="44"/>
          <w:szCs w:val="44"/>
        </w:rPr>
      </w:pPr>
      <w:bookmarkStart w:id="0" w:name="_GoBack"/>
      <w:bookmarkEnd w:id="0"/>
      <w:r>
        <w:rPr>
          <w:rFonts w:hint="eastAsia" w:ascii="方正小标宋_GBK" w:eastAsia="方正小标宋_GBK"/>
          <w:sz w:val="44"/>
          <w:szCs w:val="44"/>
          <w:lang w:eastAsia="zh-CN"/>
        </w:rPr>
        <w:t>永福县司法局</w:t>
      </w:r>
      <w:r>
        <w:rPr>
          <w:rFonts w:hint="eastAsia" w:ascii="方正小标宋_GBK" w:eastAsia="方正小标宋_GBK"/>
          <w:sz w:val="44"/>
          <w:szCs w:val="44"/>
        </w:rPr>
        <w:t>权责清单</w:t>
      </w:r>
      <w:r>
        <w:rPr>
          <w:rFonts w:hint="eastAsia" w:ascii="方正小标宋_GBK" w:eastAsia="方正小标宋_GBK"/>
          <w:sz w:val="44"/>
          <w:szCs w:val="44"/>
          <w:lang w:eastAsia="zh-CN"/>
        </w:rPr>
        <w:t>（征求意见稿）</w:t>
      </w:r>
    </w:p>
    <w:p w14:paraId="4FE6B636">
      <w:pPr>
        <w:adjustRightInd w:val="0"/>
        <w:snapToGrid w:val="0"/>
        <w:spacing w:line="570" w:lineRule="exact"/>
        <w:jc w:val="center"/>
        <w:rPr>
          <w:rFonts w:ascii="方正小标宋_GBK" w:eastAsia="方正小标宋_GBK"/>
          <w:sz w:val="44"/>
          <w:szCs w:val="44"/>
        </w:rPr>
      </w:pPr>
    </w:p>
    <w:tbl>
      <w:tblPr>
        <w:tblStyle w:val="4"/>
        <w:tblW w:w="21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406"/>
        <w:gridCol w:w="308"/>
        <w:gridCol w:w="504"/>
        <w:gridCol w:w="546"/>
        <w:gridCol w:w="966"/>
        <w:gridCol w:w="1008"/>
        <w:gridCol w:w="3199"/>
        <w:gridCol w:w="2177"/>
        <w:gridCol w:w="4842"/>
        <w:gridCol w:w="1489"/>
        <w:gridCol w:w="5188"/>
        <w:gridCol w:w="532"/>
        <w:gridCol w:w="381"/>
      </w:tblGrid>
      <w:tr w14:paraId="2FE5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restart"/>
            <w:vAlign w:val="center"/>
          </w:tcPr>
          <w:p w14:paraId="7A4035D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序号</w:t>
            </w:r>
          </w:p>
        </w:tc>
        <w:tc>
          <w:tcPr>
            <w:tcW w:w="308" w:type="dxa"/>
            <w:vMerge w:val="restart"/>
            <w:vAlign w:val="center"/>
          </w:tcPr>
          <w:p w14:paraId="5953E624">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权力分类</w:t>
            </w:r>
          </w:p>
        </w:tc>
        <w:tc>
          <w:tcPr>
            <w:tcW w:w="6223" w:type="dxa"/>
            <w:gridSpan w:val="5"/>
            <w:vAlign w:val="center"/>
          </w:tcPr>
          <w:p w14:paraId="412D57B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权力清单</w:t>
            </w:r>
          </w:p>
        </w:tc>
        <w:tc>
          <w:tcPr>
            <w:tcW w:w="14228" w:type="dxa"/>
            <w:gridSpan w:val="5"/>
            <w:vAlign w:val="center"/>
          </w:tcPr>
          <w:p w14:paraId="23805235">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责任清单</w:t>
            </w:r>
          </w:p>
        </w:tc>
        <w:tc>
          <w:tcPr>
            <w:tcW w:w="381" w:type="dxa"/>
            <w:vMerge w:val="restart"/>
            <w:vAlign w:val="center"/>
          </w:tcPr>
          <w:p w14:paraId="3DC28E75">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备注</w:t>
            </w:r>
          </w:p>
        </w:tc>
      </w:tr>
      <w:tr w14:paraId="07BE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406" w:type="dxa"/>
            <w:vMerge w:val="continue"/>
            <w:vAlign w:val="center"/>
          </w:tcPr>
          <w:p w14:paraId="061D13E8">
            <w:pPr>
              <w:adjustRightInd w:val="0"/>
              <w:snapToGrid w:val="0"/>
              <w:spacing w:line="300" w:lineRule="exact"/>
              <w:jc w:val="center"/>
              <w:rPr>
                <w:rFonts w:ascii="方正黑体_GBK" w:hAnsi="黑体" w:eastAsia="方正黑体_GBK" w:cs="宋体"/>
                <w:kern w:val="0"/>
                <w:sz w:val="20"/>
                <w:szCs w:val="20"/>
              </w:rPr>
            </w:pPr>
          </w:p>
        </w:tc>
        <w:tc>
          <w:tcPr>
            <w:tcW w:w="308" w:type="dxa"/>
            <w:vMerge w:val="continue"/>
            <w:vAlign w:val="center"/>
          </w:tcPr>
          <w:p w14:paraId="6CDFD692">
            <w:pPr>
              <w:adjustRightInd w:val="0"/>
              <w:snapToGrid w:val="0"/>
              <w:spacing w:line="300" w:lineRule="exact"/>
              <w:jc w:val="center"/>
              <w:rPr>
                <w:rFonts w:ascii="方正黑体_GBK" w:hAnsi="黑体" w:eastAsia="方正黑体_GBK" w:cs="宋体"/>
                <w:kern w:val="0"/>
                <w:sz w:val="20"/>
                <w:szCs w:val="20"/>
              </w:rPr>
            </w:pPr>
          </w:p>
        </w:tc>
        <w:tc>
          <w:tcPr>
            <w:tcW w:w="504" w:type="dxa"/>
            <w:vAlign w:val="center"/>
          </w:tcPr>
          <w:p w14:paraId="5F48EDA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项目名称</w:t>
            </w:r>
          </w:p>
        </w:tc>
        <w:tc>
          <w:tcPr>
            <w:tcW w:w="546" w:type="dxa"/>
            <w:vAlign w:val="center"/>
          </w:tcPr>
          <w:p w14:paraId="0359E304">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子项名称</w:t>
            </w:r>
          </w:p>
        </w:tc>
        <w:tc>
          <w:tcPr>
            <w:tcW w:w="966" w:type="dxa"/>
            <w:vAlign w:val="center"/>
          </w:tcPr>
          <w:p w14:paraId="7C3B2E40">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实施主体</w:t>
            </w:r>
          </w:p>
        </w:tc>
        <w:tc>
          <w:tcPr>
            <w:tcW w:w="1008" w:type="dxa"/>
            <w:vAlign w:val="center"/>
          </w:tcPr>
          <w:p w14:paraId="39226F21">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承办的</w:t>
            </w:r>
          </w:p>
          <w:p w14:paraId="5FE55394">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内设机构</w:t>
            </w:r>
          </w:p>
        </w:tc>
        <w:tc>
          <w:tcPr>
            <w:tcW w:w="3199" w:type="dxa"/>
            <w:vAlign w:val="center"/>
          </w:tcPr>
          <w:p w14:paraId="2E1EBAF5">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实施依据</w:t>
            </w:r>
          </w:p>
        </w:tc>
        <w:tc>
          <w:tcPr>
            <w:tcW w:w="2177" w:type="dxa"/>
            <w:vAlign w:val="center"/>
          </w:tcPr>
          <w:p w14:paraId="5202EC52">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w:t>
            </w:r>
          </w:p>
          <w:p w14:paraId="6A931B9A">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(明确责任主体)</w:t>
            </w:r>
          </w:p>
        </w:tc>
        <w:tc>
          <w:tcPr>
            <w:tcW w:w="4842" w:type="dxa"/>
            <w:vAlign w:val="center"/>
          </w:tcPr>
          <w:p w14:paraId="51C2AA3B">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责任事项依据</w:t>
            </w:r>
          </w:p>
        </w:tc>
        <w:tc>
          <w:tcPr>
            <w:tcW w:w="1489" w:type="dxa"/>
            <w:vAlign w:val="center"/>
          </w:tcPr>
          <w:p w14:paraId="5AD7E8CD">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追责情形（明确内部追责主体）</w:t>
            </w:r>
          </w:p>
        </w:tc>
        <w:tc>
          <w:tcPr>
            <w:tcW w:w="5188" w:type="dxa"/>
            <w:vAlign w:val="center"/>
          </w:tcPr>
          <w:p w14:paraId="27B227CF">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追责依据</w:t>
            </w:r>
          </w:p>
        </w:tc>
        <w:tc>
          <w:tcPr>
            <w:tcW w:w="532" w:type="dxa"/>
            <w:vAlign w:val="center"/>
          </w:tcPr>
          <w:p w14:paraId="1F076758">
            <w:pPr>
              <w:adjustRightInd w:val="0"/>
              <w:snapToGrid w:val="0"/>
              <w:spacing w:line="300" w:lineRule="exact"/>
              <w:jc w:val="center"/>
              <w:rPr>
                <w:rFonts w:ascii="方正黑体_GBK" w:hAnsi="黑体" w:eastAsia="方正黑体_GBK" w:cs="宋体"/>
                <w:kern w:val="0"/>
                <w:sz w:val="20"/>
                <w:szCs w:val="20"/>
              </w:rPr>
            </w:pPr>
            <w:r>
              <w:rPr>
                <w:rFonts w:hint="eastAsia" w:ascii="方正黑体_GBK" w:hAnsi="黑体" w:eastAsia="方正黑体_GBK" w:cs="宋体"/>
                <w:kern w:val="0"/>
                <w:sz w:val="20"/>
                <w:szCs w:val="20"/>
              </w:rPr>
              <w:t>免责事项</w:t>
            </w:r>
          </w:p>
        </w:tc>
        <w:tc>
          <w:tcPr>
            <w:tcW w:w="381" w:type="dxa"/>
            <w:vMerge w:val="continue"/>
            <w:vAlign w:val="center"/>
          </w:tcPr>
          <w:p w14:paraId="39D666BE">
            <w:pPr>
              <w:adjustRightInd w:val="0"/>
              <w:snapToGrid w:val="0"/>
              <w:spacing w:line="300" w:lineRule="exact"/>
              <w:jc w:val="center"/>
              <w:rPr>
                <w:rFonts w:ascii="方正黑体_GBK" w:hAnsi="黑体" w:eastAsia="方正黑体_GBK" w:cs="宋体"/>
                <w:kern w:val="0"/>
                <w:sz w:val="20"/>
                <w:szCs w:val="20"/>
              </w:rPr>
            </w:pPr>
          </w:p>
        </w:tc>
      </w:tr>
      <w:tr w14:paraId="117C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271" w:hRule="atLeast"/>
          <w:jc w:val="center"/>
        </w:trPr>
        <w:tc>
          <w:tcPr>
            <w:tcW w:w="406" w:type="dxa"/>
            <w:vAlign w:val="center"/>
          </w:tcPr>
          <w:p w14:paraId="1115215C">
            <w:pPr>
              <w:adjustRightInd w:val="0"/>
              <w:snapToGrid w:val="0"/>
              <w:spacing w:line="300" w:lineRule="exact"/>
              <w:jc w:val="center"/>
              <w:rPr>
                <w:rFonts w:ascii="方正书宋_GBK" w:hAnsi="宋体" w:eastAsia="方正书宋_GBK" w:cs="宋体"/>
                <w:kern w:val="0"/>
                <w:sz w:val="20"/>
                <w:szCs w:val="20"/>
              </w:rPr>
            </w:pPr>
            <w:r>
              <w:rPr>
                <w:rFonts w:hint="eastAsia" w:ascii="方正书宋_GBK" w:hAnsi="宋体" w:eastAsia="方正书宋_GBK" w:cs="宋体"/>
                <w:kern w:val="0"/>
                <w:sz w:val="20"/>
                <w:szCs w:val="20"/>
              </w:rPr>
              <w:t>1</w:t>
            </w:r>
          </w:p>
        </w:tc>
        <w:tc>
          <w:tcPr>
            <w:tcW w:w="308" w:type="dxa"/>
            <w:vAlign w:val="center"/>
          </w:tcPr>
          <w:p w14:paraId="690A86B1">
            <w:pPr>
              <w:adjustRightInd w:val="0"/>
              <w:snapToGrid w:val="0"/>
              <w:spacing w:line="300"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行政处罚</w:t>
            </w:r>
          </w:p>
        </w:tc>
        <w:tc>
          <w:tcPr>
            <w:tcW w:w="504" w:type="dxa"/>
            <w:vAlign w:val="center"/>
          </w:tcPr>
          <w:p w14:paraId="6B798226">
            <w:pPr>
              <w:adjustRightInd w:val="0"/>
              <w:snapToGrid w:val="0"/>
              <w:spacing w:line="300"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对没有取得律师执业证书的人员以律师名义从事法律服务业务的处罚</w:t>
            </w:r>
          </w:p>
        </w:tc>
        <w:tc>
          <w:tcPr>
            <w:tcW w:w="546" w:type="dxa"/>
            <w:vAlign w:val="center"/>
          </w:tcPr>
          <w:p w14:paraId="653CD776">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75EA5CDD">
            <w:pPr>
              <w:adjustRightInd w:val="0"/>
              <w:snapToGrid w:val="0"/>
              <w:spacing w:line="300" w:lineRule="exact"/>
              <w:jc w:val="left"/>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lang w:eastAsia="zh-CN"/>
              </w:rPr>
              <w:t>县司法局</w:t>
            </w:r>
          </w:p>
        </w:tc>
        <w:tc>
          <w:tcPr>
            <w:tcW w:w="1008" w:type="dxa"/>
            <w:vAlign w:val="center"/>
          </w:tcPr>
          <w:p w14:paraId="5680D581">
            <w:pPr>
              <w:adjustRightInd w:val="0"/>
              <w:snapToGrid w:val="0"/>
              <w:spacing w:line="300" w:lineRule="exact"/>
              <w:jc w:val="left"/>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lang w:eastAsia="zh-CN"/>
              </w:rPr>
              <w:t>公共法律服务管理股</w:t>
            </w:r>
          </w:p>
        </w:tc>
        <w:tc>
          <w:tcPr>
            <w:tcW w:w="3199" w:type="dxa"/>
            <w:vAlign w:val="center"/>
          </w:tcPr>
          <w:p w14:paraId="0F6538EC">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法律】《中华人民共和国律师法》第五十五条：没有取得律师执业证书的人员以律师名义从事法律服务业务的，由所在地的县级以上地方人民政府司法行政部门责令停止非法执业，没收违法所得，处违法所得一倍以上五倍以下的罚款。</w:t>
            </w:r>
          </w:p>
        </w:tc>
        <w:tc>
          <w:tcPr>
            <w:tcW w:w="2177" w:type="dxa"/>
            <w:vAlign w:val="center"/>
          </w:tcPr>
          <w:p w14:paraId="2D1D7EF3">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：对涉嫌违法行为的信息来源进行审查、记录，属本部门受理的进行审核，决定是否立案调查。</w:t>
            </w:r>
          </w:p>
          <w:p w14:paraId="674B715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14:paraId="138880D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：审理案件调查报告，对案件违法事实、证据、调查取证程序、法律适用、处罚种类和幅度、当事人陈述和申辩理由等方面进行审查，提出处理意见（主要证据不足时，以适当的方式补充调查），提出处理意见。</w:t>
            </w:r>
          </w:p>
          <w:p w14:paraId="7BA2BCC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：行政处罚决定前，应制作《行政处罚告知书》送达当事人，告知其违法事实和享有的陈述申辩、听证等权利。符合听证规定的，制作并送达《行政处罚听证告知书》。</w:t>
            </w:r>
          </w:p>
          <w:p w14:paraId="75834595">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：制作行政处罚决定书，载明行政处罚告知、当事人陈述申辩或者听证情况等内容。</w:t>
            </w:r>
          </w:p>
          <w:p w14:paraId="297E5D4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：行政处罚决定书按法律规定的方式送达当事人。</w:t>
            </w:r>
          </w:p>
          <w:p w14:paraId="7419994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：依照生效的行政处罚责任，监督当事人履行，当事人不履行的申请法院强制执行，构成犯罪的移交司法机关。</w:t>
            </w:r>
          </w:p>
          <w:p w14:paraId="32500415">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：对其处罚情况的监督检查。</w:t>
            </w:r>
          </w:p>
          <w:p w14:paraId="7E7E604F">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9.其他法律法规规章文件规定应履行的责任</w:t>
            </w:r>
            <w:r>
              <w:rPr>
                <w:rFonts w:hint="eastAsia" w:eastAsia="仿宋_GB2312" w:cs="仿宋_GB2312"/>
                <w:snapToGrid w:val="0"/>
                <w:color w:val="000000"/>
                <w:sz w:val="20"/>
                <w:szCs w:val="20"/>
                <w:lang w:eastAsia="zh-CN"/>
              </w:rPr>
              <w:t>（有关股室）</w:t>
            </w:r>
            <w:r>
              <w:rPr>
                <w:rFonts w:hint="eastAsia" w:eastAsia="仿宋_GB2312" w:cs="仿宋_GB2312"/>
                <w:snapToGrid w:val="0"/>
                <w:color w:val="000000"/>
                <w:sz w:val="20"/>
                <w:szCs w:val="20"/>
              </w:rPr>
              <w:t>。</w:t>
            </w:r>
          </w:p>
        </w:tc>
        <w:tc>
          <w:tcPr>
            <w:tcW w:w="4842" w:type="dxa"/>
            <w:vAlign w:val="center"/>
          </w:tcPr>
          <w:p w14:paraId="1A6DEA8E">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14:paraId="45F87C5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4F5D5A0">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65B4EA4B">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8F9D7CF">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33D33B72">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14AF853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14:paraId="3DEAA141">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7.【法律】《中华人民共和国行政处罚法》第四十四条：行政处罚决定依法作出后，当事人应当在行政处罚决定的期限内，予以履行。</w:t>
            </w:r>
          </w:p>
        </w:tc>
        <w:tc>
          <w:tcPr>
            <w:tcW w:w="1489" w:type="dxa"/>
            <w:vAlign w:val="center"/>
          </w:tcPr>
          <w:p w14:paraId="1694AE9E">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4C3CBE25">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1.没有法定的行政处罚依据的；</w:t>
            </w:r>
            <w:r>
              <w:rPr>
                <w:rFonts w:hint="eastAsia" w:eastAsia="仿宋_GB2312" w:cs="仿宋_GB2312"/>
                <w:snapToGrid w:val="0"/>
                <w:color w:val="000000"/>
                <w:sz w:val="20"/>
                <w:szCs w:val="20"/>
                <w:lang w:eastAsia="zh-CN"/>
              </w:rPr>
              <w:t>（局党组）</w:t>
            </w:r>
          </w:p>
          <w:p w14:paraId="2EA5A7C6">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2.擅自改变行政处罚种类、幅度的；</w:t>
            </w:r>
            <w:r>
              <w:rPr>
                <w:rFonts w:hint="eastAsia" w:eastAsia="仿宋_GB2312" w:cs="仿宋_GB2312"/>
                <w:snapToGrid w:val="0"/>
                <w:color w:val="000000"/>
                <w:sz w:val="20"/>
                <w:szCs w:val="20"/>
                <w:lang w:eastAsia="zh-CN"/>
              </w:rPr>
              <w:t>（局党组）</w:t>
            </w:r>
          </w:p>
          <w:p w14:paraId="1566E144">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3.违反法定的行政处罚程序的；</w:t>
            </w:r>
            <w:r>
              <w:rPr>
                <w:rFonts w:hint="eastAsia" w:eastAsia="仿宋_GB2312" w:cs="仿宋_GB2312"/>
                <w:snapToGrid w:val="0"/>
                <w:color w:val="000000"/>
                <w:sz w:val="20"/>
                <w:szCs w:val="20"/>
                <w:lang w:eastAsia="zh-CN"/>
              </w:rPr>
              <w:t>（局党组）</w:t>
            </w:r>
          </w:p>
          <w:p w14:paraId="129F412A">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4.不具备行政执法资格的人实施行政处罚的；</w:t>
            </w:r>
            <w:r>
              <w:rPr>
                <w:rFonts w:hint="eastAsia" w:eastAsia="仿宋_GB2312" w:cs="仿宋_GB2312"/>
                <w:snapToGrid w:val="0"/>
                <w:color w:val="000000"/>
                <w:sz w:val="20"/>
                <w:szCs w:val="20"/>
                <w:lang w:eastAsia="zh-CN"/>
              </w:rPr>
              <w:t>（局党组）</w:t>
            </w:r>
          </w:p>
          <w:p w14:paraId="4055ECAD">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5.在行政处罚过程中发生腐败行为的；</w:t>
            </w:r>
            <w:r>
              <w:rPr>
                <w:rFonts w:hint="eastAsia" w:eastAsia="仿宋_GB2312" w:cs="仿宋_GB2312"/>
                <w:snapToGrid w:val="0"/>
                <w:color w:val="000000"/>
                <w:sz w:val="20"/>
                <w:szCs w:val="20"/>
                <w:lang w:eastAsia="zh-CN"/>
              </w:rPr>
              <w:t>（局党组）</w:t>
            </w:r>
          </w:p>
          <w:p w14:paraId="0A891A2E">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6.因执法人员玩忽职守，没有正确行使行政处罚权，产生不良社会影响，使利害关系人的合法权益遭受损害的；</w:t>
            </w:r>
            <w:r>
              <w:rPr>
                <w:rFonts w:hint="eastAsia" w:eastAsia="仿宋_GB2312" w:cs="仿宋_GB2312"/>
                <w:snapToGrid w:val="0"/>
                <w:color w:val="000000"/>
                <w:sz w:val="20"/>
                <w:szCs w:val="20"/>
                <w:lang w:eastAsia="zh-CN"/>
              </w:rPr>
              <w:t>（局党组）</w:t>
            </w:r>
          </w:p>
          <w:p w14:paraId="1F3EF293">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7.除以上追责情形外，其他违反法律法规规章的行为依法追究相应责任（</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tc>
        <w:tc>
          <w:tcPr>
            <w:tcW w:w="5188" w:type="dxa"/>
            <w:vAlign w:val="center"/>
          </w:tcPr>
          <w:p w14:paraId="3C9ED241">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7DE1ABC3">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6E4F1A8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14:paraId="6559F8C2">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p w14:paraId="64BB136F">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14:paraId="1FA3BA7A">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6D744641">
            <w:pPr>
              <w:adjustRightInd w:val="0"/>
              <w:snapToGrid w:val="0"/>
              <w:spacing w:line="300" w:lineRule="exact"/>
              <w:jc w:val="center"/>
              <w:rPr>
                <w:rFonts w:ascii="方正书宋_GBK" w:hAnsi="宋体" w:eastAsia="方正书宋_GBK" w:cs="宋体"/>
                <w:kern w:val="0"/>
                <w:sz w:val="20"/>
                <w:szCs w:val="20"/>
              </w:rPr>
            </w:pPr>
          </w:p>
        </w:tc>
      </w:tr>
      <w:tr w14:paraId="043F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15BE3E6">
            <w:pPr>
              <w:adjustRightInd w:val="0"/>
              <w:snapToGrid w:val="0"/>
              <w:spacing w:line="300" w:lineRule="exact"/>
              <w:jc w:val="center"/>
              <w:rPr>
                <w:rFonts w:hint="eastAsia" w:ascii="方正书宋_GBK" w:hAnsi="宋体" w:eastAsia="方正书宋_GBK" w:cs="宋体"/>
                <w:kern w:val="0"/>
                <w:sz w:val="20"/>
                <w:szCs w:val="20"/>
              </w:rPr>
            </w:pPr>
            <w:r>
              <w:rPr>
                <w:rFonts w:hint="eastAsia" w:ascii="方正书宋_GBK" w:hAnsi="宋体" w:eastAsia="方正书宋_GBK" w:cs="宋体"/>
                <w:kern w:val="0"/>
                <w:sz w:val="20"/>
                <w:szCs w:val="20"/>
              </w:rPr>
              <w:t>2</w:t>
            </w:r>
          </w:p>
        </w:tc>
        <w:tc>
          <w:tcPr>
            <w:tcW w:w="308" w:type="dxa"/>
            <w:vAlign w:val="center"/>
          </w:tcPr>
          <w:p w14:paraId="00D4B6C2">
            <w:pPr>
              <w:widowControl/>
              <w:adjustRightInd w:val="0"/>
              <w:snapToGrid w:val="0"/>
              <w:spacing w:line="298"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行政处罚</w:t>
            </w:r>
          </w:p>
        </w:tc>
        <w:tc>
          <w:tcPr>
            <w:tcW w:w="504" w:type="dxa"/>
            <w:vAlign w:val="center"/>
          </w:tcPr>
          <w:p w14:paraId="664012E6">
            <w:pPr>
              <w:widowControl/>
              <w:adjustRightInd w:val="0"/>
              <w:snapToGrid w:val="0"/>
              <w:spacing w:line="298"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对律师事务所拒绝法律援助机构的指派，不安排本所律师办理法律援助案件的处罚</w:t>
            </w:r>
          </w:p>
        </w:tc>
        <w:tc>
          <w:tcPr>
            <w:tcW w:w="546" w:type="dxa"/>
            <w:vAlign w:val="center"/>
          </w:tcPr>
          <w:p w14:paraId="26050ADE">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59FC6ED2">
            <w:pPr>
              <w:adjustRightInd w:val="0"/>
              <w:snapToGrid w:val="0"/>
              <w:spacing w:line="300" w:lineRule="exact"/>
              <w:jc w:val="left"/>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lang w:eastAsia="zh-CN"/>
              </w:rPr>
              <w:t>县司法局</w:t>
            </w:r>
          </w:p>
        </w:tc>
        <w:tc>
          <w:tcPr>
            <w:tcW w:w="1008" w:type="dxa"/>
            <w:vAlign w:val="center"/>
          </w:tcPr>
          <w:p w14:paraId="671B0D66">
            <w:pPr>
              <w:adjustRightInd w:val="0"/>
              <w:snapToGrid w:val="0"/>
              <w:spacing w:line="300" w:lineRule="exact"/>
              <w:jc w:val="left"/>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lang w:eastAsia="zh-CN"/>
              </w:rPr>
              <w:t>公共法律服务管理股</w:t>
            </w:r>
          </w:p>
        </w:tc>
        <w:tc>
          <w:tcPr>
            <w:tcW w:w="3199" w:type="dxa"/>
            <w:vAlign w:val="center"/>
          </w:tcPr>
          <w:p w14:paraId="4C81B978">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行政法规】《法律援助条例》（2003年国务院令第385号）第二十七条：律师事务所拒绝法律援助机构的指派，不安排本所律师办理法律援助案件的，由司法行政部门给予警告、责令改正；情节严重的，给予1个月以上3个月以下停业整顿的处罚。</w:t>
            </w:r>
          </w:p>
        </w:tc>
        <w:tc>
          <w:tcPr>
            <w:tcW w:w="2177" w:type="dxa"/>
            <w:vAlign w:val="center"/>
          </w:tcPr>
          <w:p w14:paraId="75372902">
            <w:pPr>
              <w:widowControl/>
              <w:adjustRightInd w:val="0"/>
              <w:snapToGrid w:val="0"/>
              <w:spacing w:line="29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：对涉嫌违法行为的信息来源进行审查、记录，属本部门受理的进行审核，决定是否立案调查。</w:t>
            </w:r>
          </w:p>
          <w:p w14:paraId="037B06C3">
            <w:pPr>
              <w:widowControl/>
              <w:adjustRightInd w:val="0"/>
              <w:snapToGrid w:val="0"/>
              <w:spacing w:line="29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14:paraId="31D99F51">
            <w:pPr>
              <w:widowControl/>
              <w:adjustRightInd w:val="0"/>
              <w:snapToGrid w:val="0"/>
              <w:spacing w:line="29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：审理案件调查报告，对案件违法事实、证据、调查取证程序、法律适用、处罚种类和幅度、当事人陈述和申辩理由等方面进行审查，提出处理意见（主要证据不足时，以适当的方式补充调查），提出处理意见。</w:t>
            </w:r>
          </w:p>
          <w:p w14:paraId="6E522FF0">
            <w:pPr>
              <w:widowControl/>
              <w:adjustRightInd w:val="0"/>
              <w:snapToGrid w:val="0"/>
              <w:spacing w:line="29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：行政处罚决定前，应制作《行政处罚告知书》送达当事人，告知其违法事实和享有的陈述申辩、听证等权利。符合听证规定的，制作并送达《行政处罚听证告知书》。</w:t>
            </w:r>
          </w:p>
          <w:p w14:paraId="07721D26">
            <w:pPr>
              <w:widowControl/>
              <w:adjustRightInd w:val="0"/>
              <w:snapToGrid w:val="0"/>
              <w:spacing w:line="29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：制作行政处罚决定书，载明行政处罚告知、当事人陈述申辩或者听证情况等内容。</w:t>
            </w:r>
          </w:p>
          <w:p w14:paraId="7ECA7815">
            <w:pPr>
              <w:widowControl/>
              <w:adjustRightInd w:val="0"/>
              <w:snapToGrid w:val="0"/>
              <w:spacing w:line="29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：行政处罚决定书按法律规定的方式送达当事人。</w:t>
            </w:r>
          </w:p>
          <w:p w14:paraId="2160D5CD">
            <w:pPr>
              <w:widowControl/>
              <w:adjustRightInd w:val="0"/>
              <w:snapToGrid w:val="0"/>
              <w:spacing w:line="29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：依照生效的行政处罚责任，监督当事人履行，当事人不履行的申请法院强制执行，构成犯罪的移交司法机关。</w:t>
            </w:r>
          </w:p>
          <w:p w14:paraId="1AF7E399">
            <w:pPr>
              <w:widowControl/>
              <w:adjustRightInd w:val="0"/>
              <w:snapToGrid w:val="0"/>
              <w:spacing w:line="29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8.监督责任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：对其处罚情况的监督检查。</w:t>
            </w:r>
          </w:p>
          <w:p w14:paraId="1489836A">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9.其他法律法规规章文件规定应履行的责任</w:t>
            </w:r>
            <w:r>
              <w:rPr>
                <w:rFonts w:hint="eastAsia" w:eastAsia="仿宋_GB2312" w:cs="仿宋_GB2312"/>
                <w:snapToGrid w:val="0"/>
                <w:color w:val="000000"/>
                <w:sz w:val="20"/>
                <w:szCs w:val="20"/>
                <w:lang w:eastAsia="zh-CN"/>
              </w:rPr>
              <w:t>（有关股室）</w:t>
            </w:r>
            <w:r>
              <w:rPr>
                <w:rFonts w:hint="eastAsia" w:eastAsia="仿宋_GB2312" w:cs="仿宋_GB2312"/>
                <w:snapToGrid w:val="0"/>
                <w:color w:val="000000"/>
                <w:sz w:val="20"/>
                <w:szCs w:val="20"/>
              </w:rPr>
              <w:t>。</w:t>
            </w:r>
          </w:p>
        </w:tc>
        <w:tc>
          <w:tcPr>
            <w:tcW w:w="4842" w:type="dxa"/>
            <w:vAlign w:val="center"/>
          </w:tcPr>
          <w:p w14:paraId="5C767109">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14:paraId="3310F255">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78982333">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52B1B0A0">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12E3AD3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04613469">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481ECDEE">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14:paraId="61189D04">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7.【法律】《中华人民共和国行政处罚法》第四十四条：行政处罚决定依法作出后，当事人应当在行政处罚决定的期限内，予以履行。</w:t>
            </w:r>
          </w:p>
          <w:p w14:paraId="04FED51C">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第五十一条：当事人逾期不履行行政处罚决定的，做出行政处罚决定的行政机关可以采取下列措施：</w:t>
            </w:r>
          </w:p>
          <w:p w14:paraId="7155A0D3">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（一）到期不缴纳罚款的，每日按罚款数额的百分之三加处罚款；</w:t>
            </w:r>
          </w:p>
          <w:p w14:paraId="5DD06C0A">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（二）根据法律规定，将查封、扣押的财物拍卖或者将冻结的存款划拨抵缴罚款；</w:t>
            </w:r>
          </w:p>
          <w:p w14:paraId="0DC74528">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（三）申请人民法院强制执行。</w:t>
            </w:r>
          </w:p>
        </w:tc>
        <w:tc>
          <w:tcPr>
            <w:tcW w:w="1489" w:type="dxa"/>
            <w:vAlign w:val="center"/>
          </w:tcPr>
          <w:p w14:paraId="70D6D640">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346DEA88">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1.没有法定的行政处罚依据的；</w:t>
            </w:r>
            <w:r>
              <w:rPr>
                <w:rFonts w:hint="eastAsia" w:eastAsia="仿宋_GB2312" w:cs="仿宋_GB2312"/>
                <w:snapToGrid w:val="0"/>
                <w:color w:val="000000"/>
                <w:sz w:val="20"/>
                <w:szCs w:val="20"/>
                <w:lang w:eastAsia="zh-CN"/>
              </w:rPr>
              <w:t>（局党组）</w:t>
            </w:r>
          </w:p>
          <w:p w14:paraId="020A21F2">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2.擅自改变行政处罚种类、幅度的；</w:t>
            </w:r>
            <w:r>
              <w:rPr>
                <w:rFonts w:hint="eastAsia" w:eastAsia="仿宋_GB2312" w:cs="仿宋_GB2312"/>
                <w:snapToGrid w:val="0"/>
                <w:color w:val="000000"/>
                <w:sz w:val="20"/>
                <w:szCs w:val="20"/>
                <w:lang w:eastAsia="zh-CN"/>
              </w:rPr>
              <w:t>（局党组）</w:t>
            </w:r>
          </w:p>
          <w:p w14:paraId="37C1AF3A">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3.违反法定的行政处罚程序的；</w:t>
            </w:r>
            <w:r>
              <w:rPr>
                <w:rFonts w:hint="eastAsia" w:eastAsia="仿宋_GB2312" w:cs="仿宋_GB2312"/>
                <w:snapToGrid w:val="0"/>
                <w:color w:val="000000"/>
                <w:sz w:val="20"/>
                <w:szCs w:val="20"/>
                <w:lang w:eastAsia="zh-CN"/>
              </w:rPr>
              <w:t>（局党组）</w:t>
            </w:r>
          </w:p>
          <w:p w14:paraId="68E99424">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4.不具备行政执法资格的人实施行政处罚的；</w:t>
            </w:r>
            <w:r>
              <w:rPr>
                <w:rFonts w:hint="eastAsia" w:eastAsia="仿宋_GB2312" w:cs="仿宋_GB2312"/>
                <w:snapToGrid w:val="0"/>
                <w:color w:val="000000"/>
                <w:sz w:val="20"/>
                <w:szCs w:val="20"/>
                <w:lang w:eastAsia="zh-CN"/>
              </w:rPr>
              <w:t>（局党组）</w:t>
            </w:r>
          </w:p>
          <w:p w14:paraId="564608EF">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5.在行政处罚过程中发生腐败行为的；</w:t>
            </w:r>
            <w:r>
              <w:rPr>
                <w:rFonts w:hint="eastAsia" w:eastAsia="仿宋_GB2312" w:cs="仿宋_GB2312"/>
                <w:snapToGrid w:val="0"/>
                <w:color w:val="000000"/>
                <w:sz w:val="20"/>
                <w:szCs w:val="20"/>
                <w:lang w:eastAsia="zh-CN"/>
              </w:rPr>
              <w:t>（局党组）</w:t>
            </w:r>
          </w:p>
          <w:p w14:paraId="7ED205CE">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6.因执法人员玩忽职守，没有正确行使行政处罚权，产生不良社会影响，使利害关系人的合法权益遭受损害的；</w:t>
            </w:r>
            <w:r>
              <w:rPr>
                <w:rFonts w:hint="eastAsia" w:eastAsia="仿宋_GB2312" w:cs="仿宋_GB2312"/>
                <w:snapToGrid w:val="0"/>
                <w:color w:val="000000"/>
                <w:sz w:val="20"/>
                <w:szCs w:val="20"/>
                <w:lang w:eastAsia="zh-CN"/>
              </w:rPr>
              <w:t>（局党组）</w:t>
            </w:r>
          </w:p>
          <w:p w14:paraId="75515C84">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7.除以上追责情形外，其他违反法律法规规章的行为依法追究相应责任（</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tc>
        <w:tc>
          <w:tcPr>
            <w:tcW w:w="5188" w:type="dxa"/>
            <w:vAlign w:val="center"/>
          </w:tcPr>
          <w:p w14:paraId="33984EFA">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309C5B61">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10C79ED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14:paraId="2DABDDF9">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p w14:paraId="14CA1417">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14:paraId="2543CF2B">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5F6CF01B">
            <w:pPr>
              <w:adjustRightInd w:val="0"/>
              <w:snapToGrid w:val="0"/>
              <w:spacing w:line="300" w:lineRule="exact"/>
              <w:jc w:val="center"/>
              <w:rPr>
                <w:rFonts w:ascii="方正书宋_GBK" w:hAnsi="宋体" w:eastAsia="方正书宋_GBK" w:cs="宋体"/>
                <w:kern w:val="0"/>
                <w:sz w:val="20"/>
                <w:szCs w:val="20"/>
              </w:rPr>
            </w:pPr>
          </w:p>
        </w:tc>
      </w:tr>
      <w:tr w14:paraId="7CF11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837" w:hRule="atLeast"/>
          <w:jc w:val="center"/>
        </w:trPr>
        <w:tc>
          <w:tcPr>
            <w:tcW w:w="406" w:type="dxa"/>
            <w:vAlign w:val="center"/>
          </w:tcPr>
          <w:p w14:paraId="57660E2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3</w:t>
            </w:r>
          </w:p>
        </w:tc>
        <w:tc>
          <w:tcPr>
            <w:tcW w:w="308" w:type="dxa"/>
            <w:vAlign w:val="center"/>
          </w:tcPr>
          <w:p w14:paraId="181AF115">
            <w:pPr>
              <w:widowControl/>
              <w:adjustRightInd w:val="0"/>
              <w:snapToGrid w:val="0"/>
              <w:spacing w:line="252"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行政处罚</w:t>
            </w:r>
          </w:p>
        </w:tc>
        <w:tc>
          <w:tcPr>
            <w:tcW w:w="504" w:type="dxa"/>
            <w:vAlign w:val="center"/>
          </w:tcPr>
          <w:p w14:paraId="08CCA61E">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对法律援助人员无正当理由拒绝、拖延或者终止实施法律援助、收取受援人财物、泄露当事人的商业秘密或者个人隐私行为的处罚</w:t>
            </w:r>
          </w:p>
        </w:tc>
        <w:tc>
          <w:tcPr>
            <w:tcW w:w="546" w:type="dxa"/>
            <w:vAlign w:val="center"/>
          </w:tcPr>
          <w:p w14:paraId="317BB077">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4E0F047E">
            <w:pPr>
              <w:widowControl/>
              <w:adjustRightInd w:val="0"/>
              <w:snapToGrid w:val="0"/>
              <w:spacing w:line="252" w:lineRule="exact"/>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县司法局</w:t>
            </w:r>
          </w:p>
        </w:tc>
        <w:tc>
          <w:tcPr>
            <w:tcW w:w="1008" w:type="dxa"/>
            <w:vAlign w:val="center"/>
          </w:tcPr>
          <w:p w14:paraId="0CAB4EA9">
            <w:pPr>
              <w:widowControl/>
              <w:adjustRightInd w:val="0"/>
              <w:snapToGrid w:val="0"/>
              <w:spacing w:line="252" w:lineRule="exact"/>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lang w:val="en-US" w:eastAsia="zh-CN"/>
              </w:rPr>
              <w:t>公共法律服务管理股</w:t>
            </w:r>
          </w:p>
        </w:tc>
        <w:tc>
          <w:tcPr>
            <w:tcW w:w="3199" w:type="dxa"/>
            <w:vAlign w:val="center"/>
          </w:tcPr>
          <w:p w14:paraId="33B0C237">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行政法规】《法律援助条例》（2003年国务院令第385号）第二十七条：律师事务所拒绝法律援助机构的指派，不安排本所律师办理法律援助案件的，由司法行政部门给予警告、责令改正；情节严重的，给予1个月以上3个月以下停业整顿的处罚。</w:t>
            </w:r>
          </w:p>
          <w:p w14:paraId="1E033C17">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第二十八条：律师有下列情形之一的，由司法行政部门给予警告、责令改正；情节严重的，给予1个月以上3个月以下停止执业的处罚：</w:t>
            </w:r>
          </w:p>
          <w:p w14:paraId="1719C22C">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（一）无正当理由拒绝接受、擅自终止法律援助案件的；</w:t>
            </w:r>
          </w:p>
          <w:p w14:paraId="1A9B7B05">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（二）办理法律援助案件收取财物的。</w:t>
            </w:r>
          </w:p>
          <w:p w14:paraId="27D94E05">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有前款第（二）项违法行为的，由司法行政部门责令退还违法所得的财物，可以并处所收财物价值1倍以上3倍以下的罚款。</w:t>
            </w:r>
          </w:p>
          <w:p w14:paraId="10420430">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性法规】《广西壮族自治区法律援助条例》（2002年自治区人民代表大会常务委员会公告九届第65号发布，2010年自治区人民代表大会常务委员会公告十一届25号修订）第二十九条：律师事务所、基层法律服务机构违反本条例第二十条的规定无正当理由拒绝法律援助机构的指派，不安排律师或者基层法律服务工作者提供法律援助的，由司法行政部门责令限期改正；逾期不改正的，给予停业整顿一个月以上三个月以下的处罚。</w:t>
            </w:r>
          </w:p>
          <w:p w14:paraId="524C7F5C">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第三十条：法律援助人员违反本条例第二十一条第二款规定的，按照下列规定予以处罚：（一）法律援助人员无正当理由拒绝、拖延或者终止实施法律援助的，由司法行政部门责令改正，情节严重的，给予停止执业一个月以上三个月以下的处罚。（二）法律援助人员收取受援人财物的，由司法行政部门责令退还违法所得的财物，可以并处所收财物价值一倍以上三倍以下的罚款，情节严重的，给予停止执业一个月以上三个月以下的处罚。（三）法律援助人员泄露当事人的商业秘密或者个人隐私的，由司法行政部门给予警告，可以处一万元以下的罚款，有违法所得的，没收违法所得，情节严重的，给予停止执业三个月以上六个月以下的处罚。</w:t>
            </w:r>
          </w:p>
        </w:tc>
        <w:tc>
          <w:tcPr>
            <w:tcW w:w="2177" w:type="dxa"/>
            <w:vAlign w:val="center"/>
          </w:tcPr>
          <w:p w14:paraId="22765F80">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：对涉嫌违法行为的信息来源进行审查、记录，属本部门受理的进行审核，决定是否立案调查。</w:t>
            </w:r>
          </w:p>
          <w:p w14:paraId="6B55E090">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14:paraId="4545C1AC">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：审理案件调查报告，对案件违法事实、证据、调查取证程序、法律适用、处罚种类和幅度、当事人陈述和申辩理由等方面进行审查，提出处理意见（主要证据不足时，以适当的方式补充调查），提出处理意见。</w:t>
            </w:r>
          </w:p>
          <w:p w14:paraId="4FB856F8">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：行政处罚决定前，应制作《行政处罚告知书》送达当事人，告知其违法事实和享有的陈述申辩、听证等权利。符合听证规定的，制作并送达《行政处罚听证告知书》。</w:t>
            </w:r>
          </w:p>
          <w:p w14:paraId="04531097">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：制作行政处罚决定书，载明行政处罚告知、当事人陈述申辩或者听证情况等内容。</w:t>
            </w:r>
          </w:p>
          <w:p w14:paraId="7B961259">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：行政处罚决定书按法律规定的方式送达当事人。</w:t>
            </w:r>
          </w:p>
          <w:p w14:paraId="76C7EDD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：依照生效的行政处罚责任，监督当事人履行，当事人不履行的申请法院强制执行，构成犯罪的移交司法机关。</w:t>
            </w:r>
          </w:p>
          <w:p w14:paraId="2DF6FE67">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8.其他法律法规规章文件规定应履行的责任</w:t>
            </w:r>
            <w:r>
              <w:rPr>
                <w:rFonts w:hint="eastAsia" w:eastAsia="仿宋_GB2312" w:cs="仿宋_GB2312"/>
                <w:snapToGrid w:val="0"/>
                <w:color w:val="000000"/>
                <w:sz w:val="20"/>
                <w:szCs w:val="20"/>
                <w:lang w:eastAsia="zh-CN"/>
              </w:rPr>
              <w:t>（有关股室）</w:t>
            </w:r>
            <w:r>
              <w:rPr>
                <w:rFonts w:hint="eastAsia" w:eastAsia="仿宋_GB2312" w:cs="仿宋_GB2312"/>
                <w:snapToGrid w:val="0"/>
                <w:color w:val="000000"/>
                <w:sz w:val="20"/>
                <w:szCs w:val="20"/>
              </w:rPr>
              <w:t>。</w:t>
            </w:r>
          </w:p>
        </w:tc>
        <w:tc>
          <w:tcPr>
            <w:tcW w:w="4842" w:type="dxa"/>
            <w:vAlign w:val="center"/>
          </w:tcPr>
          <w:p w14:paraId="3DD98324">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14:paraId="3B52867C">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4D2AC3FB">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36EE2CE2">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70EB5B5B">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72EC3DB8">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5.【法律】《中华人民共和国行政处罚法》第三十九条：行政机关依照本法第三十八</w:t>
            </w:r>
            <w:r>
              <w:rPr>
                <w:rFonts w:hint="eastAsia" w:eastAsia="仿宋_GB2312" w:cs="仿宋_GB2312"/>
                <w:snapToGrid w:val="0"/>
                <w:color w:val="000000"/>
                <w:spacing w:val="-4"/>
                <w:sz w:val="20"/>
                <w:szCs w:val="20"/>
              </w:rPr>
              <w:t>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7E9F5017">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14:paraId="3CDECA58">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7.【法律】《中华人民共和国行政处罚法》第四十四条：行政处罚决定依法作出后，当事人应当在行政处罚决定的期限内，予以履行。</w:t>
            </w:r>
          </w:p>
          <w:p w14:paraId="25653041">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第五十一条：当事人逾期不履行行政处罚决定的，做出行政处罚决定的行政机关可以采取下列措施：（一）到期不缴纳罚款的，每日按罚款数额的百分之三加处罚款；（二）根据法律规定，将查封、扣押的财物拍卖或者将冻结的存款划拨抵缴罚款；（三）申请人民法院强制执行。</w:t>
            </w:r>
          </w:p>
        </w:tc>
        <w:tc>
          <w:tcPr>
            <w:tcW w:w="1489" w:type="dxa"/>
            <w:vAlign w:val="center"/>
          </w:tcPr>
          <w:p w14:paraId="0B7DEC2F">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5774F2E6">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1.没有法定的行政处罚依据的；</w:t>
            </w:r>
            <w:r>
              <w:rPr>
                <w:rFonts w:hint="eastAsia" w:eastAsia="仿宋_GB2312" w:cs="仿宋_GB2312"/>
                <w:snapToGrid w:val="0"/>
                <w:color w:val="000000"/>
                <w:sz w:val="20"/>
                <w:szCs w:val="20"/>
                <w:lang w:eastAsia="zh-CN"/>
              </w:rPr>
              <w:t>（局党组）</w:t>
            </w:r>
          </w:p>
          <w:p w14:paraId="30B3D122">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2.擅自改变行政处罚种类、幅度的；</w:t>
            </w:r>
            <w:r>
              <w:rPr>
                <w:rFonts w:hint="eastAsia" w:eastAsia="仿宋_GB2312" w:cs="仿宋_GB2312"/>
                <w:snapToGrid w:val="0"/>
                <w:color w:val="000000"/>
                <w:sz w:val="20"/>
                <w:szCs w:val="20"/>
                <w:lang w:eastAsia="zh-CN"/>
              </w:rPr>
              <w:t>（局党组）</w:t>
            </w:r>
          </w:p>
          <w:p w14:paraId="3115C543">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3.违反法定的行政处罚程序的；</w:t>
            </w:r>
            <w:r>
              <w:rPr>
                <w:rFonts w:hint="eastAsia" w:eastAsia="仿宋_GB2312" w:cs="仿宋_GB2312"/>
                <w:snapToGrid w:val="0"/>
                <w:color w:val="000000"/>
                <w:sz w:val="20"/>
                <w:szCs w:val="20"/>
                <w:lang w:eastAsia="zh-CN"/>
              </w:rPr>
              <w:t>（局党组）</w:t>
            </w:r>
          </w:p>
          <w:p w14:paraId="0E4E5326">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4.不具备行政执法资格的人实施行政处罚的；</w:t>
            </w:r>
            <w:r>
              <w:rPr>
                <w:rFonts w:hint="eastAsia" w:eastAsia="仿宋_GB2312" w:cs="仿宋_GB2312"/>
                <w:snapToGrid w:val="0"/>
                <w:color w:val="000000"/>
                <w:sz w:val="20"/>
                <w:szCs w:val="20"/>
                <w:lang w:eastAsia="zh-CN"/>
              </w:rPr>
              <w:t>（局党组）</w:t>
            </w:r>
          </w:p>
          <w:p w14:paraId="220EFE4D">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5.在行政处罚过程中发生腐败行为的；</w:t>
            </w:r>
            <w:r>
              <w:rPr>
                <w:rFonts w:hint="eastAsia" w:eastAsia="仿宋_GB2312" w:cs="仿宋_GB2312"/>
                <w:snapToGrid w:val="0"/>
                <w:color w:val="000000"/>
                <w:sz w:val="20"/>
                <w:szCs w:val="20"/>
                <w:lang w:eastAsia="zh-CN"/>
              </w:rPr>
              <w:t>（局党组）</w:t>
            </w:r>
          </w:p>
          <w:p w14:paraId="5FA62B06">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6.因执法人员玩忽职守，没有正确行使行政处罚权，产生不良社会影响，使利害关系人的合法权益遭受损害的；</w:t>
            </w:r>
            <w:r>
              <w:rPr>
                <w:rFonts w:hint="eastAsia" w:eastAsia="仿宋_GB2312" w:cs="仿宋_GB2312"/>
                <w:snapToGrid w:val="0"/>
                <w:color w:val="000000"/>
                <w:sz w:val="20"/>
                <w:szCs w:val="20"/>
                <w:lang w:eastAsia="zh-CN"/>
              </w:rPr>
              <w:t>（局党组）</w:t>
            </w:r>
          </w:p>
          <w:p w14:paraId="5ED24DD1">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7.除以上追责情形外，其他违反法律法规规章的行为依法追究相应责任（</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tc>
        <w:tc>
          <w:tcPr>
            <w:tcW w:w="5188" w:type="dxa"/>
            <w:vAlign w:val="center"/>
          </w:tcPr>
          <w:p w14:paraId="4D130FA8">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38C8F1AA">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493BFEA9">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14:paraId="72D8BC38">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p w14:paraId="42AAAA97">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14:paraId="5E573E49">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0435B062">
            <w:pPr>
              <w:adjustRightInd w:val="0"/>
              <w:snapToGrid w:val="0"/>
              <w:spacing w:line="300" w:lineRule="exact"/>
              <w:jc w:val="center"/>
              <w:rPr>
                <w:rFonts w:ascii="方正书宋_GBK" w:hAnsi="宋体" w:eastAsia="方正书宋_GBK" w:cs="宋体"/>
                <w:kern w:val="0"/>
                <w:sz w:val="20"/>
                <w:szCs w:val="20"/>
              </w:rPr>
            </w:pPr>
          </w:p>
        </w:tc>
      </w:tr>
      <w:tr w14:paraId="2C3E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5A8D0CE">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4</w:t>
            </w:r>
          </w:p>
        </w:tc>
        <w:tc>
          <w:tcPr>
            <w:tcW w:w="308" w:type="dxa"/>
            <w:vAlign w:val="center"/>
          </w:tcPr>
          <w:p w14:paraId="1F55D812">
            <w:pPr>
              <w:widowControl/>
              <w:adjustRightInd w:val="0"/>
              <w:snapToGrid w:val="0"/>
              <w:spacing w:line="300"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行政处罚</w:t>
            </w:r>
          </w:p>
        </w:tc>
        <w:tc>
          <w:tcPr>
            <w:tcW w:w="504" w:type="dxa"/>
            <w:vAlign w:val="center"/>
          </w:tcPr>
          <w:p w14:paraId="39AAAA27">
            <w:pPr>
              <w:widowControl/>
              <w:adjustRightInd w:val="0"/>
              <w:snapToGrid w:val="0"/>
              <w:spacing w:line="300"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对基层法律服务所违法违规行为的行政处罚</w:t>
            </w:r>
          </w:p>
        </w:tc>
        <w:tc>
          <w:tcPr>
            <w:tcW w:w="546" w:type="dxa"/>
            <w:vAlign w:val="center"/>
          </w:tcPr>
          <w:p w14:paraId="02A625C6">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38AEBA0B">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县司法局</w:t>
            </w:r>
          </w:p>
        </w:tc>
        <w:tc>
          <w:tcPr>
            <w:tcW w:w="1008" w:type="dxa"/>
            <w:vAlign w:val="center"/>
          </w:tcPr>
          <w:p w14:paraId="4DAB82B2">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公共法律服务管理股</w:t>
            </w:r>
          </w:p>
        </w:tc>
        <w:tc>
          <w:tcPr>
            <w:tcW w:w="3199" w:type="dxa"/>
            <w:vAlign w:val="center"/>
          </w:tcPr>
          <w:p w14:paraId="178956E5">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部门规章】《基层法律服务所管理办法》（2000年司法部令第59号发布，2017年司法部令第137号修订）第三十六条：基层法律服务所有下列行为之一的，由所在地县级司法行政机关或者直辖市的区（县）司法行政机关予以警告；有违法所得的，依照法律、法规的规定没收违法所得，并由设区的市级或者直辖市的区（县）司法行政机关处以违法所得三倍以下的罚款，罚款数额最高为三万元：</w:t>
            </w:r>
          </w:p>
          <w:p w14:paraId="0D19E891">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（一）超越业务范围和诉讼代理执业区域的；</w:t>
            </w:r>
          </w:p>
          <w:p w14:paraId="233F162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（二）违反规定不以基层法律服务所名义统一接受委托、统一收取服务费，不向委托人出具有效收费凭证的；</w:t>
            </w:r>
          </w:p>
          <w:p w14:paraId="440EA388">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（三）冒用律师事务所名义执业的；</w:t>
            </w:r>
          </w:p>
          <w:p w14:paraId="6F619FC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（四）以贬损他人、抬高自己、虚假承诺或者支付介绍费等不正当手段争揽业务的；</w:t>
            </w:r>
          </w:p>
          <w:p w14:paraId="66AA43A3">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（五）伪造、涂改、抵押、出租、出借本所执业证的；</w:t>
            </w:r>
          </w:p>
          <w:p w14:paraId="5F87FA9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（六）违反规定变更本所名称、法定代表人或者负责人、合伙人、住所和章程的；</w:t>
            </w:r>
          </w:p>
          <w:p w14:paraId="159307B5">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（七）不按规定接受年度考核</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在年度考核中弄虚作假的；</w:t>
            </w:r>
          </w:p>
          <w:p w14:paraId="72AD2C60">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（八）违反财务管理规定，私分、挪用或者以其他方式非法处置本所资产的；</w:t>
            </w:r>
          </w:p>
          <w:p w14:paraId="5259DBE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（九）聘用未获准基层法律服务工作者执业的人员以基层法律服务工作者名义承办业务的；</w:t>
            </w:r>
          </w:p>
          <w:p w14:paraId="183266C3">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（十）放纵、包庇本所基层法律服务工作者的违法违纪行为的；</w:t>
            </w:r>
          </w:p>
          <w:p w14:paraId="42656EE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（十一）内部管理混乱，无法正常开展业务的；</w:t>
            </w:r>
          </w:p>
          <w:p w14:paraId="478E323D">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（十二）法律、法规、规章规定应予处罚的其他行为。</w:t>
            </w:r>
          </w:p>
        </w:tc>
        <w:tc>
          <w:tcPr>
            <w:tcW w:w="2177" w:type="dxa"/>
            <w:vAlign w:val="center"/>
          </w:tcPr>
          <w:p w14:paraId="24699AC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：对涉嫌违法行为的信息来源进行审查、记录，属本部门受理的进行审核，决定是否立案调查。</w:t>
            </w:r>
          </w:p>
          <w:p w14:paraId="3935479A">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14:paraId="3AA7935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：审理案件调查报告，对案件违法事实、证据、调查取证程序、法律适用、处罚种类和幅度、当事人陈述和申辩理由等方面进行审查，提出处理意见（主要证据不足时，以适当的方式补充调查），提出处理意见。</w:t>
            </w:r>
          </w:p>
          <w:p w14:paraId="1E7272B5">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：行政处罚决定前，应制作《行政处罚告知书》送达当事人，告知其违法事实和享有的陈述申辩、听证等权利。符合听证规定的，制作并送达《行政处罚听证告知书》。</w:t>
            </w:r>
          </w:p>
          <w:p w14:paraId="1FF2E589">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：制作行政处罚决定书，载明行政处罚告知、当事人陈述申辩或者听证情况等内容。</w:t>
            </w:r>
          </w:p>
          <w:p w14:paraId="44501EB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：行政处罚决定书按法律规定的方式送达当事人。</w:t>
            </w:r>
          </w:p>
          <w:p w14:paraId="1C53D19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：依照生效的行政处罚责任，监督当事人履行，当事人不履行的申请法院强制执行，构成犯罪的移交司法机关。</w:t>
            </w:r>
          </w:p>
          <w:p w14:paraId="5FFF2D45">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8.其他法律法规规章文件规定应履行的责任</w:t>
            </w:r>
            <w:r>
              <w:rPr>
                <w:rFonts w:hint="eastAsia" w:eastAsia="仿宋_GB2312" w:cs="仿宋_GB2312"/>
                <w:snapToGrid w:val="0"/>
                <w:color w:val="000000"/>
                <w:sz w:val="20"/>
                <w:szCs w:val="20"/>
                <w:lang w:eastAsia="zh-CN"/>
              </w:rPr>
              <w:t>（相关股室）</w:t>
            </w:r>
            <w:r>
              <w:rPr>
                <w:rFonts w:hint="eastAsia" w:eastAsia="仿宋_GB2312" w:cs="仿宋_GB2312"/>
                <w:snapToGrid w:val="0"/>
                <w:color w:val="000000"/>
                <w:sz w:val="20"/>
                <w:szCs w:val="20"/>
              </w:rPr>
              <w:t>。</w:t>
            </w:r>
          </w:p>
        </w:tc>
        <w:tc>
          <w:tcPr>
            <w:tcW w:w="4842" w:type="dxa"/>
            <w:vAlign w:val="center"/>
          </w:tcPr>
          <w:p w14:paraId="3B42FC93">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14:paraId="0FCE7CE3">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7D7B4A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1684074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4C7A3371">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6F415D82">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1C40B52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14:paraId="398A23CC">
            <w:pPr>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7.【法律】《中华人民共和国行政处罚法》第四十四条：行政处罚决定依法作出后，当事人应当在行政处罚决定的期限内，予以履行。</w:t>
            </w:r>
          </w:p>
        </w:tc>
        <w:tc>
          <w:tcPr>
            <w:tcW w:w="1489" w:type="dxa"/>
            <w:vAlign w:val="center"/>
          </w:tcPr>
          <w:p w14:paraId="286000DA">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19E31A24">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1.没有法定的行政处罚依据的；</w:t>
            </w:r>
            <w:r>
              <w:rPr>
                <w:rFonts w:hint="eastAsia" w:eastAsia="仿宋_GB2312" w:cs="仿宋_GB2312"/>
                <w:snapToGrid w:val="0"/>
                <w:color w:val="000000"/>
                <w:sz w:val="20"/>
                <w:szCs w:val="20"/>
                <w:lang w:eastAsia="zh-CN"/>
              </w:rPr>
              <w:t>（局党组）</w:t>
            </w:r>
          </w:p>
          <w:p w14:paraId="042CEF00">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2.擅自改变行政处罚种类、幅度的；</w:t>
            </w:r>
            <w:r>
              <w:rPr>
                <w:rFonts w:hint="eastAsia" w:eastAsia="仿宋_GB2312" w:cs="仿宋_GB2312"/>
                <w:snapToGrid w:val="0"/>
                <w:color w:val="000000"/>
                <w:sz w:val="20"/>
                <w:szCs w:val="20"/>
                <w:lang w:eastAsia="zh-CN"/>
              </w:rPr>
              <w:t>（局党组）</w:t>
            </w:r>
          </w:p>
          <w:p w14:paraId="34F11857">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3.违反法定的行政处罚程序的；</w:t>
            </w:r>
            <w:r>
              <w:rPr>
                <w:rFonts w:hint="eastAsia" w:eastAsia="仿宋_GB2312" w:cs="仿宋_GB2312"/>
                <w:snapToGrid w:val="0"/>
                <w:color w:val="000000"/>
                <w:sz w:val="20"/>
                <w:szCs w:val="20"/>
                <w:lang w:eastAsia="zh-CN"/>
              </w:rPr>
              <w:t>（局党组）</w:t>
            </w:r>
          </w:p>
          <w:p w14:paraId="2C9DFD98">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4.不具备行政执法资格的人实施行政处罚的；</w:t>
            </w:r>
            <w:r>
              <w:rPr>
                <w:rFonts w:hint="eastAsia" w:eastAsia="仿宋_GB2312" w:cs="仿宋_GB2312"/>
                <w:snapToGrid w:val="0"/>
                <w:color w:val="000000"/>
                <w:sz w:val="20"/>
                <w:szCs w:val="20"/>
                <w:lang w:eastAsia="zh-CN"/>
              </w:rPr>
              <w:t>（局党组）</w:t>
            </w:r>
          </w:p>
          <w:p w14:paraId="1CCDEB6E">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5.在行政处罚过程中发生腐败行为的；</w:t>
            </w:r>
            <w:r>
              <w:rPr>
                <w:rFonts w:hint="eastAsia" w:eastAsia="仿宋_GB2312" w:cs="仿宋_GB2312"/>
                <w:snapToGrid w:val="0"/>
                <w:color w:val="000000"/>
                <w:sz w:val="20"/>
                <w:szCs w:val="20"/>
                <w:lang w:eastAsia="zh-CN"/>
              </w:rPr>
              <w:t>（局党组）</w:t>
            </w:r>
          </w:p>
          <w:p w14:paraId="77561EBB">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6.因执法人员玩忽职守，没有正确行使行政处罚权，产生不良社会影响，使利害关系人的合法权益遭受损害的；</w:t>
            </w:r>
            <w:r>
              <w:rPr>
                <w:rFonts w:hint="eastAsia" w:eastAsia="仿宋_GB2312" w:cs="仿宋_GB2312"/>
                <w:snapToGrid w:val="0"/>
                <w:color w:val="000000"/>
                <w:sz w:val="20"/>
                <w:szCs w:val="20"/>
                <w:lang w:eastAsia="zh-CN"/>
              </w:rPr>
              <w:t>（局党组）</w:t>
            </w:r>
          </w:p>
          <w:p w14:paraId="55C94A53">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7.除以上追责情形外，其他违反法律法规规章的行为依法追究相应责任（</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tc>
        <w:tc>
          <w:tcPr>
            <w:tcW w:w="5188" w:type="dxa"/>
            <w:vAlign w:val="center"/>
          </w:tcPr>
          <w:p w14:paraId="32C6FDB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180E7E29">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13485C4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14:paraId="42F7A44A">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p w14:paraId="395AA65B">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14:paraId="720606A5">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501A776B">
            <w:pPr>
              <w:adjustRightInd w:val="0"/>
              <w:snapToGrid w:val="0"/>
              <w:spacing w:line="300" w:lineRule="exact"/>
              <w:jc w:val="center"/>
              <w:rPr>
                <w:rFonts w:ascii="方正书宋_GBK" w:hAnsi="宋体" w:eastAsia="方正书宋_GBK" w:cs="宋体"/>
                <w:kern w:val="0"/>
                <w:sz w:val="20"/>
                <w:szCs w:val="20"/>
              </w:rPr>
            </w:pPr>
          </w:p>
        </w:tc>
      </w:tr>
      <w:tr w14:paraId="15EF3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553F6827">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5</w:t>
            </w:r>
          </w:p>
        </w:tc>
        <w:tc>
          <w:tcPr>
            <w:tcW w:w="308" w:type="dxa"/>
            <w:vAlign w:val="center"/>
          </w:tcPr>
          <w:p w14:paraId="7C370E00">
            <w:pPr>
              <w:widowControl/>
              <w:adjustRightInd w:val="0"/>
              <w:snapToGrid w:val="0"/>
              <w:spacing w:line="280"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行政处罚</w:t>
            </w:r>
          </w:p>
        </w:tc>
        <w:tc>
          <w:tcPr>
            <w:tcW w:w="504" w:type="dxa"/>
            <w:vAlign w:val="center"/>
          </w:tcPr>
          <w:p w14:paraId="31E13AFC">
            <w:pPr>
              <w:widowControl/>
              <w:adjustRightInd w:val="0"/>
              <w:snapToGrid w:val="0"/>
              <w:spacing w:line="280"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对基层法律服务工作者违法违规行为的行政处罚</w:t>
            </w:r>
          </w:p>
        </w:tc>
        <w:tc>
          <w:tcPr>
            <w:tcW w:w="546" w:type="dxa"/>
            <w:vAlign w:val="center"/>
          </w:tcPr>
          <w:p w14:paraId="649D3DB6">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647BC4D7">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县司法局</w:t>
            </w:r>
          </w:p>
        </w:tc>
        <w:tc>
          <w:tcPr>
            <w:tcW w:w="1008" w:type="dxa"/>
            <w:vAlign w:val="center"/>
          </w:tcPr>
          <w:p w14:paraId="6708A243">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公共法律服务管理股</w:t>
            </w:r>
          </w:p>
        </w:tc>
        <w:tc>
          <w:tcPr>
            <w:tcW w:w="3199" w:type="dxa"/>
            <w:vAlign w:val="center"/>
          </w:tcPr>
          <w:p w14:paraId="599BA7C0">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部门规章】《基层法律服务工作者管理办法》（2000年司法部令第60号发布，2017年司法部令第138号修订）第四十六条：基层法律服务工作者有下列行为之一的，由所在地县级司法行政机关或者直辖市的区（县）司法行政机关予以警告；有违法所得的，依照法律、法规的规定没收违法所得，并由设区的市级或者直辖市的区（县）司法行政机关处以违法所得三倍以下的罚款，罚款数额最高为三万元：</w:t>
            </w:r>
          </w:p>
          <w:p w14:paraId="1760961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（一）超越业务范围和诉讼代理执业区域的；</w:t>
            </w:r>
          </w:p>
          <w:p w14:paraId="62D6A97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（二）以贬损他人、抬高自己、虚假承诺或者支付介绍费等不正当手段争揽业务的；</w:t>
            </w:r>
          </w:p>
          <w:p w14:paraId="57292769">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（三）曾担任法官的基层法律服务工作者，担任原任职法院办理案件的诉讼代理人的；</w:t>
            </w:r>
          </w:p>
          <w:p w14:paraId="33A466DD">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（四）冒用律师名义执业的；</w:t>
            </w:r>
          </w:p>
          <w:p w14:paraId="2931C785">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（五）同时在基层法律服务所和律师事务所或者公证机构执业</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同时在两个以上基层法律服务所执业的；</w:t>
            </w:r>
          </w:p>
          <w:p w14:paraId="09FE851D">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（六）无正当理由拒绝履行法律援助义务的；</w:t>
            </w:r>
          </w:p>
          <w:p w14:paraId="5F83EB80">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（七）明知委托人的要求是非法的、欺诈性的，仍为其提供帮助的；</w:t>
            </w:r>
          </w:p>
          <w:p w14:paraId="3F56171B">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（八）在代理活动中超越代理权限或者滥用代理权，侵犯被代理人合法利益的；</w:t>
            </w:r>
          </w:p>
          <w:p w14:paraId="7152CADB">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（九）在同一诉讼、仲裁、行政裁决中，为双方当事人或者有利害关系的第三人代理的；</w:t>
            </w:r>
          </w:p>
          <w:p w14:paraId="083C014A">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（十）不遵守与当事人订立的委托合同，拒绝或者疏怠履行法律服务义务，损害委托人合法权益的；</w:t>
            </w:r>
          </w:p>
          <w:p w14:paraId="63016254">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（十一）在调解、代理、法律顾问等执业活动中压制、侮辱、报复当事人，造成恶劣影响的；</w:t>
            </w:r>
          </w:p>
          <w:p w14:paraId="1A27E12B">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（十二）不按规定接受年度考核</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在年度考核中弄虚作假的；</w:t>
            </w:r>
          </w:p>
          <w:p w14:paraId="2431DF1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（十三）泄露在执业活动中知悉的商业秘密或者个人隐私的；</w:t>
            </w:r>
          </w:p>
          <w:p w14:paraId="01F8BA1E">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（十四）以影响案件审判、仲裁或者行政裁定结果为目的，违反规定会见有关司法、仲裁或者行政执法人员</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向其请客送礼的；</w:t>
            </w:r>
          </w:p>
          <w:p w14:paraId="3E09C6CA">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（十五）私自接受委托承办法律事务</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私自收取费用</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向委托人索要额外报酬的；</w:t>
            </w:r>
          </w:p>
          <w:p w14:paraId="4C7B33E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（十六）在代理活动中收受对方当事人、利害关系人财物或者与其恶意串通，损害委托人合法权益的；</w:t>
            </w:r>
          </w:p>
          <w:p w14:paraId="516F413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（十七）违反司法、仲裁、行政执法工作有关制度规定，干扰或者阻碍司法、仲裁、行政执法工作正常进行的；</w:t>
            </w:r>
          </w:p>
          <w:p w14:paraId="3CCA1E2C">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（十八）泄露在执业活动中知悉的国家秘密的；</w:t>
            </w:r>
          </w:p>
          <w:p w14:paraId="4339A76F">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（十九）伪造、隐匿、毁灭证据或者故意协助委托人伪造、隐匿、毁灭证据的；</w:t>
            </w:r>
          </w:p>
          <w:p w14:paraId="05FE60DE">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（二十）向有关司法人员、仲裁员或者行政执法人员行贿、介绍贿赂</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指使、诱导委托人向其行贿的；</w:t>
            </w:r>
          </w:p>
          <w:p w14:paraId="501B577B">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（二十一）法律、法规、规章规定应予处罚的其他行为。</w:t>
            </w:r>
          </w:p>
          <w:p w14:paraId="5434C028">
            <w:pPr>
              <w:widowControl/>
              <w:adjustRightInd w:val="0"/>
              <w:snapToGrid w:val="0"/>
              <w:spacing w:line="28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司法行政机关对基层法律服务工作者实施上述行政处罚的同时，应当责令其改正。</w:t>
            </w:r>
          </w:p>
        </w:tc>
        <w:tc>
          <w:tcPr>
            <w:tcW w:w="2177" w:type="dxa"/>
            <w:vAlign w:val="center"/>
          </w:tcPr>
          <w:p w14:paraId="2C4E7A7E">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1.立案责任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：对涉嫌违法行为的信息来源进行审查、记录，属本部门受理的进行审核，决定是否立案调查。</w:t>
            </w:r>
          </w:p>
          <w:p w14:paraId="55D16809">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2.调查责任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立案的案件，指定专人负责，及时组织调查取证，与当事人有直接利害关系的回避。执法人员不得少于两人，调查时应出示执法证件，允许当事人辩解陈述，执法人员应保守有关秘密，客观公正的进行取证，并做好记录。</w:t>
            </w:r>
          </w:p>
          <w:p w14:paraId="4986BDAF">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：审理案件调查报告，对案件违法事实、证据、调查取证程序、法律适用、处罚种类和幅度、当事人陈述和申辩理由等方面进行审查，提出处理意见（主要证据不足时，以适当的方式补充调查），提出处理意见。</w:t>
            </w:r>
          </w:p>
          <w:p w14:paraId="7D87A70B">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：行政处罚决定前，应制作《行政处罚告知书》送达当事人，告知其违法事实和享有的陈述申辩、听证等权利。符合听证规定的，制作并送达《行政处罚听证告知书》。</w:t>
            </w:r>
          </w:p>
          <w:p w14:paraId="509BAD0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5.决定责任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：制作行政处罚决定书，载明行政处罚告知、当事人陈述申辩或者听证情况等内容。</w:t>
            </w:r>
          </w:p>
          <w:p w14:paraId="6EB728C8">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6.送达责任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：行政处罚决定书按法律规定的方式送达当事人。</w:t>
            </w:r>
          </w:p>
          <w:p w14:paraId="6A0F1402">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7.执行责任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：依照生效的行政处罚责任，监督当事人履行，当事人不履行的申请法院强制执行，构成犯罪的移交司法机关。</w:t>
            </w:r>
          </w:p>
          <w:p w14:paraId="64CB9194">
            <w:pPr>
              <w:widowControl/>
              <w:adjustRightInd w:val="0"/>
              <w:snapToGrid w:val="0"/>
              <w:spacing w:line="28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8.其他法律法规规章文件规定应履行的责任</w:t>
            </w:r>
            <w:r>
              <w:rPr>
                <w:rFonts w:hint="eastAsia" w:eastAsia="仿宋_GB2312" w:cs="仿宋_GB2312"/>
                <w:snapToGrid w:val="0"/>
                <w:color w:val="000000"/>
                <w:sz w:val="20"/>
                <w:szCs w:val="20"/>
                <w:lang w:eastAsia="zh-CN"/>
              </w:rPr>
              <w:t>（相关股室）</w:t>
            </w:r>
            <w:r>
              <w:rPr>
                <w:rFonts w:hint="eastAsia" w:eastAsia="仿宋_GB2312" w:cs="仿宋_GB2312"/>
                <w:snapToGrid w:val="0"/>
                <w:color w:val="000000"/>
                <w:sz w:val="20"/>
                <w:szCs w:val="20"/>
              </w:rPr>
              <w:t>。</w:t>
            </w:r>
          </w:p>
        </w:tc>
        <w:tc>
          <w:tcPr>
            <w:tcW w:w="4842" w:type="dxa"/>
            <w:vAlign w:val="center"/>
          </w:tcPr>
          <w:p w14:paraId="06A27A2E">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14:paraId="5A579156">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14:paraId="52C2A292">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14:paraId="4ED0C1E0">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14:paraId="53DBD148">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14:paraId="054EADC7">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14:paraId="79C941C5">
            <w:pPr>
              <w:widowControl/>
              <w:adjustRightInd w:val="0"/>
              <w:snapToGrid w:val="0"/>
              <w:spacing w:line="28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14:paraId="1255FA1C">
            <w:pPr>
              <w:widowControl/>
              <w:adjustRightInd w:val="0"/>
              <w:snapToGrid w:val="0"/>
              <w:spacing w:line="28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7.【法律】《中华人民共和国行政处罚法》第四十四条：行政处罚决定依法作出后，当事人应当在行政处罚决定的期限内，予以履行。</w:t>
            </w:r>
          </w:p>
        </w:tc>
        <w:tc>
          <w:tcPr>
            <w:tcW w:w="1489" w:type="dxa"/>
            <w:vAlign w:val="center"/>
          </w:tcPr>
          <w:p w14:paraId="4F7A0DE5">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48584537">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1.没有法定的行政处罚依据的；</w:t>
            </w:r>
            <w:r>
              <w:rPr>
                <w:rFonts w:hint="eastAsia" w:eastAsia="仿宋_GB2312" w:cs="仿宋_GB2312"/>
                <w:snapToGrid w:val="0"/>
                <w:color w:val="000000"/>
                <w:sz w:val="20"/>
                <w:szCs w:val="20"/>
                <w:lang w:eastAsia="zh-CN"/>
              </w:rPr>
              <w:t>（局党组）</w:t>
            </w:r>
          </w:p>
          <w:p w14:paraId="50B107E2">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2.擅自改变行政处罚种类、幅度的；</w:t>
            </w:r>
            <w:r>
              <w:rPr>
                <w:rFonts w:hint="eastAsia" w:eastAsia="仿宋_GB2312" w:cs="仿宋_GB2312"/>
                <w:snapToGrid w:val="0"/>
                <w:color w:val="000000"/>
                <w:sz w:val="20"/>
                <w:szCs w:val="20"/>
                <w:lang w:eastAsia="zh-CN"/>
              </w:rPr>
              <w:t>（局党组）</w:t>
            </w:r>
          </w:p>
          <w:p w14:paraId="286460F6">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3.违反法定的行政处罚程序的；</w:t>
            </w:r>
            <w:r>
              <w:rPr>
                <w:rFonts w:hint="eastAsia" w:eastAsia="仿宋_GB2312" w:cs="仿宋_GB2312"/>
                <w:snapToGrid w:val="0"/>
                <w:color w:val="000000"/>
                <w:sz w:val="20"/>
                <w:szCs w:val="20"/>
                <w:lang w:eastAsia="zh-CN"/>
              </w:rPr>
              <w:t>（局党组）</w:t>
            </w:r>
          </w:p>
          <w:p w14:paraId="02E642F0">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4.不具备行政执法资格的人实施行政处罚的；</w:t>
            </w:r>
            <w:r>
              <w:rPr>
                <w:rFonts w:hint="eastAsia" w:eastAsia="仿宋_GB2312" w:cs="仿宋_GB2312"/>
                <w:snapToGrid w:val="0"/>
                <w:color w:val="000000"/>
                <w:sz w:val="20"/>
                <w:szCs w:val="20"/>
                <w:lang w:eastAsia="zh-CN"/>
              </w:rPr>
              <w:t>（局党组）</w:t>
            </w:r>
          </w:p>
          <w:p w14:paraId="14121CBA">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5.在行政处罚过程中发生腐败行为的；</w:t>
            </w:r>
            <w:r>
              <w:rPr>
                <w:rFonts w:hint="eastAsia" w:eastAsia="仿宋_GB2312" w:cs="仿宋_GB2312"/>
                <w:snapToGrid w:val="0"/>
                <w:color w:val="000000"/>
                <w:sz w:val="20"/>
                <w:szCs w:val="20"/>
                <w:lang w:eastAsia="zh-CN"/>
              </w:rPr>
              <w:t>（局党组）</w:t>
            </w:r>
          </w:p>
          <w:p w14:paraId="58CAB934">
            <w:pPr>
              <w:widowControl/>
              <w:adjustRightInd w:val="0"/>
              <w:snapToGrid w:val="0"/>
              <w:spacing w:line="30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6.因执法人员玩忽职守，没有正确行使行政处罚权，产生不良社会影响，使利害关系人的合法权益遭受损害的；</w:t>
            </w:r>
            <w:r>
              <w:rPr>
                <w:rFonts w:hint="eastAsia" w:eastAsia="仿宋_GB2312" w:cs="仿宋_GB2312"/>
                <w:snapToGrid w:val="0"/>
                <w:color w:val="000000"/>
                <w:sz w:val="20"/>
                <w:szCs w:val="20"/>
                <w:lang w:eastAsia="zh-CN"/>
              </w:rPr>
              <w:t>（局党组）</w:t>
            </w:r>
          </w:p>
          <w:p w14:paraId="04FB3F52">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7.除以上追责情形外，其他违反法律法规规章的行为依法追究相应责任（</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tc>
        <w:tc>
          <w:tcPr>
            <w:tcW w:w="5188" w:type="dxa"/>
            <w:vAlign w:val="center"/>
          </w:tcPr>
          <w:p w14:paraId="762B1CBA">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1.【法律】《中华人民共和国行政处罚法》 第五十五条 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14:paraId="41A2A66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政府规章】《广西壮族自治区行政过错责任追究办法》（2007年4月25日广西壮族自治区人民政府令第24号公布）第十二条：行政机关在实施行政处罚过程中，有下列情形之一的，应当追究行政过错责任：（一）不具备行政处罚主体资格；（二）没有事实和法律依据；（三）擅自改变处罚种类、幅度；（四）违反法定程序；（五）违法处理罚没财物；（六）涉嫌犯罪，不移交司法机关；（七）对违法行为应当处罚不处罚或者乱处罚；（八）其他违法实施行政处罚的情形。行政机关工作人员违反前款规定，应当承担行政过错责任。</w:t>
            </w:r>
          </w:p>
          <w:p w14:paraId="7CF0B869">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lang w:val="en-US" w:eastAsia="zh-CN"/>
              </w:rPr>
              <w:t>3</w:t>
            </w:r>
            <w:r>
              <w:rPr>
                <w:rFonts w:hint="eastAsia" w:eastAsia="仿宋_GB2312" w:cs="仿宋_GB2312"/>
                <w:snapToGrid w:val="0"/>
                <w:color w:val="000000"/>
                <w:sz w:val="20"/>
                <w:szCs w:val="20"/>
              </w:rPr>
              <w:t>.【法律】《中华人民共和国行政处罚法》 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14:paraId="268DE008">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执法人员利用职务上的便利，索取或者收受他人财物、收缴罚款据为己有，构成犯罪的，依法追究刑事责任；情节轻微不构成犯罪的，依法给予行政处分。</w:t>
            </w:r>
          </w:p>
          <w:p w14:paraId="3D48BD76">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4</w:t>
            </w:r>
            <w:r>
              <w:rPr>
                <w:rFonts w:hint="eastAsia" w:eastAsia="仿宋_GB2312" w:cs="仿宋_GB2312"/>
                <w:snapToGrid w:val="0"/>
                <w:color w:val="000000"/>
                <w:sz w:val="20"/>
                <w:szCs w:val="20"/>
              </w:rPr>
              <w:t>.【法律】《中华人民共和国行政处罚法》第六十二条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532" w:type="dxa"/>
            <w:vAlign w:val="center"/>
          </w:tcPr>
          <w:p w14:paraId="50E4AD7A">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2DCF4967">
            <w:pPr>
              <w:adjustRightInd w:val="0"/>
              <w:snapToGrid w:val="0"/>
              <w:spacing w:line="300" w:lineRule="exact"/>
              <w:jc w:val="center"/>
              <w:rPr>
                <w:rFonts w:ascii="方正书宋_GBK" w:hAnsi="宋体" w:eastAsia="方正书宋_GBK" w:cs="宋体"/>
                <w:kern w:val="0"/>
                <w:sz w:val="20"/>
                <w:szCs w:val="20"/>
              </w:rPr>
            </w:pPr>
          </w:p>
        </w:tc>
      </w:tr>
      <w:tr w14:paraId="7B39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02DCB2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6</w:t>
            </w:r>
          </w:p>
        </w:tc>
        <w:tc>
          <w:tcPr>
            <w:tcW w:w="308" w:type="dxa"/>
            <w:vAlign w:val="center"/>
          </w:tcPr>
          <w:p w14:paraId="263765CE">
            <w:pPr>
              <w:widowControl/>
              <w:adjustRightInd w:val="0"/>
              <w:snapToGrid w:val="0"/>
              <w:spacing w:line="272"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行政给付</w:t>
            </w:r>
          </w:p>
        </w:tc>
        <w:tc>
          <w:tcPr>
            <w:tcW w:w="504" w:type="dxa"/>
            <w:vAlign w:val="center"/>
          </w:tcPr>
          <w:p w14:paraId="67E57419">
            <w:pPr>
              <w:widowControl/>
              <w:adjustRightInd w:val="0"/>
              <w:snapToGrid w:val="0"/>
              <w:spacing w:line="272"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办理法律援助事项</w:t>
            </w:r>
          </w:p>
        </w:tc>
        <w:tc>
          <w:tcPr>
            <w:tcW w:w="546" w:type="dxa"/>
            <w:vAlign w:val="center"/>
          </w:tcPr>
          <w:p w14:paraId="3906D6F9">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29799430">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县司法局</w:t>
            </w:r>
          </w:p>
        </w:tc>
        <w:tc>
          <w:tcPr>
            <w:tcW w:w="1008" w:type="dxa"/>
            <w:vAlign w:val="center"/>
          </w:tcPr>
          <w:p w14:paraId="2E5E8F13">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公共法律服务管理股</w:t>
            </w:r>
          </w:p>
        </w:tc>
        <w:tc>
          <w:tcPr>
            <w:tcW w:w="3199" w:type="dxa"/>
            <w:vAlign w:val="center"/>
          </w:tcPr>
          <w:p w14:paraId="0F9A4CC9">
            <w:pPr>
              <w:widowControl/>
              <w:adjustRightInd w:val="0"/>
              <w:snapToGrid w:val="0"/>
              <w:spacing w:line="272" w:lineRule="exact"/>
              <w:ind w:firstLine="400" w:firstLineChars="200"/>
              <w:rPr>
                <w:rFonts w:hint="eastAsia" w:eastAsia="仿宋_GB2312" w:cs="仿宋_GB2312"/>
                <w:snapToGrid w:val="0"/>
                <w:color w:val="000000"/>
                <w:sz w:val="20"/>
                <w:szCs w:val="20"/>
              </w:rPr>
            </w:pPr>
          </w:p>
          <w:p w14:paraId="40A65677">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行政法规】《法律援助条例》（2003年国务院令第385号）第五条：直辖市、设区的市或者县级人民政府司法行政部门根据需要确定本行政区域的法律援助机构。法律援助机构负责受理、审查法律援助申请，指派或者安排人员为符合本条例规定的公民提供法律援助。</w:t>
            </w:r>
          </w:p>
          <w:p w14:paraId="0DA4C047">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2.【地方性法规】《广西壮族自治区法律援助条例》（2002年自治区人民代表大会常务委员会公告九届第65号发布，2010年自治区人民代表大会常务委员会公告十一届25号修订）第四条： 县级以上人民政府司法行政部门监督管理本行政区域内的法律援助工作。</w:t>
            </w:r>
          </w:p>
          <w:p w14:paraId="0B32354C">
            <w:pPr>
              <w:widowControl/>
              <w:adjustRightInd w:val="0"/>
              <w:snapToGrid w:val="0"/>
              <w:spacing w:line="272"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县级以上人民政府司法行政部门确定的法律援助机构负责受理、审查法律援助申请，指派律师事务所、基层法律服务机构安排法律援助人员或者直接安排法律援助人员为符合本条例规定的公民提供法律援助，并对法律援助人员办理法律援助事项进行监督、指导。</w:t>
            </w:r>
          </w:p>
        </w:tc>
        <w:tc>
          <w:tcPr>
            <w:tcW w:w="2177" w:type="dxa"/>
            <w:vAlign w:val="center"/>
          </w:tcPr>
          <w:p w14:paraId="4810F871">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6E521EAE">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：按照规定对法律援助申请进行审查。</w:t>
            </w:r>
          </w:p>
          <w:p w14:paraId="54DADE4F">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3.决定责任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：报法律援助机构领导作出决定；按时办结。</w:t>
            </w:r>
          </w:p>
          <w:p w14:paraId="535CA12E">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4.送达责任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：制作通知书，送达当事人。</w:t>
            </w:r>
          </w:p>
          <w:p w14:paraId="68D052AC">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5.事后监管环节责任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：对指派后法律援助承办过程实施监督管理</w:t>
            </w:r>
          </w:p>
          <w:p w14:paraId="33DDC6B8">
            <w:pPr>
              <w:widowControl/>
              <w:adjustRightInd w:val="0"/>
              <w:snapToGrid w:val="0"/>
              <w:spacing w:line="272"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6.其他法律法规规章文件规定应履行的责任</w:t>
            </w:r>
            <w:r>
              <w:rPr>
                <w:rFonts w:hint="eastAsia" w:eastAsia="仿宋_GB2312" w:cs="仿宋_GB2312"/>
                <w:snapToGrid w:val="0"/>
                <w:color w:val="000000"/>
                <w:sz w:val="20"/>
                <w:szCs w:val="20"/>
                <w:lang w:eastAsia="zh-CN"/>
              </w:rPr>
              <w:t>（相关股室）</w:t>
            </w:r>
            <w:r>
              <w:rPr>
                <w:rFonts w:hint="eastAsia" w:eastAsia="仿宋_GB2312" w:cs="仿宋_GB2312"/>
                <w:snapToGrid w:val="0"/>
                <w:color w:val="000000"/>
                <w:sz w:val="20"/>
                <w:szCs w:val="20"/>
              </w:rPr>
              <w:t>。</w:t>
            </w:r>
          </w:p>
        </w:tc>
        <w:tc>
          <w:tcPr>
            <w:tcW w:w="4842" w:type="dxa"/>
            <w:vAlign w:val="center"/>
          </w:tcPr>
          <w:p w14:paraId="507BF36E">
            <w:pPr>
              <w:widowControl/>
              <w:adjustRightInd w:val="0"/>
              <w:snapToGrid w:val="0"/>
              <w:spacing w:line="272" w:lineRule="exact"/>
              <w:ind w:firstLine="400" w:firstLineChars="200"/>
              <w:rPr>
                <w:rFonts w:hint="eastAsia" w:eastAsia="仿宋_GB2312" w:cs="仿宋_GB2312"/>
                <w:snapToGrid w:val="0"/>
                <w:color w:val="000000"/>
                <w:sz w:val="20"/>
                <w:szCs w:val="20"/>
              </w:rPr>
            </w:pPr>
          </w:p>
          <w:p w14:paraId="3F1F1E04">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1.【行政法规】《法律援助条例》（2003年国务院令第385号）第十七条：公民申请代理、刑事辩护的法律援助应当提交下列证件、证明材料：（一）身份证或者其他有效的身份证明，代理申请人还应当提交有代理权的证明；（二）经济困难的证明；（三）与所申请法律援助事项有关的案件材料。</w:t>
            </w:r>
          </w:p>
          <w:p w14:paraId="4DE6B5E1">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申请应当采用书面形式，填写申请表；以书面形式提出申请确有困难的，可以口头申请，由法律援助机构工作人员或者代为转交申请的有关机构工作人员作书面记录。</w:t>
            </w:r>
          </w:p>
          <w:p w14:paraId="42E456AE">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2.【行政法规】《法律援助条例》（2003年国务院令第385号）第十八条：法律援助机构收到法律援助申请后，应当进行审查；认为申请人提交的证件、证明材料不齐全的，可以要求申请人作出必要的补充或者说明，申请人未按要求作出补充或者说明的，视为撤销申请；认为申请人提交的证件、证明材料需要查证的，由法律援助机构向有关机关、单位查证。</w:t>
            </w:r>
          </w:p>
          <w:p w14:paraId="1E8B7FC5">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对符合法律援助条件的，法律援助机构应当及时决定提供法律援助；对不符合法律援助条件的，应当书面告知申请人理由。</w:t>
            </w:r>
          </w:p>
          <w:p w14:paraId="01F3650E">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2.同1—2</w:t>
            </w:r>
          </w:p>
          <w:p w14:paraId="284CBF27">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3.同1—2</w:t>
            </w:r>
          </w:p>
          <w:p w14:paraId="17A42B67">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部门规章】《办理法律援助案件程序规定》（2012年司法部令第124号）第十七条：给予法律援助决定书和不予法律援助决定书应当发送申请人；属于本规定第十一条规定情形的，法律援助机构还应当同时函告有关人民法院、人民检察院、公安机关及监狱、看守所、劳动教养管理所、强制隔离戒毒所。</w:t>
            </w:r>
          </w:p>
          <w:p w14:paraId="41A19245">
            <w:pPr>
              <w:widowControl/>
              <w:adjustRightInd w:val="0"/>
              <w:snapToGrid w:val="0"/>
              <w:spacing w:line="272"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行政法规】《法律援助条例》（2003年国务院令第385号）第二十三条：办理法律援助案件的人员遇有下列情形之一的，应当向法律援助机构报告，法律援助机构经审查核实的，应当终止该项法律援助：（一）受援人的经济收入状况发生变化，不再符合法律援助条件的；（二）案件终止审理或者已被撤销的；（三）受援人又自行委托律师或者其他代理人的；（四）受援人要求终止法律援助的。</w:t>
            </w:r>
          </w:p>
        </w:tc>
        <w:tc>
          <w:tcPr>
            <w:tcW w:w="1489" w:type="dxa"/>
            <w:vAlign w:val="top"/>
          </w:tcPr>
          <w:p w14:paraId="04F5CC0C">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w:t>
            </w:r>
          </w:p>
          <w:p w14:paraId="5899D2C4">
            <w:pPr>
              <w:widowControl/>
              <w:adjustRightInd w:val="0"/>
              <w:snapToGrid w:val="0"/>
              <w:spacing w:line="272"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1.对符合法定条件的不予受理的或未按规定受理申请人材料的；</w:t>
            </w:r>
            <w:r>
              <w:rPr>
                <w:rFonts w:hint="eastAsia" w:eastAsia="仿宋_GB2312" w:cs="仿宋_GB2312"/>
                <w:snapToGrid w:val="0"/>
                <w:color w:val="000000"/>
                <w:sz w:val="20"/>
                <w:szCs w:val="20"/>
                <w:lang w:eastAsia="zh-CN"/>
              </w:rPr>
              <w:t>（局党组）</w:t>
            </w:r>
          </w:p>
          <w:p w14:paraId="2DF436C3">
            <w:pPr>
              <w:widowControl/>
              <w:adjustRightInd w:val="0"/>
              <w:snapToGrid w:val="0"/>
              <w:spacing w:line="272"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2.违反规定执行法律援助的；</w:t>
            </w:r>
            <w:r>
              <w:rPr>
                <w:rFonts w:hint="eastAsia" w:eastAsia="仿宋_GB2312" w:cs="仿宋_GB2312"/>
                <w:snapToGrid w:val="0"/>
                <w:color w:val="000000"/>
                <w:sz w:val="20"/>
                <w:szCs w:val="20"/>
                <w:lang w:eastAsia="zh-CN"/>
              </w:rPr>
              <w:t>（局党组）</w:t>
            </w:r>
          </w:p>
          <w:p w14:paraId="75F8B98A">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3.其他违反法律法规规章文件规定的行为。</w:t>
            </w:r>
            <w:r>
              <w:rPr>
                <w:rFonts w:hint="eastAsia" w:eastAsia="仿宋_GB2312" w:cs="仿宋_GB2312"/>
                <w:snapToGrid w:val="0"/>
                <w:color w:val="000000"/>
                <w:sz w:val="20"/>
                <w:szCs w:val="20"/>
                <w:lang w:eastAsia="zh-CN"/>
              </w:rPr>
              <w:t>（局党组）</w:t>
            </w:r>
          </w:p>
        </w:tc>
        <w:tc>
          <w:tcPr>
            <w:tcW w:w="5188" w:type="dxa"/>
            <w:vAlign w:val="top"/>
          </w:tcPr>
          <w:p w14:paraId="2C46E4A9">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 xml:space="preserve">1.【法规】《行政机关公务员处分条例》（国务院令第495号）第二十条：“有下列行为之一的，给予记过、记大过处分；情节较重的，给予降级或者撤职处分；情节严重的，给予开除处分：（四）其他玩忽职守、贻误工作的行为。”。 </w:t>
            </w:r>
          </w:p>
          <w:p w14:paraId="71BC50B2">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 xml:space="preserve">2.【法规】《行政机关公务员处分条例》（国务院令第495号）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p w14:paraId="29ECBFCF">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规】《行政机关公务员处分条例》（国务院令第495号）第二十五条：“有下列行为之一的，给予记过或者记大过处分；情节较重的，给予降级或者撤职处分；情节严重的，给予开除处分：（五）其他滥用职权，侵害公民、法人或者其他组织合法权益的行为。”</w:t>
            </w:r>
          </w:p>
          <w:p w14:paraId="37C4472B">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4.【法规】《行政机关公务员处分条例》（国务院令第495号）第二十六条：“泄露国家秘密、工作秘密</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泄露因履行职责掌握的商业秘密、个人隐私，造成不良后果的，给予警告、记过或者记大过处分；情节较重的，给予降级或者撤职处分；情节严重的，给予开除处分。”</w:t>
            </w:r>
          </w:p>
          <w:p w14:paraId="6EB031AC">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 xml:space="preserve"> 5.【法规】《行政机关公务员处分条例》（国务院令第495号）第二十八条：“严重违反公务员职业道德，工作作风懈怠、工作态度恶劣，造成不良影响的，给予警告、记过或者记大过处分。” </w:t>
            </w:r>
          </w:p>
          <w:p w14:paraId="332F0C65">
            <w:pPr>
              <w:widowControl/>
              <w:adjustRightInd w:val="0"/>
              <w:snapToGrid w:val="0"/>
              <w:spacing w:line="272"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6.同5.</w:t>
            </w:r>
          </w:p>
        </w:tc>
        <w:tc>
          <w:tcPr>
            <w:tcW w:w="532" w:type="dxa"/>
            <w:vAlign w:val="center"/>
          </w:tcPr>
          <w:p w14:paraId="23078437">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5A5DEF76">
            <w:pPr>
              <w:adjustRightInd w:val="0"/>
              <w:snapToGrid w:val="0"/>
              <w:spacing w:line="300" w:lineRule="exact"/>
              <w:jc w:val="center"/>
              <w:rPr>
                <w:rFonts w:ascii="方正书宋_GBK" w:hAnsi="宋体" w:eastAsia="方正书宋_GBK" w:cs="宋体"/>
                <w:kern w:val="0"/>
                <w:sz w:val="20"/>
                <w:szCs w:val="20"/>
              </w:rPr>
            </w:pPr>
          </w:p>
        </w:tc>
      </w:tr>
      <w:tr w14:paraId="17285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77741132">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7</w:t>
            </w:r>
          </w:p>
        </w:tc>
        <w:tc>
          <w:tcPr>
            <w:tcW w:w="308" w:type="dxa"/>
            <w:vAlign w:val="center"/>
          </w:tcPr>
          <w:p w14:paraId="219D01C2">
            <w:pPr>
              <w:widowControl/>
              <w:adjustRightInd w:val="0"/>
              <w:snapToGrid w:val="0"/>
              <w:spacing w:line="238"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行政检查</w:t>
            </w:r>
          </w:p>
        </w:tc>
        <w:tc>
          <w:tcPr>
            <w:tcW w:w="504" w:type="dxa"/>
            <w:vAlign w:val="center"/>
          </w:tcPr>
          <w:p w14:paraId="2795DB98">
            <w:pPr>
              <w:widowControl/>
              <w:adjustRightInd w:val="0"/>
              <w:snapToGrid w:val="0"/>
              <w:spacing w:line="238"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对公证机构进行监督、指导</w:t>
            </w:r>
          </w:p>
        </w:tc>
        <w:tc>
          <w:tcPr>
            <w:tcW w:w="546" w:type="dxa"/>
            <w:vAlign w:val="center"/>
          </w:tcPr>
          <w:p w14:paraId="52322143">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74AEE785">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县司法局</w:t>
            </w:r>
          </w:p>
        </w:tc>
        <w:tc>
          <w:tcPr>
            <w:tcW w:w="1008" w:type="dxa"/>
            <w:vAlign w:val="center"/>
          </w:tcPr>
          <w:p w14:paraId="2F0D1690">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公共法律服务管理股</w:t>
            </w:r>
          </w:p>
        </w:tc>
        <w:tc>
          <w:tcPr>
            <w:tcW w:w="3199" w:type="dxa"/>
            <w:vAlign w:val="center"/>
          </w:tcPr>
          <w:p w14:paraId="17A97A2D">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1.【法律】《中华人民共和国公证法》第五条：司法行政部门依照本法规定对公证机构、公证员和公证协会进行监督、指导。</w:t>
            </w:r>
          </w:p>
          <w:p w14:paraId="47F7EAA2">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2.【部门规章】《公证机构执业管理办法》（2006年司法部令第101号）第二十四条：司法行政机关依法对公证机构的组织建设、队伍建设、执业活动、质量控制、内部管理等情况进行监督。</w:t>
            </w:r>
          </w:p>
          <w:p w14:paraId="28472E6D">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二十六条：设区的市和公证机构所在地司法行政机关对本地公证机构的下列事项实施监督：（一）组织建设情况；（二）执业活动情况；（三）公证质量情况；（四）公证员执业年度考核情况；（五）档案管理情况；（六）财务制度执行情况；（七）内部管理制度建设情况；（八）司法部和省、自治区、直辖市司法行政机关要求进行监督检查的其他事项。</w:t>
            </w:r>
          </w:p>
          <w:p w14:paraId="209DCD10">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部门规章】《律师事务所管理办法》（2008年司法部令第111号发布，2018年司法部令第142号修正）第六十四条：县级司法行政机关对本行政区域内的律师事务所的执业活动进行日常监督管理，履行下列职责：（一）监督律师事务所在开展业务活动过程中遵守法律、法规、规章的情况；（二）监督律师事务所执业和内部管理制度的建立和实施情况；（三）监督律师事务所保持法定设立条件以及变更报批或者备案的执行情况；（四）监督律师事务所进行清算、申请注销的情况；（五）监督律师事务所开展律师执业年度考核和上报年度执业总结的情况；（六）受理对律师事务所的举报和投诉；（七）监督律师事务所履行行政处罚和实行整改的情况；（八）司法部和省、自治区、直辖市司法行政机关规定的其他职责。</w:t>
            </w:r>
          </w:p>
          <w:p w14:paraId="0A577427">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县级司法行政机关在开展日常监督管理过程中，对发现、查实的律师事务所在执业和内部管理方面存在的问题，应当对律师事务所负责人或者有关律师进行警示谈话，责令改正，并对其整改情况进行监督；对律师事务所的违法行为认为依法应当给予行政处罚的，应当向上一级司法行政机关提出处罚建议；认为需要给予行业惩戒的，移送律师协会处理。</w:t>
            </w:r>
          </w:p>
          <w:p w14:paraId="394D7A3A">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六十五条：设区的市级司法行政机关履行下列监督管理职责：（一）掌握本行政区域律师事务所的执业活动和组织建设、队伍建设、制度建设的情况，制定加强律师工作的措施和办法；（二）指导、监督下一级司法行政机关的日常监督管理工作，组织开展对律师事务所的专项监督检查工作，指导对律师事务所重大投诉案件的查处工作；（三）对律师事务所进行表彰；（四）依法定职权对律师事务所的违法行为实施行政处罚；对依法应当给予吊销执业许可证处罚的，向上一级司法行政机关提出处罚建议；（五）组织开展对律师事务所的年度检查考核工作；（六）受理、审查律师事务所设立、变更、设立分所、注销申请事项；（七）建立律师事务所执业档案，负责有关律师事务所的许可、变更、终止及执业档案信息的公开工作；（八）法律、法规、规章规定的其他职责。</w:t>
            </w:r>
          </w:p>
          <w:p w14:paraId="45CE739C">
            <w:pPr>
              <w:widowControl/>
              <w:adjustRightInd w:val="0"/>
              <w:snapToGrid w:val="0"/>
              <w:spacing w:line="284"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直辖市的区（县）司法行政机关负有前款规定的有关职责。</w:t>
            </w:r>
          </w:p>
        </w:tc>
        <w:tc>
          <w:tcPr>
            <w:tcW w:w="2177" w:type="dxa"/>
            <w:vAlign w:val="center"/>
          </w:tcPr>
          <w:p w14:paraId="59B63BF0">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1.选案阶段责任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：根据举报或上级安排以及日常管理中发现的问题确定进行检查。</w:t>
            </w:r>
          </w:p>
          <w:p w14:paraId="0B7BAAA9">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2.检查阶段责任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14:paraId="722A67B2">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3.审查环节责任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：对违法事实、证据资料、调查程序、法律适用、当事人陈述理由等进行审查，提出初步处理意见。</w:t>
            </w:r>
          </w:p>
          <w:p w14:paraId="287E4F6D">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4.告知环节责任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：对违法事实、处理依据、处理意见告知，听取当事人陈述申辩。</w:t>
            </w:r>
          </w:p>
          <w:p w14:paraId="0A0F6AF6">
            <w:pPr>
              <w:widowControl/>
              <w:adjustRightInd w:val="0"/>
              <w:snapToGrid w:val="0"/>
              <w:spacing w:line="284"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5.决定环节责任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：根据违法事实以及当事人陈述意见作出处理决定，重大案件应组织集体审议。</w:t>
            </w:r>
          </w:p>
        </w:tc>
        <w:tc>
          <w:tcPr>
            <w:tcW w:w="4842" w:type="dxa"/>
            <w:vAlign w:val="center"/>
          </w:tcPr>
          <w:p w14:paraId="552F987D">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1.【部门规章】《公证员执业管理办法》（2006年司法部令第102号）第五条：司法行政机关依照《公证法》和有关法律、法规、规章，对公证员进行监督、指导。</w:t>
            </w:r>
          </w:p>
          <w:p w14:paraId="311A5C84">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二十六条：司法行政机关实施监督检查，可以对公证员办理公证业务的情况进行检查，要求公证员及其所在公证机构说明有关情况，调阅相关材料和公证档案，向相关单位和人员调查、核实有关情况。公证员及其所在公证机构不得拒绝司法行政机关依法实施的监督检查，不得谎报、隐匿、伪造、销毁相关证据材料。”</w:t>
            </w:r>
          </w:p>
          <w:p w14:paraId="3CB505DE">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65779402">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3.【法律】《中华人民共和国行政许可法》第四十条：行政处罚决定书应当在宣告后当场交付当事人；当事人不在场的，行政机关应当在七日内依照民事诉讼法的有关规定，将行政处罚决定书送达当事人。</w:t>
            </w:r>
          </w:p>
          <w:p w14:paraId="09982AE3">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4.同3.</w:t>
            </w:r>
          </w:p>
          <w:p w14:paraId="37A04C30">
            <w:pPr>
              <w:widowControl/>
              <w:adjustRightInd w:val="0"/>
              <w:snapToGrid w:val="0"/>
              <w:spacing w:line="284"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5.同3.</w:t>
            </w:r>
          </w:p>
        </w:tc>
        <w:tc>
          <w:tcPr>
            <w:tcW w:w="1489" w:type="dxa"/>
            <w:vAlign w:val="center"/>
          </w:tcPr>
          <w:p w14:paraId="6037D7B2">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49BA375F">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1.执法人员利用职务上的便利，索取或者收受他人财物、以权谋私的</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p w14:paraId="4FA88C1C">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2.在履行职权过程中滥用职权、玩忽职守、徇私舞弊或者泄露国家秘密和商业秘密的</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p w14:paraId="5C20E414">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3.检查中违规使用或者损毁证据资料，对当事人造成损失的</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p w14:paraId="15083B8D">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4.除以上追责情形外，其他违反法律法规规章的行为依法追究相应责任（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298BC7EB">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1.【部门规章】《公证机构执业管理办法》（2006年司法部令第101号公布）第四十三条 司法行政机关及其工作人员在公证机构设立审批、公证机构执业证书管理、对公证机构实施监督检查、年度考核的过程中，有滥用职权、玩忽职守、徇私舞弊、干预公证机构依法独立行使公证职能行为的，应当依法追究责任人员的行政责任；构成犯罪的，依法追究刑事责任。</w:t>
            </w:r>
          </w:p>
          <w:p w14:paraId="4B76AA38">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w:t>
            </w:r>
          </w:p>
          <w:p w14:paraId="3A479785">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tc>
        <w:tc>
          <w:tcPr>
            <w:tcW w:w="532" w:type="dxa"/>
            <w:vAlign w:val="center"/>
          </w:tcPr>
          <w:p w14:paraId="5568136B">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79A32DF0">
            <w:pPr>
              <w:adjustRightInd w:val="0"/>
              <w:snapToGrid w:val="0"/>
              <w:spacing w:line="300" w:lineRule="exact"/>
              <w:jc w:val="center"/>
              <w:rPr>
                <w:rFonts w:ascii="方正书宋_GBK" w:hAnsi="宋体" w:eastAsia="方正书宋_GBK" w:cs="宋体"/>
                <w:kern w:val="0"/>
                <w:sz w:val="20"/>
                <w:szCs w:val="20"/>
              </w:rPr>
            </w:pPr>
          </w:p>
        </w:tc>
      </w:tr>
      <w:tr w14:paraId="36AA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49" w:hRule="atLeast"/>
          <w:jc w:val="center"/>
        </w:trPr>
        <w:tc>
          <w:tcPr>
            <w:tcW w:w="406" w:type="dxa"/>
            <w:vAlign w:val="center"/>
          </w:tcPr>
          <w:p w14:paraId="608E2D00">
            <w:pPr>
              <w:adjustRightInd w:val="0"/>
              <w:snapToGrid w:val="0"/>
              <w:spacing w:line="300" w:lineRule="exact"/>
              <w:jc w:val="center"/>
              <w:rPr>
                <w:rFonts w:hint="eastAsia"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8</w:t>
            </w:r>
          </w:p>
        </w:tc>
        <w:tc>
          <w:tcPr>
            <w:tcW w:w="308" w:type="dxa"/>
            <w:vAlign w:val="center"/>
          </w:tcPr>
          <w:p w14:paraId="4592B767">
            <w:pPr>
              <w:widowControl/>
              <w:adjustRightInd w:val="0"/>
              <w:snapToGrid w:val="0"/>
              <w:spacing w:line="284"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行政检查</w:t>
            </w:r>
          </w:p>
        </w:tc>
        <w:tc>
          <w:tcPr>
            <w:tcW w:w="504" w:type="dxa"/>
            <w:vAlign w:val="center"/>
          </w:tcPr>
          <w:p w14:paraId="6FFFFFA4">
            <w:pPr>
              <w:widowControl/>
              <w:adjustRightInd w:val="0"/>
              <w:snapToGrid w:val="0"/>
              <w:spacing w:line="284"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对公证员进行监督、指导</w:t>
            </w:r>
          </w:p>
        </w:tc>
        <w:tc>
          <w:tcPr>
            <w:tcW w:w="546" w:type="dxa"/>
            <w:vAlign w:val="center"/>
          </w:tcPr>
          <w:p w14:paraId="04A2F11E">
            <w:pPr>
              <w:adjustRightInd w:val="0"/>
              <w:snapToGrid w:val="0"/>
              <w:spacing w:line="300" w:lineRule="exact"/>
              <w:jc w:val="center"/>
              <w:rPr>
                <w:rFonts w:ascii="方正书宋_GBK" w:hAnsi="宋体" w:eastAsia="方正书宋_GBK" w:cs="宋体"/>
                <w:kern w:val="0"/>
                <w:sz w:val="20"/>
                <w:szCs w:val="20"/>
              </w:rPr>
            </w:pPr>
          </w:p>
        </w:tc>
        <w:tc>
          <w:tcPr>
            <w:tcW w:w="966" w:type="dxa"/>
            <w:vAlign w:val="center"/>
          </w:tcPr>
          <w:p w14:paraId="46D66CC3">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县司法局</w:t>
            </w:r>
          </w:p>
        </w:tc>
        <w:tc>
          <w:tcPr>
            <w:tcW w:w="1008" w:type="dxa"/>
            <w:vAlign w:val="center"/>
          </w:tcPr>
          <w:p w14:paraId="6B46A101">
            <w:pPr>
              <w:widowControl/>
              <w:adjustRightInd w:val="0"/>
              <w:snapToGrid w:val="0"/>
              <w:spacing w:line="252"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val="en-US" w:eastAsia="zh-CN"/>
              </w:rPr>
              <w:t>公共法律服务管理股</w:t>
            </w:r>
          </w:p>
        </w:tc>
        <w:tc>
          <w:tcPr>
            <w:tcW w:w="3199" w:type="dxa"/>
            <w:vAlign w:val="center"/>
          </w:tcPr>
          <w:p w14:paraId="57A94C7C">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1.【法律】《中华人民共和国公证法》第五条：司法行政部门依照本法规定对公证机构、公证员和公证协会进行监督、指导。</w:t>
            </w:r>
          </w:p>
          <w:p w14:paraId="6DBFEDB3">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2.【部门规章】 《公证员执业管理办法》（2006年司法部令第102号）第五条：司法行政机关依照《公证法》和有关法律、法规、规章，对公证员进行监督、指导。</w:t>
            </w:r>
          </w:p>
          <w:p w14:paraId="35E0D044">
            <w:pPr>
              <w:widowControl/>
              <w:adjustRightInd w:val="0"/>
              <w:snapToGrid w:val="0"/>
              <w:spacing w:line="284"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第二十六条：司法行政机关实施监督检查，可以对公证员办理公证业务的情况进行检查，要求公证员及其所在公证机构说明有关情况，调阅相关材料和公证档案，向相关单位和人员调查、核实有关情况。公证员及其所在公证机构不得拒绝司法行政机关依法实施的监督检查，不得谎报、隐匿、伪造、销毁相关证据材料。</w:t>
            </w:r>
          </w:p>
        </w:tc>
        <w:tc>
          <w:tcPr>
            <w:tcW w:w="2177" w:type="dxa"/>
            <w:vAlign w:val="center"/>
          </w:tcPr>
          <w:p w14:paraId="615A44B1">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1.选案阶段责任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：根据举报或上级安排以及日常管理中发现的问题确定进行检查。</w:t>
            </w:r>
          </w:p>
          <w:p w14:paraId="6D849C23">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2.检查阶段责任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14:paraId="68784A3A">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3.审查环节责任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：对违法事实、证据资料、调查程序、法律适用、当事人陈述理由等进行审查，提出初步处理意见。</w:t>
            </w:r>
          </w:p>
          <w:p w14:paraId="5C1DA9A3">
            <w:pPr>
              <w:widowControl/>
              <w:adjustRightInd w:val="0"/>
              <w:snapToGrid w:val="0"/>
              <w:spacing w:line="284" w:lineRule="exact"/>
              <w:ind w:firstLine="392" w:firstLineChars="200"/>
              <w:rPr>
                <w:rFonts w:hint="eastAsia" w:eastAsia="仿宋_GB2312" w:cs="仿宋_GB2312"/>
                <w:snapToGrid w:val="0"/>
                <w:color w:val="000000"/>
                <w:spacing w:val="-2"/>
                <w:sz w:val="20"/>
                <w:szCs w:val="20"/>
              </w:rPr>
            </w:pPr>
            <w:r>
              <w:rPr>
                <w:rFonts w:hint="eastAsia" w:eastAsia="仿宋_GB2312" w:cs="仿宋_GB2312"/>
                <w:snapToGrid w:val="0"/>
                <w:color w:val="000000"/>
                <w:spacing w:val="-2"/>
                <w:sz w:val="20"/>
                <w:szCs w:val="20"/>
              </w:rPr>
              <w:t>4.告知环节责任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pacing w:val="-2"/>
                <w:sz w:val="20"/>
                <w:szCs w:val="20"/>
              </w:rPr>
              <w:t>：对违法事实、处理依据、处理意见告知，听取当事人陈述申辩。</w:t>
            </w:r>
          </w:p>
          <w:p w14:paraId="67646490">
            <w:pPr>
              <w:widowControl/>
              <w:adjustRightInd w:val="0"/>
              <w:snapToGrid w:val="0"/>
              <w:spacing w:line="284"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5.决定环节责任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：根据违法事实以及当事人陈述意见作出处理决定，重大案件应组织集体审议。</w:t>
            </w:r>
          </w:p>
        </w:tc>
        <w:tc>
          <w:tcPr>
            <w:tcW w:w="4842" w:type="dxa"/>
            <w:vAlign w:val="center"/>
          </w:tcPr>
          <w:p w14:paraId="2B6BA256">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1.【部门规章】《公证员执业管理办法》（2006年司法部令第102号）第五条：司法行政机关依照《公证法》和有关法律、法规、规章，对公证员进行监督、指导。</w:t>
            </w:r>
          </w:p>
          <w:p w14:paraId="5AE8CC47">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二十六条：司法行政机关实施监督检查，可以对公证员办理公证业务的情况进行检查，要求公证员及其所在公证机构说明有关情况，调阅相关材料和公证档案，向相关单位和人员调查、核实有关情况。公证员及其所在公证机构不得拒绝司法行政机关依法实施的监督检查，不得谎报、隐匿、伪造、销毁相关证据材料。</w:t>
            </w:r>
          </w:p>
          <w:p w14:paraId="3A71C948">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14:paraId="053AD796">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3.【法律】《中华人民共和国行政许可法》第四十条：行政处罚决定书应当在宣告后当场交付当事人；当事人不在场的，行政机关应当在七日内依照民事诉讼法的有关规定，将行政处罚决定书送达当事人。</w:t>
            </w:r>
          </w:p>
          <w:p w14:paraId="7B7F7B6F">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4.同3.</w:t>
            </w:r>
          </w:p>
          <w:p w14:paraId="60EF2823">
            <w:pPr>
              <w:widowControl/>
              <w:adjustRightInd w:val="0"/>
              <w:snapToGrid w:val="0"/>
              <w:spacing w:line="284"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5.同3.</w:t>
            </w:r>
          </w:p>
        </w:tc>
        <w:tc>
          <w:tcPr>
            <w:tcW w:w="1489" w:type="dxa"/>
            <w:vAlign w:val="center"/>
          </w:tcPr>
          <w:p w14:paraId="4616AB1B">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21E27FA0">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1.执法人员利用职务上的便利，索取或者收受他人财物、以权谋私的</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p w14:paraId="01472962">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2.在履行职权过程中滥用职权、玩忽职守、徇私舞弊或者泄露国家秘密和商业秘密的</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p w14:paraId="4FE70CA8">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3.检查中违规使用或者损毁证据资料，对当事人造成损失的</w:t>
            </w:r>
            <w:r>
              <w:rPr>
                <w:rFonts w:hint="eastAsia" w:eastAsia="仿宋_GB2312" w:cs="仿宋_GB2312"/>
                <w:snapToGrid w:val="0"/>
                <w:color w:val="000000"/>
                <w:sz w:val="20"/>
                <w:szCs w:val="20"/>
                <w:lang w:eastAsia="zh-CN"/>
              </w:rPr>
              <w:t>（局党组）</w:t>
            </w:r>
            <w:r>
              <w:rPr>
                <w:rFonts w:hint="eastAsia" w:eastAsia="仿宋_GB2312" w:cs="仿宋_GB2312"/>
                <w:snapToGrid w:val="0"/>
                <w:color w:val="000000"/>
                <w:sz w:val="20"/>
                <w:szCs w:val="20"/>
              </w:rPr>
              <w:t>；</w:t>
            </w:r>
          </w:p>
          <w:p w14:paraId="290D8F1F">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4.除以上追责情形外，其他违反法律法规规章的行为依法追究相应责任（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3791BE37">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1.【部门规章】《公证机构执业管理办法》（2006年司法部令第101号公布）第四十三条 司法行政机关及其工作人员在公证机构设立审批、公证机构执业证书管理、对公证机构实施监督检查、年度考核的过程中，有滥用职权、玩忽职守、徇私舞弊、干预公证机构依法独立行使公证职能行为的，应当依法追究责任人员的行政责任；构成犯罪的，依法追究刑事责任。</w:t>
            </w:r>
          </w:p>
          <w:p w14:paraId="694A5501">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2.同1。</w:t>
            </w:r>
          </w:p>
          <w:p w14:paraId="5FF6A1B1">
            <w:pPr>
              <w:widowControl/>
              <w:adjustRightInd w:val="0"/>
              <w:snapToGrid w:val="0"/>
              <w:spacing w:line="284"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3.【法律】《中华人民共和国行政处罚法》第六十条 行政机关违法实行检查措施或者执行措施，给公民人身或者财产造成损害、给法人或者其他组织造成损失的，应当依法予以赔偿，对直接负责的主管人员和其他直接责任人员依法给予行政处分；情节严重构成犯罪的，依法追究刑事责任。</w:t>
            </w:r>
          </w:p>
        </w:tc>
        <w:tc>
          <w:tcPr>
            <w:tcW w:w="532" w:type="dxa"/>
            <w:vAlign w:val="center"/>
          </w:tcPr>
          <w:p w14:paraId="0AA0F9C3">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777AB4AC">
            <w:pPr>
              <w:adjustRightInd w:val="0"/>
              <w:snapToGrid w:val="0"/>
              <w:spacing w:line="300" w:lineRule="exact"/>
              <w:jc w:val="center"/>
              <w:rPr>
                <w:rFonts w:ascii="方正书宋_GBK" w:hAnsi="宋体" w:eastAsia="方正书宋_GBK" w:cs="宋体"/>
                <w:kern w:val="0"/>
                <w:sz w:val="20"/>
                <w:szCs w:val="20"/>
              </w:rPr>
            </w:pPr>
          </w:p>
        </w:tc>
      </w:tr>
      <w:tr w14:paraId="1FC1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744" w:hRule="atLeast"/>
          <w:jc w:val="center"/>
        </w:trPr>
        <w:tc>
          <w:tcPr>
            <w:tcW w:w="406" w:type="dxa"/>
            <w:vAlign w:val="center"/>
          </w:tcPr>
          <w:p w14:paraId="775AC810">
            <w:pPr>
              <w:adjustRightInd w:val="0"/>
              <w:snapToGrid w:val="0"/>
              <w:spacing w:line="300" w:lineRule="exact"/>
              <w:jc w:val="center"/>
              <w:rPr>
                <w:rFonts w:hint="default" w:ascii="方正书宋_GBK" w:hAnsi="宋体" w:eastAsia="方正书宋_GBK" w:cs="宋体"/>
                <w:color w:val="auto"/>
                <w:kern w:val="0"/>
                <w:sz w:val="20"/>
                <w:szCs w:val="20"/>
                <w:lang w:val="en-US" w:eastAsia="zh-CN"/>
              </w:rPr>
            </w:pPr>
            <w:r>
              <w:rPr>
                <w:rFonts w:hint="eastAsia" w:ascii="方正书宋_GBK" w:hAnsi="宋体" w:eastAsia="方正书宋_GBK" w:cs="宋体"/>
                <w:color w:val="auto"/>
                <w:kern w:val="0"/>
                <w:sz w:val="20"/>
                <w:szCs w:val="20"/>
                <w:lang w:val="en-US" w:eastAsia="zh-CN"/>
              </w:rPr>
              <w:t>9</w:t>
            </w:r>
          </w:p>
        </w:tc>
        <w:tc>
          <w:tcPr>
            <w:tcW w:w="308" w:type="dxa"/>
            <w:vAlign w:val="center"/>
          </w:tcPr>
          <w:p w14:paraId="66BB9165">
            <w:pPr>
              <w:widowControl/>
              <w:adjustRightInd w:val="0"/>
              <w:snapToGrid w:val="0"/>
              <w:spacing w:line="300" w:lineRule="exact"/>
              <w:jc w:val="center"/>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其他行政权力</w:t>
            </w:r>
          </w:p>
        </w:tc>
        <w:tc>
          <w:tcPr>
            <w:tcW w:w="504" w:type="dxa"/>
            <w:vAlign w:val="center"/>
          </w:tcPr>
          <w:p w14:paraId="15662C8F">
            <w:pPr>
              <w:widowControl/>
              <w:adjustRightInd w:val="0"/>
              <w:snapToGrid w:val="0"/>
              <w:spacing w:line="300" w:lineRule="exact"/>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基层法律服务所变更、注销核准</w:t>
            </w:r>
          </w:p>
        </w:tc>
        <w:tc>
          <w:tcPr>
            <w:tcW w:w="546" w:type="dxa"/>
            <w:vAlign w:val="center"/>
          </w:tcPr>
          <w:p w14:paraId="3C480DDE">
            <w:pPr>
              <w:widowControl/>
              <w:adjustRightInd w:val="0"/>
              <w:snapToGrid w:val="0"/>
              <w:spacing w:line="300" w:lineRule="exact"/>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1.基层法律服务所变更核准</w:t>
            </w:r>
          </w:p>
        </w:tc>
        <w:tc>
          <w:tcPr>
            <w:tcW w:w="966" w:type="dxa"/>
            <w:vAlign w:val="center"/>
          </w:tcPr>
          <w:p w14:paraId="09116824">
            <w:pPr>
              <w:widowControl/>
              <w:adjustRightInd w:val="0"/>
              <w:snapToGrid w:val="0"/>
              <w:spacing w:line="300" w:lineRule="exact"/>
              <w:jc w:val="left"/>
              <w:rPr>
                <w:rFonts w:hint="eastAsia" w:eastAsia="仿宋_GB2312" w:cs="仿宋_GB2312"/>
                <w:snapToGrid w:val="0"/>
                <w:color w:val="auto"/>
                <w:sz w:val="20"/>
                <w:szCs w:val="20"/>
                <w:lang w:eastAsia="zh-CN"/>
              </w:rPr>
            </w:pPr>
            <w:r>
              <w:rPr>
                <w:rFonts w:hint="eastAsia" w:eastAsia="仿宋_GB2312" w:cs="仿宋_GB2312"/>
                <w:snapToGrid w:val="0"/>
                <w:color w:val="auto"/>
                <w:sz w:val="20"/>
                <w:szCs w:val="20"/>
                <w:lang w:eastAsia="zh-CN"/>
              </w:rPr>
              <w:t>县司法局</w:t>
            </w:r>
          </w:p>
        </w:tc>
        <w:tc>
          <w:tcPr>
            <w:tcW w:w="1008" w:type="dxa"/>
            <w:vAlign w:val="center"/>
          </w:tcPr>
          <w:p w14:paraId="0E2EE4FF">
            <w:pPr>
              <w:widowControl/>
              <w:adjustRightInd w:val="0"/>
              <w:snapToGrid w:val="0"/>
              <w:spacing w:line="300" w:lineRule="exact"/>
              <w:rPr>
                <w:rFonts w:hint="eastAsia" w:eastAsia="仿宋_GB2312" w:cs="仿宋_GB2312"/>
                <w:snapToGrid w:val="0"/>
                <w:color w:val="auto"/>
                <w:sz w:val="20"/>
                <w:szCs w:val="20"/>
                <w:lang w:eastAsia="zh-CN"/>
              </w:rPr>
            </w:pPr>
            <w:r>
              <w:rPr>
                <w:rFonts w:hint="eastAsia" w:eastAsia="仿宋_GB2312" w:cs="仿宋_GB2312"/>
                <w:snapToGrid w:val="0"/>
                <w:color w:val="auto"/>
                <w:sz w:val="20"/>
                <w:szCs w:val="20"/>
                <w:lang w:eastAsia="zh-CN"/>
              </w:rPr>
              <w:t>公共法律服务管理股</w:t>
            </w:r>
          </w:p>
        </w:tc>
        <w:tc>
          <w:tcPr>
            <w:tcW w:w="3199" w:type="dxa"/>
            <w:vAlign w:val="center"/>
          </w:tcPr>
          <w:p w14:paraId="38774C37">
            <w:pPr>
              <w:widowControl/>
              <w:adjustRightInd w:val="0"/>
              <w:snapToGrid w:val="0"/>
              <w:spacing w:line="300" w:lineRule="exact"/>
              <w:ind w:firstLine="400" w:firstLineChars="200"/>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部门规章】《基层法律服务所管理办法》（2000年司法部令第59号发布，2017年司法部令第137号修订）第十条：基层法律服务所变更名称、法定代表人或者负责人、合伙人、住所和修改章程的，应当由所在地县级司法行政机关审查同意后报设区的市级司法行政机关批准</w:t>
            </w:r>
            <w:r>
              <w:rPr>
                <w:rFonts w:hint="eastAsia" w:eastAsia="仿宋_GB2312" w:cs="仿宋_GB2312"/>
                <w:snapToGrid w:val="0"/>
                <w:color w:val="auto"/>
                <w:sz w:val="20"/>
                <w:szCs w:val="20"/>
                <w:lang w:eastAsia="zh-CN"/>
              </w:rPr>
              <w:t>或者</w:t>
            </w:r>
            <w:r>
              <w:rPr>
                <w:rFonts w:hint="eastAsia" w:eastAsia="仿宋_GB2312" w:cs="仿宋_GB2312"/>
                <w:snapToGrid w:val="0"/>
                <w:color w:val="auto"/>
                <w:sz w:val="20"/>
                <w:szCs w:val="20"/>
              </w:rPr>
              <w:t>由直辖市的区（县）司法行政机关批准。</w:t>
            </w:r>
          </w:p>
        </w:tc>
        <w:tc>
          <w:tcPr>
            <w:tcW w:w="2177" w:type="dxa"/>
            <w:vAlign w:val="center"/>
          </w:tcPr>
          <w:p w14:paraId="4F192553">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42CCD7D9">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205B7F7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51556A4D">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3B25EA38">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r>
              <w:rPr>
                <w:rFonts w:hint="eastAsia" w:eastAsia="仿宋_GB2312" w:cs="仿宋_GB2312"/>
                <w:snapToGrid w:val="0"/>
                <w:color w:val="000000"/>
                <w:sz w:val="20"/>
                <w:szCs w:val="20"/>
              </w:rPr>
              <w:t>。</w:t>
            </w:r>
          </w:p>
        </w:tc>
        <w:tc>
          <w:tcPr>
            <w:tcW w:w="4842" w:type="dxa"/>
            <w:vAlign w:val="center"/>
          </w:tcPr>
          <w:p w14:paraId="62E8FB42">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994384E">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申请人按照本行政机关的要求提交全部补正申请材料的，应当受理行政许可申请。</w:t>
            </w:r>
          </w:p>
          <w:p w14:paraId="0309522F">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tc>
        <w:tc>
          <w:tcPr>
            <w:tcW w:w="1489" w:type="dxa"/>
            <w:vAlign w:val="center"/>
          </w:tcPr>
          <w:p w14:paraId="3302BFEB">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25CC1359">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6A0F70E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54CDB89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6D01333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754A1F29">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6DA49488">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10F38A9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7E005D31">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2460C0CB">
            <w:pPr>
              <w:adjustRightInd w:val="0"/>
              <w:snapToGrid w:val="0"/>
              <w:spacing w:line="300" w:lineRule="exact"/>
              <w:jc w:val="center"/>
              <w:rPr>
                <w:rFonts w:ascii="方正书宋_GBK" w:hAnsi="宋体" w:eastAsia="方正书宋_GBK" w:cs="宋体"/>
                <w:kern w:val="0"/>
                <w:sz w:val="20"/>
                <w:szCs w:val="20"/>
              </w:rPr>
            </w:pPr>
          </w:p>
        </w:tc>
      </w:tr>
      <w:tr w14:paraId="3C74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826" w:hRule="atLeast"/>
          <w:jc w:val="center"/>
        </w:trPr>
        <w:tc>
          <w:tcPr>
            <w:tcW w:w="406" w:type="dxa"/>
            <w:vAlign w:val="center"/>
          </w:tcPr>
          <w:p w14:paraId="0FEFF03F">
            <w:pPr>
              <w:adjustRightInd w:val="0"/>
              <w:snapToGrid w:val="0"/>
              <w:spacing w:line="300" w:lineRule="exact"/>
              <w:jc w:val="center"/>
              <w:rPr>
                <w:rFonts w:hint="default" w:ascii="方正书宋_GBK" w:hAnsi="宋体" w:eastAsia="方正书宋_GBK" w:cs="宋体"/>
                <w:color w:val="0000FF"/>
                <w:kern w:val="0"/>
                <w:sz w:val="20"/>
                <w:szCs w:val="20"/>
                <w:lang w:val="en-US" w:eastAsia="zh-CN"/>
              </w:rPr>
            </w:pPr>
          </w:p>
        </w:tc>
        <w:tc>
          <w:tcPr>
            <w:tcW w:w="308" w:type="dxa"/>
            <w:vAlign w:val="center"/>
          </w:tcPr>
          <w:p w14:paraId="32806D7D">
            <w:pPr>
              <w:adjustRightInd w:val="0"/>
              <w:snapToGrid w:val="0"/>
              <w:spacing w:line="300" w:lineRule="exact"/>
              <w:jc w:val="center"/>
              <w:rPr>
                <w:rFonts w:ascii="方正书宋_GBK" w:hAnsi="宋体" w:eastAsia="方正书宋_GBK" w:cs="宋体"/>
                <w:color w:val="0000FF"/>
                <w:kern w:val="0"/>
                <w:sz w:val="20"/>
                <w:szCs w:val="20"/>
              </w:rPr>
            </w:pPr>
          </w:p>
        </w:tc>
        <w:tc>
          <w:tcPr>
            <w:tcW w:w="504" w:type="dxa"/>
            <w:vAlign w:val="center"/>
          </w:tcPr>
          <w:p w14:paraId="36D67256">
            <w:pPr>
              <w:adjustRightInd w:val="0"/>
              <w:snapToGrid w:val="0"/>
              <w:spacing w:line="300" w:lineRule="exact"/>
              <w:jc w:val="center"/>
              <w:rPr>
                <w:rFonts w:ascii="方正书宋_GBK" w:hAnsi="宋体" w:eastAsia="方正书宋_GBK" w:cs="宋体"/>
                <w:color w:val="0000FF"/>
                <w:kern w:val="0"/>
                <w:sz w:val="20"/>
                <w:szCs w:val="20"/>
              </w:rPr>
            </w:pPr>
          </w:p>
        </w:tc>
        <w:tc>
          <w:tcPr>
            <w:tcW w:w="546" w:type="dxa"/>
            <w:vAlign w:val="center"/>
          </w:tcPr>
          <w:p w14:paraId="5DC61F22">
            <w:pPr>
              <w:adjustRightInd w:val="0"/>
              <w:snapToGrid w:val="0"/>
              <w:spacing w:line="300" w:lineRule="exact"/>
              <w:jc w:val="center"/>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2.基层法律服务所注销核准</w:t>
            </w:r>
          </w:p>
        </w:tc>
        <w:tc>
          <w:tcPr>
            <w:tcW w:w="966" w:type="dxa"/>
            <w:vAlign w:val="center"/>
          </w:tcPr>
          <w:p w14:paraId="7B321683">
            <w:pPr>
              <w:widowControl/>
              <w:adjustRightInd w:val="0"/>
              <w:snapToGrid w:val="0"/>
              <w:spacing w:line="300" w:lineRule="exact"/>
              <w:jc w:val="left"/>
              <w:rPr>
                <w:rFonts w:ascii="方正书宋_GBK" w:hAnsi="宋体" w:eastAsia="方正书宋_GBK" w:cs="宋体"/>
                <w:color w:val="auto"/>
                <w:kern w:val="0"/>
                <w:sz w:val="20"/>
                <w:szCs w:val="20"/>
              </w:rPr>
            </w:pPr>
            <w:r>
              <w:rPr>
                <w:rFonts w:hint="eastAsia" w:eastAsia="仿宋_GB2312" w:cs="仿宋_GB2312"/>
                <w:snapToGrid w:val="0"/>
                <w:color w:val="auto"/>
                <w:sz w:val="20"/>
                <w:szCs w:val="20"/>
                <w:lang w:eastAsia="zh-CN"/>
              </w:rPr>
              <w:t>县司法局</w:t>
            </w:r>
          </w:p>
        </w:tc>
        <w:tc>
          <w:tcPr>
            <w:tcW w:w="1008" w:type="dxa"/>
            <w:vAlign w:val="center"/>
          </w:tcPr>
          <w:p w14:paraId="546E4A9D">
            <w:pPr>
              <w:widowControl/>
              <w:adjustRightInd w:val="0"/>
              <w:snapToGrid w:val="0"/>
              <w:spacing w:line="300" w:lineRule="exact"/>
              <w:rPr>
                <w:rFonts w:ascii="方正书宋_GBK" w:hAnsi="宋体" w:eastAsia="方正书宋_GBK" w:cs="宋体"/>
                <w:color w:val="auto"/>
                <w:kern w:val="0"/>
                <w:sz w:val="20"/>
                <w:szCs w:val="20"/>
              </w:rPr>
            </w:pPr>
            <w:r>
              <w:rPr>
                <w:rFonts w:hint="eastAsia" w:eastAsia="仿宋_GB2312" w:cs="仿宋_GB2312"/>
                <w:snapToGrid w:val="0"/>
                <w:color w:val="auto"/>
                <w:sz w:val="20"/>
                <w:szCs w:val="20"/>
                <w:lang w:eastAsia="zh-CN"/>
              </w:rPr>
              <w:t>公共法律服务管理股</w:t>
            </w:r>
          </w:p>
        </w:tc>
        <w:tc>
          <w:tcPr>
            <w:tcW w:w="3199" w:type="dxa"/>
            <w:vAlign w:val="center"/>
          </w:tcPr>
          <w:p w14:paraId="342326EE">
            <w:pPr>
              <w:widowControl/>
              <w:adjustRightInd w:val="0"/>
              <w:snapToGrid w:val="0"/>
              <w:spacing w:line="300" w:lineRule="exact"/>
              <w:ind w:firstLine="400" w:firstLineChars="200"/>
              <w:rPr>
                <w:rFonts w:hint="eastAsia" w:eastAsia="仿宋_GB2312" w:cs="仿宋_GB2312"/>
                <w:snapToGrid w:val="0"/>
                <w:color w:val="auto"/>
                <w:sz w:val="20"/>
                <w:szCs w:val="20"/>
              </w:rPr>
            </w:pPr>
            <w:r>
              <w:rPr>
                <w:rFonts w:hint="eastAsia" w:eastAsia="仿宋_GB2312" w:cs="仿宋_GB2312"/>
                <w:snapToGrid w:val="0"/>
                <w:color w:val="auto"/>
                <w:sz w:val="20"/>
                <w:szCs w:val="20"/>
              </w:rPr>
              <w:t>【部门规章】《基层法律服务所管理办法》（2000年司法部令第59号发布，2017年司法部令第137号修订）第十一条：基层法律服务所有下列情形之一的，应当终止：（一）不符合本办法第七条规定的基层法律服务所应当具备的条件，经限期整改仍不符合相关规定的；（二）停办或者决定解散的；（三）法律、行政法规规定应当终止的其他情形。基层法律服务所无正当理由停止业务活动满一年的，视为自行停办、解散，应当终止；</w:t>
            </w:r>
          </w:p>
          <w:p w14:paraId="022BA9C1">
            <w:pPr>
              <w:widowControl/>
              <w:adjustRightInd w:val="0"/>
              <w:snapToGrid w:val="0"/>
              <w:spacing w:line="300" w:lineRule="exact"/>
              <w:ind w:firstLine="400" w:firstLineChars="200"/>
              <w:rPr>
                <w:rFonts w:ascii="方正书宋_GBK" w:hAnsi="宋体" w:eastAsia="方正书宋_GBK" w:cs="宋体"/>
                <w:color w:val="auto"/>
                <w:kern w:val="0"/>
                <w:sz w:val="20"/>
                <w:szCs w:val="20"/>
              </w:rPr>
            </w:pPr>
            <w:r>
              <w:rPr>
                <w:rFonts w:hint="eastAsia" w:eastAsia="仿宋_GB2312" w:cs="仿宋_GB2312"/>
                <w:snapToGrid w:val="0"/>
                <w:color w:val="auto"/>
                <w:sz w:val="20"/>
                <w:szCs w:val="20"/>
              </w:rPr>
              <w:t>第十二条：基层法律服务所在终止事由发生后，应当向社会公告，按照有关规定进行清算，并不得受理新的业务。基层法律服务所应当在清算结束后十五日内，经所在地县级司法行政机关审查后报设区的市级司法行政机关办理注销手续</w:t>
            </w:r>
            <w:r>
              <w:rPr>
                <w:rFonts w:hint="eastAsia" w:eastAsia="仿宋_GB2312" w:cs="仿宋_GB2312"/>
                <w:snapToGrid w:val="0"/>
                <w:color w:val="auto"/>
                <w:sz w:val="20"/>
                <w:szCs w:val="20"/>
                <w:lang w:eastAsia="zh-CN"/>
              </w:rPr>
              <w:t>或者</w:t>
            </w:r>
            <w:r>
              <w:rPr>
                <w:rFonts w:hint="eastAsia" w:eastAsia="仿宋_GB2312" w:cs="仿宋_GB2312"/>
                <w:snapToGrid w:val="0"/>
                <w:color w:val="auto"/>
                <w:sz w:val="20"/>
                <w:szCs w:val="20"/>
              </w:rPr>
              <w:t>由直辖市的区（县）司法行政机关办理注销手续。基层法律服务所拒不履行公告、清算义务的，可以由县级司法行政机关向社会公告后报设区的市级司法行政机关办理注销手续</w:t>
            </w:r>
            <w:r>
              <w:rPr>
                <w:rFonts w:hint="eastAsia" w:eastAsia="仿宋_GB2312" w:cs="仿宋_GB2312"/>
                <w:snapToGrid w:val="0"/>
                <w:color w:val="auto"/>
                <w:sz w:val="20"/>
                <w:szCs w:val="20"/>
                <w:lang w:eastAsia="zh-CN"/>
              </w:rPr>
              <w:t>或者</w:t>
            </w:r>
            <w:r>
              <w:rPr>
                <w:rFonts w:hint="eastAsia" w:eastAsia="仿宋_GB2312" w:cs="仿宋_GB2312"/>
                <w:snapToGrid w:val="0"/>
                <w:color w:val="auto"/>
                <w:sz w:val="20"/>
                <w:szCs w:val="20"/>
              </w:rPr>
              <w:t>由直辖市的区（县）司法行政机关向社会公告后办理注销手续。</w:t>
            </w:r>
          </w:p>
        </w:tc>
        <w:tc>
          <w:tcPr>
            <w:tcW w:w="2177" w:type="dxa"/>
            <w:vAlign w:val="center"/>
          </w:tcPr>
          <w:p w14:paraId="71E11CB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1B8C76B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2B67389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1044812E">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2F2F1989">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r>
              <w:rPr>
                <w:rFonts w:hint="eastAsia" w:eastAsia="仿宋_GB2312" w:cs="仿宋_GB2312"/>
                <w:snapToGrid w:val="0"/>
                <w:color w:val="000000"/>
                <w:sz w:val="20"/>
                <w:szCs w:val="20"/>
              </w:rPr>
              <w:t>。</w:t>
            </w:r>
          </w:p>
        </w:tc>
        <w:tc>
          <w:tcPr>
            <w:tcW w:w="4842" w:type="dxa"/>
            <w:vAlign w:val="center"/>
          </w:tcPr>
          <w:p w14:paraId="24695E0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4732147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申请人按照本行政机关的要求提交全部补正申请材料的，应当受理行政许可申请。</w:t>
            </w:r>
          </w:p>
          <w:p w14:paraId="65537692">
            <w:pPr>
              <w:widowControl/>
              <w:adjustRightInd w:val="0"/>
              <w:snapToGrid w:val="0"/>
              <w:spacing w:line="30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tc>
        <w:tc>
          <w:tcPr>
            <w:tcW w:w="1489" w:type="dxa"/>
            <w:vAlign w:val="center"/>
          </w:tcPr>
          <w:p w14:paraId="081819A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5A407E73">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687E963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7935AED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166B15A4">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327F2BE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2FC40A61">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3F5C036D">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34162419">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03127F52">
            <w:pPr>
              <w:adjustRightInd w:val="0"/>
              <w:snapToGrid w:val="0"/>
              <w:spacing w:line="300" w:lineRule="exact"/>
              <w:jc w:val="center"/>
              <w:rPr>
                <w:rFonts w:ascii="方正书宋_GBK" w:hAnsi="宋体" w:eastAsia="方正书宋_GBK" w:cs="宋体"/>
                <w:kern w:val="0"/>
                <w:sz w:val="20"/>
                <w:szCs w:val="20"/>
              </w:rPr>
            </w:pPr>
          </w:p>
        </w:tc>
      </w:tr>
      <w:tr w14:paraId="03B93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5441083">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10</w:t>
            </w:r>
          </w:p>
        </w:tc>
        <w:tc>
          <w:tcPr>
            <w:tcW w:w="308" w:type="dxa"/>
            <w:vAlign w:val="center"/>
          </w:tcPr>
          <w:p w14:paraId="6636046D">
            <w:pPr>
              <w:widowControl/>
              <w:adjustRightInd w:val="0"/>
              <w:snapToGrid w:val="0"/>
              <w:spacing w:line="290"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其他行政权力</w:t>
            </w:r>
          </w:p>
        </w:tc>
        <w:tc>
          <w:tcPr>
            <w:tcW w:w="504" w:type="dxa"/>
            <w:vAlign w:val="center"/>
          </w:tcPr>
          <w:p w14:paraId="04E1E7B6">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公证员执业、变更许可</w:t>
            </w:r>
          </w:p>
        </w:tc>
        <w:tc>
          <w:tcPr>
            <w:tcW w:w="546" w:type="dxa"/>
            <w:vAlign w:val="center"/>
          </w:tcPr>
          <w:p w14:paraId="76B23ADE">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1.公证员执业许可初审</w:t>
            </w:r>
          </w:p>
        </w:tc>
        <w:tc>
          <w:tcPr>
            <w:tcW w:w="966" w:type="dxa"/>
            <w:vAlign w:val="center"/>
          </w:tcPr>
          <w:p w14:paraId="3BD6638B">
            <w:pPr>
              <w:widowControl/>
              <w:adjustRightInd w:val="0"/>
              <w:snapToGrid w:val="0"/>
              <w:spacing w:line="290" w:lineRule="exact"/>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lang w:eastAsia="zh-CN"/>
              </w:rPr>
              <w:t>县司法局</w:t>
            </w:r>
          </w:p>
        </w:tc>
        <w:tc>
          <w:tcPr>
            <w:tcW w:w="1008" w:type="dxa"/>
            <w:vAlign w:val="center"/>
          </w:tcPr>
          <w:p w14:paraId="0B94D3E0">
            <w:pPr>
              <w:widowControl/>
              <w:adjustRightInd w:val="0"/>
              <w:snapToGrid w:val="0"/>
              <w:spacing w:line="290" w:lineRule="exact"/>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lang w:eastAsia="zh-CN"/>
              </w:rPr>
              <w:t>公共法律服务管理股</w:t>
            </w:r>
          </w:p>
        </w:tc>
        <w:tc>
          <w:tcPr>
            <w:tcW w:w="3199" w:type="dxa"/>
            <w:vAlign w:val="center"/>
          </w:tcPr>
          <w:p w14:paraId="14E9BF40">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公证法》第二十一条：担任公证员，应当由符合公证员条件的人员提出申请，经公证机构推荐，由所在地的司法行政部门报省、自治区、直辖市人民政府司法行政部门审核同意后，报请国务院司法行政部门任命，并由省、自治区、直辖市人民政府司法行政部门颁发公证员执业证书。</w:t>
            </w:r>
          </w:p>
          <w:p w14:paraId="09D13BE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部门规章】《公证员执业管理办法》（2006年司法部令第102号）第十条：符合本办法第七条规定条件的人员，由本人提出申请，经需要选配公证员的公证机构推荐，由所在地司法行政机关出具审查意见，逐级报请省、自治区、直辖市司法行政机关审核。报请审核，应当提交下列材料：（一）担任公证员申请书；（二）公证机构推荐书；（三）申请人的居民身份证复印件和个人简历，具有三年以上其他法律职业经历的，应当同时提交相应的经历证明；（四）申请人的法律职业资格证书复印件；（五）公证机构出具的申请人实习鉴定和所在地司法行政机关出具的实习考核合格意见；（六）所在地司法行政机关对申请人的审查意见；（七）其他需要提交的材料。</w:t>
            </w:r>
          </w:p>
          <w:p w14:paraId="5872F49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第十一条：符合本办法第八条规定条件的人员，由本人提出申请，经需要</w:t>
            </w:r>
          </w:p>
          <w:p w14:paraId="051D67F5">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选配公证员的公证机构推荐，由所在地司法行政机关出具考核意见，逐级报请省、自治区、直辖市司法行政机关审核。报请审核，应当提交下列材料：（一）担任公证员申请书；（二）公证机构推荐书；（三）申请人的居民身份证复印件和个人简历；（四）从事法学教学、研究工作并具有高级职称的证明</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具有有本科以上学历的证明和从事审判、检察、法制工作、法律服务满十年的经历及职务证明；（五）申请人已经离开原工作岗位的证明；（六）所在地司法行政机关对申请人的考核意见；（七）其他需要提交的材料。</w:t>
            </w:r>
          </w:p>
        </w:tc>
        <w:tc>
          <w:tcPr>
            <w:tcW w:w="2177" w:type="dxa"/>
            <w:vAlign w:val="center"/>
          </w:tcPr>
          <w:p w14:paraId="3C6B2955">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7B70C7F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37AC445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696B2EA3">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43FB3893">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r>
              <w:rPr>
                <w:rFonts w:hint="eastAsia" w:eastAsia="仿宋_GB2312" w:cs="仿宋_GB2312"/>
                <w:snapToGrid w:val="0"/>
                <w:color w:val="000000"/>
                <w:sz w:val="20"/>
                <w:szCs w:val="20"/>
              </w:rPr>
              <w:t>。</w:t>
            </w:r>
          </w:p>
        </w:tc>
        <w:tc>
          <w:tcPr>
            <w:tcW w:w="4842" w:type="dxa"/>
            <w:vAlign w:val="center"/>
          </w:tcPr>
          <w:p w14:paraId="4FB4BC9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22FD5A0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2—1.【法律】《中华人民共和国行政许可法》第三十四条：行政机关应当对申请人提交的材料进行审查。</w:t>
            </w:r>
          </w:p>
          <w:p w14:paraId="5A0CFC20">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部门规章】《公证员执业管理办法》（2006年司法部令102号）第十七条：省、自治区、直辖市司法行政机关对报请司法部予以任命、免职或者经核准变更执业机构的公证员，应当在收到任免决定或者作出准予变更决定后20日内，在省级报刊上予以公告。</w:t>
            </w:r>
          </w:p>
        </w:tc>
        <w:tc>
          <w:tcPr>
            <w:tcW w:w="1489" w:type="dxa"/>
            <w:vAlign w:val="center"/>
          </w:tcPr>
          <w:p w14:paraId="1C4FA24C">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4529ED41">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283F8EEA">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4097E1F1">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51D2CDC5">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75AA0B7B">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0DF3DDC3">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43731C29">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6037C06A">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271E3580">
            <w:pPr>
              <w:adjustRightInd w:val="0"/>
              <w:snapToGrid w:val="0"/>
              <w:spacing w:line="300" w:lineRule="exact"/>
              <w:jc w:val="center"/>
              <w:rPr>
                <w:rFonts w:ascii="方正书宋_GBK" w:hAnsi="宋体" w:eastAsia="方正书宋_GBK" w:cs="宋体"/>
                <w:kern w:val="0"/>
                <w:sz w:val="20"/>
                <w:szCs w:val="20"/>
              </w:rPr>
            </w:pPr>
          </w:p>
        </w:tc>
      </w:tr>
      <w:tr w14:paraId="5171B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68105FD">
            <w:pPr>
              <w:adjustRightInd w:val="0"/>
              <w:snapToGrid w:val="0"/>
              <w:spacing w:line="300" w:lineRule="exact"/>
              <w:jc w:val="center"/>
              <w:rPr>
                <w:rFonts w:hint="default" w:ascii="方正书宋_GBK" w:hAnsi="宋体" w:eastAsia="方正书宋_GBK" w:cs="宋体"/>
                <w:kern w:val="0"/>
                <w:sz w:val="20"/>
                <w:szCs w:val="20"/>
                <w:lang w:val="en-US" w:eastAsia="zh-CN"/>
              </w:rPr>
            </w:pPr>
          </w:p>
        </w:tc>
        <w:tc>
          <w:tcPr>
            <w:tcW w:w="308" w:type="dxa"/>
            <w:vAlign w:val="center"/>
          </w:tcPr>
          <w:p w14:paraId="3742D803">
            <w:pPr>
              <w:adjustRightInd w:val="0"/>
              <w:snapToGrid w:val="0"/>
              <w:spacing w:line="300" w:lineRule="exact"/>
              <w:jc w:val="center"/>
              <w:rPr>
                <w:rFonts w:ascii="方正书宋_GBK" w:hAnsi="宋体" w:eastAsia="方正书宋_GBK" w:cs="宋体"/>
                <w:kern w:val="0"/>
                <w:sz w:val="20"/>
                <w:szCs w:val="20"/>
              </w:rPr>
            </w:pPr>
          </w:p>
        </w:tc>
        <w:tc>
          <w:tcPr>
            <w:tcW w:w="504" w:type="dxa"/>
            <w:vAlign w:val="center"/>
          </w:tcPr>
          <w:p w14:paraId="56068D3D">
            <w:pPr>
              <w:adjustRightInd w:val="0"/>
              <w:snapToGrid w:val="0"/>
              <w:spacing w:line="300" w:lineRule="exact"/>
              <w:jc w:val="center"/>
              <w:rPr>
                <w:rFonts w:ascii="方正书宋_GBK" w:hAnsi="宋体" w:eastAsia="方正书宋_GBK" w:cs="宋体"/>
                <w:kern w:val="0"/>
                <w:sz w:val="20"/>
                <w:szCs w:val="20"/>
              </w:rPr>
            </w:pPr>
          </w:p>
        </w:tc>
        <w:tc>
          <w:tcPr>
            <w:tcW w:w="546" w:type="dxa"/>
            <w:vAlign w:val="center"/>
          </w:tcPr>
          <w:p w14:paraId="5ADFFFBF">
            <w:pPr>
              <w:adjustRightInd w:val="0"/>
              <w:snapToGrid w:val="0"/>
              <w:spacing w:line="300"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2.公证员变更许可初审</w:t>
            </w:r>
          </w:p>
        </w:tc>
        <w:tc>
          <w:tcPr>
            <w:tcW w:w="966" w:type="dxa"/>
            <w:vAlign w:val="center"/>
          </w:tcPr>
          <w:p w14:paraId="2B0146A7">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县司法局</w:t>
            </w:r>
          </w:p>
        </w:tc>
        <w:tc>
          <w:tcPr>
            <w:tcW w:w="1008" w:type="dxa"/>
            <w:vAlign w:val="center"/>
          </w:tcPr>
          <w:p w14:paraId="37A19EF7">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公共法律服务管理股</w:t>
            </w:r>
          </w:p>
        </w:tc>
        <w:tc>
          <w:tcPr>
            <w:tcW w:w="3199" w:type="dxa"/>
            <w:vAlign w:val="center"/>
          </w:tcPr>
          <w:p w14:paraId="23F12C6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公证法》第二十四条：公证员由下列情形之一的，由所在地的司法行政部门报省、自治区、直辖市人民政府司法行政部门提请国务院司法行政部门予以免职：（一）丧失中华人民共和国国籍的；（二）年满六十五周岁或者因健康原因不能继续履行职务的；（三）自愿辞去公证员职务的；（四）被吊销公证员执业证书的。</w:t>
            </w:r>
          </w:p>
          <w:p w14:paraId="79F93B11">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2.【部门规章】《公证员执业管理办法》（2006年司法部令102号）第十五条： 公证员变更执业机构，应当经所在公证机构同意和拟任用该公证员的公证机构推荐，报所在地司法行政机关同意后，报省、自治区、直辖市司法行政机关办理变更核准手续。公证员跨省、自治区、直辖市变更执业机构的，经所在的省、自治区、直辖市司法行政机关核准后，由拟任用该公证员的公证机构所在的省、自治区、直辖市司法行政机关办理变更核准手续。</w:t>
            </w:r>
          </w:p>
        </w:tc>
        <w:tc>
          <w:tcPr>
            <w:tcW w:w="2177" w:type="dxa"/>
            <w:vAlign w:val="center"/>
          </w:tcPr>
          <w:p w14:paraId="202777B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6CEF1773">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67F1C9CA">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2153A58D">
            <w:pPr>
              <w:widowControl/>
              <w:adjustRightInd w:val="0"/>
              <w:snapToGrid w:val="0"/>
              <w:spacing w:line="290" w:lineRule="exact"/>
              <w:ind w:firstLine="400" w:firstLineChars="200"/>
              <w:rPr>
                <w:rFonts w:hint="eastAsia" w:eastAsia="仿宋_GB2312" w:cs="仿宋_GB2312"/>
                <w:snapToGrid w:val="0"/>
                <w:color w:val="000000"/>
                <w:sz w:val="20"/>
                <w:szCs w:val="20"/>
                <w:lang w:val="en-US"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5E48FF68">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r>
              <w:rPr>
                <w:rFonts w:hint="eastAsia" w:eastAsia="仿宋_GB2312" w:cs="仿宋_GB2312"/>
                <w:snapToGrid w:val="0"/>
                <w:color w:val="000000"/>
                <w:sz w:val="20"/>
                <w:szCs w:val="20"/>
              </w:rPr>
              <w:t>。</w:t>
            </w:r>
          </w:p>
        </w:tc>
        <w:tc>
          <w:tcPr>
            <w:tcW w:w="4842" w:type="dxa"/>
            <w:vAlign w:val="center"/>
          </w:tcPr>
          <w:p w14:paraId="6FD73C28">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14:paraId="3E3DF7E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2—1.【法律】《中华人民共和国行政许可法》第三十四条：行政机关应当对申请人提交的材料进行审查。</w:t>
            </w:r>
          </w:p>
          <w:p w14:paraId="5041F897">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部门规章】《公证员执业管理办法》（2006年司法部令第102号）第十七条：省、自治区、直辖市司法行政机关对报请司法部予以任命、免职或者经核准变更执业机构的公证员，应当在收到任免决定或者作出准予变更决定后20日内，在省级报刊上予以公告。</w:t>
            </w:r>
          </w:p>
        </w:tc>
        <w:tc>
          <w:tcPr>
            <w:tcW w:w="1489" w:type="dxa"/>
            <w:vAlign w:val="center"/>
          </w:tcPr>
          <w:p w14:paraId="6F3D04F9">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4A9C7C58">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26DDC5FC">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5E81D85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3D1EA63A">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68AAC7E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1087FA5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5BB477AF">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36B78866">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0F57AD04">
            <w:pPr>
              <w:adjustRightInd w:val="0"/>
              <w:snapToGrid w:val="0"/>
              <w:spacing w:line="300" w:lineRule="exact"/>
              <w:jc w:val="center"/>
              <w:rPr>
                <w:rFonts w:ascii="方正书宋_GBK" w:hAnsi="宋体" w:eastAsia="方正书宋_GBK" w:cs="宋体"/>
                <w:kern w:val="0"/>
                <w:sz w:val="20"/>
                <w:szCs w:val="20"/>
              </w:rPr>
            </w:pPr>
          </w:p>
        </w:tc>
      </w:tr>
      <w:tr w14:paraId="3C3A7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1DAC0D1C">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11</w:t>
            </w:r>
          </w:p>
        </w:tc>
        <w:tc>
          <w:tcPr>
            <w:tcW w:w="308" w:type="dxa"/>
            <w:vAlign w:val="center"/>
          </w:tcPr>
          <w:p w14:paraId="4BD6463D">
            <w:pPr>
              <w:widowControl/>
              <w:adjustRightInd w:val="0"/>
              <w:snapToGrid w:val="0"/>
              <w:spacing w:line="290"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其他行政权力</w:t>
            </w:r>
          </w:p>
        </w:tc>
        <w:tc>
          <w:tcPr>
            <w:tcW w:w="504" w:type="dxa"/>
            <w:vAlign w:val="center"/>
          </w:tcPr>
          <w:p w14:paraId="64AF0FEB">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rPr>
              <w:t>公证机构变更核准</w:t>
            </w:r>
          </w:p>
        </w:tc>
        <w:tc>
          <w:tcPr>
            <w:tcW w:w="546" w:type="dxa"/>
            <w:vAlign w:val="center"/>
          </w:tcPr>
          <w:p w14:paraId="11994E0B">
            <w:pPr>
              <w:adjustRightInd w:val="0"/>
              <w:snapToGrid w:val="0"/>
              <w:spacing w:line="300" w:lineRule="exact"/>
              <w:jc w:val="center"/>
              <w:rPr>
                <w:rFonts w:ascii="方正书宋_GBK" w:hAnsi="宋体" w:eastAsia="方正书宋_GBK" w:cs="宋体"/>
                <w:kern w:val="0"/>
                <w:sz w:val="20"/>
                <w:szCs w:val="20"/>
              </w:rPr>
            </w:pPr>
            <w:r>
              <w:rPr>
                <w:rFonts w:hint="eastAsia" w:eastAsia="仿宋_GB2312" w:cs="仿宋_GB2312"/>
                <w:snapToGrid w:val="0"/>
                <w:color w:val="000000"/>
                <w:sz w:val="20"/>
                <w:szCs w:val="20"/>
              </w:rPr>
              <w:t>1.公证机构名称变更核准初审</w:t>
            </w:r>
          </w:p>
        </w:tc>
        <w:tc>
          <w:tcPr>
            <w:tcW w:w="966" w:type="dxa"/>
            <w:vAlign w:val="center"/>
          </w:tcPr>
          <w:p w14:paraId="5E53CEFD">
            <w:pPr>
              <w:widowControl/>
              <w:adjustRightInd w:val="0"/>
              <w:snapToGrid w:val="0"/>
              <w:spacing w:line="290" w:lineRule="exact"/>
              <w:jc w:val="center"/>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lang w:eastAsia="zh-CN"/>
              </w:rPr>
              <w:t>县司法局</w:t>
            </w:r>
          </w:p>
        </w:tc>
        <w:tc>
          <w:tcPr>
            <w:tcW w:w="1008" w:type="dxa"/>
            <w:vAlign w:val="center"/>
          </w:tcPr>
          <w:p w14:paraId="7AD1F125">
            <w:pPr>
              <w:widowControl/>
              <w:adjustRightInd w:val="0"/>
              <w:snapToGrid w:val="0"/>
              <w:spacing w:line="290" w:lineRule="exact"/>
              <w:jc w:val="center"/>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lang w:eastAsia="zh-CN"/>
              </w:rPr>
              <w:t>公共法律服务管理股</w:t>
            </w:r>
          </w:p>
        </w:tc>
        <w:tc>
          <w:tcPr>
            <w:tcW w:w="3199" w:type="dxa"/>
            <w:vAlign w:val="center"/>
          </w:tcPr>
          <w:p w14:paraId="75EC337A">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tc>
        <w:tc>
          <w:tcPr>
            <w:tcW w:w="2177" w:type="dxa"/>
            <w:vAlign w:val="center"/>
          </w:tcPr>
          <w:p w14:paraId="732A87B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47D9FED3">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448075B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4ECFDEAB">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4986A3C8">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p>
        </w:tc>
        <w:tc>
          <w:tcPr>
            <w:tcW w:w="4842" w:type="dxa"/>
            <w:vAlign w:val="center"/>
          </w:tcPr>
          <w:p w14:paraId="098A6E1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 【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p w14:paraId="4B9BD660">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2.【法律】《中华人民共和国行政许可法》第三十四条：行政机关应当对申请人提交的材料进行审查。</w:t>
            </w:r>
          </w:p>
          <w:p w14:paraId="54A9483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364D2B3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 【部门规章】《公证机构执业管理办法》（2006年司法部令第101号）第二十三条：公证机构变更名称、办公场所、负责人、执业区域或者分立、合并的，应当在报请核准的同时，申请换发公证机构执业证书。</w:t>
            </w:r>
          </w:p>
          <w:p w14:paraId="0A0FBC2A">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5.同1</w:t>
            </w:r>
          </w:p>
          <w:p w14:paraId="5B6AF49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部门规章】《公证机构执业管理办法》（2006年司法部令第101号）第十七条第一款：省、自治区、直辖市司法行政机关对经批准设立的公证机构以及公证机构重要的变更事项，应当在作出批准决定后二十日内，在省级报刊上予以公告。</w:t>
            </w:r>
          </w:p>
          <w:p w14:paraId="7E6F5B6C">
            <w:pPr>
              <w:widowControl/>
              <w:adjustRightInd w:val="0"/>
              <w:snapToGrid w:val="0"/>
              <w:spacing w:line="290" w:lineRule="exact"/>
              <w:ind w:firstLine="400" w:firstLineChars="200"/>
              <w:rPr>
                <w:rFonts w:ascii="方正书宋_GBK" w:hAnsi="宋体" w:eastAsia="方正书宋_GBK" w:cs="宋体"/>
                <w:kern w:val="0"/>
                <w:sz w:val="20"/>
                <w:szCs w:val="20"/>
              </w:rPr>
            </w:pPr>
          </w:p>
        </w:tc>
        <w:tc>
          <w:tcPr>
            <w:tcW w:w="1489" w:type="dxa"/>
            <w:vAlign w:val="center"/>
          </w:tcPr>
          <w:p w14:paraId="03F1CCE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1578034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4E94A86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11A2F72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53F2E820">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06A809DB">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1E15DE3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419E25AF">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4C842E0E">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00CA2AB8">
            <w:pPr>
              <w:adjustRightInd w:val="0"/>
              <w:snapToGrid w:val="0"/>
              <w:spacing w:line="300" w:lineRule="exact"/>
              <w:jc w:val="center"/>
              <w:rPr>
                <w:rFonts w:ascii="方正书宋_GBK" w:hAnsi="宋体" w:eastAsia="方正书宋_GBK" w:cs="宋体"/>
                <w:kern w:val="0"/>
                <w:sz w:val="20"/>
                <w:szCs w:val="20"/>
              </w:rPr>
            </w:pPr>
          </w:p>
        </w:tc>
      </w:tr>
      <w:tr w14:paraId="72EF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4E786E0F">
            <w:pPr>
              <w:adjustRightInd w:val="0"/>
              <w:snapToGrid w:val="0"/>
              <w:spacing w:line="300" w:lineRule="exact"/>
              <w:jc w:val="center"/>
              <w:rPr>
                <w:rFonts w:hint="eastAsia" w:ascii="方正书宋_GBK" w:hAnsi="宋体" w:eastAsia="方正书宋_GBK" w:cs="宋体"/>
                <w:kern w:val="0"/>
                <w:sz w:val="20"/>
                <w:szCs w:val="20"/>
              </w:rPr>
            </w:pPr>
          </w:p>
        </w:tc>
        <w:tc>
          <w:tcPr>
            <w:tcW w:w="308" w:type="dxa"/>
            <w:vAlign w:val="center"/>
          </w:tcPr>
          <w:p w14:paraId="406ADD7B">
            <w:pPr>
              <w:widowControl/>
              <w:adjustRightInd w:val="0"/>
              <w:snapToGrid w:val="0"/>
              <w:spacing w:line="290" w:lineRule="exact"/>
              <w:jc w:val="center"/>
              <w:rPr>
                <w:rFonts w:hint="eastAsia" w:eastAsia="仿宋_GB2312" w:cs="仿宋_GB2312"/>
                <w:snapToGrid w:val="0"/>
                <w:color w:val="000000"/>
                <w:sz w:val="20"/>
                <w:szCs w:val="20"/>
              </w:rPr>
            </w:pPr>
          </w:p>
        </w:tc>
        <w:tc>
          <w:tcPr>
            <w:tcW w:w="504" w:type="dxa"/>
            <w:vAlign w:val="center"/>
          </w:tcPr>
          <w:p w14:paraId="14C74841">
            <w:pPr>
              <w:widowControl/>
              <w:adjustRightInd w:val="0"/>
              <w:snapToGrid w:val="0"/>
              <w:spacing w:line="290" w:lineRule="exact"/>
              <w:rPr>
                <w:rFonts w:hint="eastAsia" w:eastAsia="仿宋_GB2312" w:cs="仿宋_GB2312"/>
                <w:snapToGrid w:val="0"/>
                <w:color w:val="000000"/>
                <w:sz w:val="20"/>
                <w:szCs w:val="20"/>
              </w:rPr>
            </w:pPr>
          </w:p>
        </w:tc>
        <w:tc>
          <w:tcPr>
            <w:tcW w:w="546" w:type="dxa"/>
            <w:vAlign w:val="center"/>
          </w:tcPr>
          <w:p w14:paraId="72BFA980">
            <w:pPr>
              <w:adjustRightInd w:val="0"/>
              <w:snapToGrid w:val="0"/>
              <w:spacing w:line="300" w:lineRule="exact"/>
              <w:jc w:val="center"/>
              <w:rPr>
                <w:rFonts w:hint="eastAsia" w:eastAsia="仿宋_GB2312" w:cs="仿宋_GB2312"/>
                <w:snapToGrid w:val="0"/>
                <w:color w:val="000000"/>
                <w:sz w:val="20"/>
                <w:szCs w:val="20"/>
              </w:rPr>
            </w:pPr>
            <w:r>
              <w:rPr>
                <w:rFonts w:hint="eastAsia" w:eastAsia="仿宋_GB2312" w:cs="仿宋_GB2312"/>
                <w:snapToGrid w:val="0"/>
                <w:color w:val="000000"/>
                <w:sz w:val="20"/>
                <w:szCs w:val="20"/>
              </w:rPr>
              <w:t>2.公证机构办公场所变更核准初审</w:t>
            </w:r>
          </w:p>
        </w:tc>
        <w:tc>
          <w:tcPr>
            <w:tcW w:w="966" w:type="dxa"/>
            <w:vAlign w:val="center"/>
          </w:tcPr>
          <w:p w14:paraId="6E4ACA48">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县司法局</w:t>
            </w:r>
          </w:p>
        </w:tc>
        <w:tc>
          <w:tcPr>
            <w:tcW w:w="1008" w:type="dxa"/>
            <w:vAlign w:val="center"/>
          </w:tcPr>
          <w:p w14:paraId="0924FA2C">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公共法律服务管理股</w:t>
            </w:r>
          </w:p>
        </w:tc>
        <w:tc>
          <w:tcPr>
            <w:tcW w:w="3199" w:type="dxa"/>
            <w:vAlign w:val="center"/>
          </w:tcPr>
          <w:p w14:paraId="4C51AE18">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tc>
        <w:tc>
          <w:tcPr>
            <w:tcW w:w="2177" w:type="dxa"/>
            <w:vAlign w:val="center"/>
          </w:tcPr>
          <w:p w14:paraId="48B26CF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38E07E55">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59EA36BA">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3A135C2C">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58BBB074">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p>
        </w:tc>
        <w:tc>
          <w:tcPr>
            <w:tcW w:w="4842" w:type="dxa"/>
            <w:vAlign w:val="center"/>
          </w:tcPr>
          <w:p w14:paraId="3E0C422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 【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p w14:paraId="00E05D6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2.【法律】《中华人民共和国行政许可法》第三十四条：行政机关应当对申请人提交的材料进行审查。</w:t>
            </w:r>
          </w:p>
          <w:p w14:paraId="7C8A026A">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41AE58C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 【部门规章】《公证机构执业管理办法》（2006年司法部令第101号）第二十三条：公证机构变更名称、办公场所、负责人、执业区域或者分立、合并的，应当在报请核准的同时，申请换发公证机构执业证书。</w:t>
            </w:r>
          </w:p>
          <w:p w14:paraId="58D8A7A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5.同1</w:t>
            </w:r>
          </w:p>
          <w:p w14:paraId="42680CBD">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6. 【部门规章】《公证机构执业管理办法》（2006年司法部令第101号）第十七条第一款：省、自治区、直辖市司法行政机关对经批准设立的公证机构以及公证机构重要的变更事项，应当在作出批准决定后二十日内，在省级报刊上予以公告。</w:t>
            </w:r>
          </w:p>
        </w:tc>
        <w:tc>
          <w:tcPr>
            <w:tcW w:w="1489" w:type="dxa"/>
            <w:vAlign w:val="center"/>
          </w:tcPr>
          <w:p w14:paraId="5E63C14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1F748C8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1A8B086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45A046A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03000FCF">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26950715">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670B3F7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6C79EA25">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3BB70C18">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6864B94A">
            <w:pPr>
              <w:adjustRightInd w:val="0"/>
              <w:snapToGrid w:val="0"/>
              <w:spacing w:line="300" w:lineRule="exact"/>
              <w:jc w:val="center"/>
              <w:rPr>
                <w:rFonts w:ascii="方正书宋_GBK" w:hAnsi="宋体" w:eastAsia="方正书宋_GBK" w:cs="宋体"/>
                <w:kern w:val="0"/>
                <w:sz w:val="20"/>
                <w:szCs w:val="20"/>
              </w:rPr>
            </w:pPr>
          </w:p>
        </w:tc>
      </w:tr>
      <w:tr w14:paraId="76314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23BE984A">
            <w:pPr>
              <w:adjustRightInd w:val="0"/>
              <w:snapToGrid w:val="0"/>
              <w:spacing w:line="300" w:lineRule="exact"/>
              <w:jc w:val="center"/>
              <w:rPr>
                <w:rFonts w:hint="eastAsia" w:ascii="方正书宋_GBK" w:hAnsi="宋体" w:eastAsia="方正书宋_GBK" w:cs="宋体"/>
                <w:kern w:val="0"/>
                <w:sz w:val="20"/>
                <w:szCs w:val="20"/>
              </w:rPr>
            </w:pPr>
          </w:p>
        </w:tc>
        <w:tc>
          <w:tcPr>
            <w:tcW w:w="308" w:type="dxa"/>
            <w:vAlign w:val="center"/>
          </w:tcPr>
          <w:p w14:paraId="6EE4A131">
            <w:pPr>
              <w:widowControl/>
              <w:adjustRightInd w:val="0"/>
              <w:snapToGrid w:val="0"/>
              <w:spacing w:line="290" w:lineRule="exact"/>
              <w:jc w:val="center"/>
              <w:rPr>
                <w:rFonts w:hint="eastAsia" w:eastAsia="仿宋_GB2312" w:cs="仿宋_GB2312"/>
                <w:snapToGrid w:val="0"/>
                <w:color w:val="000000"/>
                <w:sz w:val="20"/>
                <w:szCs w:val="20"/>
              </w:rPr>
            </w:pPr>
          </w:p>
        </w:tc>
        <w:tc>
          <w:tcPr>
            <w:tcW w:w="504" w:type="dxa"/>
            <w:vAlign w:val="center"/>
          </w:tcPr>
          <w:p w14:paraId="43FC615D">
            <w:pPr>
              <w:widowControl/>
              <w:adjustRightInd w:val="0"/>
              <w:snapToGrid w:val="0"/>
              <w:spacing w:line="290" w:lineRule="exact"/>
              <w:rPr>
                <w:rFonts w:hint="eastAsia" w:eastAsia="仿宋_GB2312" w:cs="仿宋_GB2312"/>
                <w:snapToGrid w:val="0"/>
                <w:color w:val="000000"/>
                <w:sz w:val="20"/>
                <w:szCs w:val="20"/>
              </w:rPr>
            </w:pPr>
          </w:p>
        </w:tc>
        <w:tc>
          <w:tcPr>
            <w:tcW w:w="546" w:type="dxa"/>
            <w:vAlign w:val="center"/>
          </w:tcPr>
          <w:p w14:paraId="1F3637AF">
            <w:pPr>
              <w:adjustRightInd w:val="0"/>
              <w:snapToGrid w:val="0"/>
              <w:spacing w:line="300" w:lineRule="exact"/>
              <w:jc w:val="center"/>
              <w:rPr>
                <w:rFonts w:hint="eastAsia" w:eastAsia="仿宋_GB2312" w:cs="仿宋_GB2312"/>
                <w:snapToGrid w:val="0"/>
                <w:color w:val="000000"/>
                <w:sz w:val="20"/>
                <w:szCs w:val="20"/>
              </w:rPr>
            </w:pPr>
            <w:r>
              <w:rPr>
                <w:rFonts w:hint="eastAsia" w:eastAsia="仿宋_GB2312" w:cs="仿宋_GB2312"/>
                <w:snapToGrid w:val="0"/>
                <w:color w:val="000000"/>
                <w:sz w:val="20"/>
                <w:szCs w:val="20"/>
              </w:rPr>
              <w:t>3.公证机构分立核准初审</w:t>
            </w:r>
          </w:p>
        </w:tc>
        <w:tc>
          <w:tcPr>
            <w:tcW w:w="966" w:type="dxa"/>
            <w:vAlign w:val="center"/>
          </w:tcPr>
          <w:p w14:paraId="62352BBB">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县司法局</w:t>
            </w:r>
          </w:p>
        </w:tc>
        <w:tc>
          <w:tcPr>
            <w:tcW w:w="1008" w:type="dxa"/>
            <w:vAlign w:val="center"/>
          </w:tcPr>
          <w:p w14:paraId="47805D40">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公共法律服务管理股</w:t>
            </w:r>
          </w:p>
        </w:tc>
        <w:tc>
          <w:tcPr>
            <w:tcW w:w="3199" w:type="dxa"/>
            <w:vAlign w:val="center"/>
          </w:tcPr>
          <w:p w14:paraId="1FCAA427">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tc>
        <w:tc>
          <w:tcPr>
            <w:tcW w:w="2177" w:type="dxa"/>
            <w:vAlign w:val="center"/>
          </w:tcPr>
          <w:p w14:paraId="7AB5E0EA">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22A01F55">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15F47AE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72BAFBF8">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682C4ED7">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p>
        </w:tc>
        <w:tc>
          <w:tcPr>
            <w:tcW w:w="4842" w:type="dxa"/>
            <w:vAlign w:val="center"/>
          </w:tcPr>
          <w:p w14:paraId="622CB49C">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 【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p w14:paraId="55670AA9">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2.【法律】《中华人民共和国行政许可法》第三十四条：行政机关应当对申请人提交的材料进行审查。</w:t>
            </w:r>
          </w:p>
          <w:p w14:paraId="4EA59FC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7E5A66C9">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 【部门规章】《公证机构执业管理办法》（2006年司法部令第101号）第二十三条：公证机构变更名称、办公场所、负责人、执业区域或者分立、合并的，应当在报请核准的同时，申请换发公证机构执业证书。</w:t>
            </w:r>
          </w:p>
          <w:p w14:paraId="136C7DFC">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5.同1</w:t>
            </w:r>
          </w:p>
          <w:p w14:paraId="1DD93438">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6.【部门规章】《公证机构执业管理办法》（2006年司法部令第101号）第十七条第一款：省、自治区、直辖市司法行政机关对经批准设立的公证机构以及公证机构重要的变更事项，应当在作出批准决定后二十日内，在省级报刊上予以公告。</w:t>
            </w:r>
          </w:p>
        </w:tc>
        <w:tc>
          <w:tcPr>
            <w:tcW w:w="1489" w:type="dxa"/>
            <w:vAlign w:val="center"/>
          </w:tcPr>
          <w:p w14:paraId="0E47895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6AC20330">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73F9C352">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7718423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0BE73B7D">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66DB2A7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1BE9822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73D72734">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6C31787B">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78CF7F65">
            <w:pPr>
              <w:adjustRightInd w:val="0"/>
              <w:snapToGrid w:val="0"/>
              <w:spacing w:line="300" w:lineRule="exact"/>
              <w:jc w:val="center"/>
              <w:rPr>
                <w:rFonts w:ascii="方正书宋_GBK" w:hAnsi="宋体" w:eastAsia="方正书宋_GBK" w:cs="宋体"/>
                <w:kern w:val="0"/>
                <w:sz w:val="20"/>
                <w:szCs w:val="20"/>
              </w:rPr>
            </w:pPr>
          </w:p>
        </w:tc>
      </w:tr>
      <w:tr w14:paraId="77B1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7A0454A">
            <w:pPr>
              <w:adjustRightInd w:val="0"/>
              <w:snapToGrid w:val="0"/>
              <w:spacing w:line="300" w:lineRule="exact"/>
              <w:jc w:val="center"/>
              <w:rPr>
                <w:rFonts w:hint="eastAsia" w:ascii="方正书宋_GBK" w:hAnsi="宋体" w:eastAsia="方正书宋_GBK" w:cs="宋体"/>
                <w:kern w:val="0"/>
                <w:sz w:val="20"/>
                <w:szCs w:val="20"/>
              </w:rPr>
            </w:pPr>
          </w:p>
        </w:tc>
        <w:tc>
          <w:tcPr>
            <w:tcW w:w="308" w:type="dxa"/>
            <w:vAlign w:val="center"/>
          </w:tcPr>
          <w:p w14:paraId="466C5B3F">
            <w:pPr>
              <w:widowControl/>
              <w:adjustRightInd w:val="0"/>
              <w:snapToGrid w:val="0"/>
              <w:spacing w:line="290" w:lineRule="exact"/>
              <w:jc w:val="center"/>
              <w:rPr>
                <w:rFonts w:hint="eastAsia" w:eastAsia="仿宋_GB2312" w:cs="仿宋_GB2312"/>
                <w:snapToGrid w:val="0"/>
                <w:color w:val="000000"/>
                <w:sz w:val="20"/>
                <w:szCs w:val="20"/>
              </w:rPr>
            </w:pPr>
          </w:p>
        </w:tc>
        <w:tc>
          <w:tcPr>
            <w:tcW w:w="504" w:type="dxa"/>
            <w:vAlign w:val="center"/>
          </w:tcPr>
          <w:p w14:paraId="0814409F">
            <w:pPr>
              <w:widowControl/>
              <w:adjustRightInd w:val="0"/>
              <w:snapToGrid w:val="0"/>
              <w:spacing w:line="290" w:lineRule="exact"/>
              <w:rPr>
                <w:rFonts w:hint="eastAsia" w:eastAsia="仿宋_GB2312" w:cs="仿宋_GB2312"/>
                <w:snapToGrid w:val="0"/>
                <w:color w:val="000000"/>
                <w:sz w:val="20"/>
                <w:szCs w:val="20"/>
              </w:rPr>
            </w:pPr>
          </w:p>
        </w:tc>
        <w:tc>
          <w:tcPr>
            <w:tcW w:w="546" w:type="dxa"/>
            <w:vAlign w:val="center"/>
          </w:tcPr>
          <w:p w14:paraId="7285B5D3">
            <w:pPr>
              <w:adjustRightInd w:val="0"/>
              <w:snapToGrid w:val="0"/>
              <w:spacing w:line="300" w:lineRule="exact"/>
              <w:jc w:val="center"/>
              <w:rPr>
                <w:rFonts w:hint="eastAsia" w:eastAsia="仿宋_GB2312" w:cs="仿宋_GB2312"/>
                <w:snapToGrid w:val="0"/>
                <w:color w:val="000000"/>
                <w:sz w:val="20"/>
                <w:szCs w:val="20"/>
              </w:rPr>
            </w:pPr>
            <w:r>
              <w:rPr>
                <w:rFonts w:hint="eastAsia" w:eastAsia="仿宋_GB2312" w:cs="仿宋_GB2312"/>
                <w:snapToGrid w:val="0"/>
                <w:color w:val="000000"/>
                <w:sz w:val="20"/>
                <w:szCs w:val="20"/>
              </w:rPr>
              <w:t>4.公证机构合并核准初审</w:t>
            </w:r>
          </w:p>
        </w:tc>
        <w:tc>
          <w:tcPr>
            <w:tcW w:w="966" w:type="dxa"/>
            <w:vAlign w:val="center"/>
          </w:tcPr>
          <w:p w14:paraId="7F6867D2">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县司法局</w:t>
            </w:r>
          </w:p>
        </w:tc>
        <w:tc>
          <w:tcPr>
            <w:tcW w:w="1008" w:type="dxa"/>
            <w:vAlign w:val="center"/>
          </w:tcPr>
          <w:p w14:paraId="139DA9DB">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公共法律服务管理股</w:t>
            </w:r>
          </w:p>
        </w:tc>
        <w:tc>
          <w:tcPr>
            <w:tcW w:w="3199" w:type="dxa"/>
            <w:vAlign w:val="center"/>
          </w:tcPr>
          <w:p w14:paraId="558A2AFC">
            <w:pPr>
              <w:widowControl/>
              <w:adjustRightInd w:val="0"/>
              <w:snapToGrid w:val="0"/>
              <w:spacing w:line="288"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tc>
        <w:tc>
          <w:tcPr>
            <w:tcW w:w="2177" w:type="dxa"/>
            <w:vAlign w:val="center"/>
          </w:tcPr>
          <w:p w14:paraId="3D23E0F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74D84CD0">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4AE9BD6B">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5C01623C">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0C5913C1">
            <w:pPr>
              <w:widowControl/>
              <w:adjustRightInd w:val="0"/>
              <w:snapToGrid w:val="0"/>
              <w:spacing w:line="288"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p>
        </w:tc>
        <w:tc>
          <w:tcPr>
            <w:tcW w:w="4842" w:type="dxa"/>
            <w:vAlign w:val="center"/>
          </w:tcPr>
          <w:p w14:paraId="1CCC991B">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 【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p w14:paraId="3359CB58">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2.【法律】《中华人民共和国行政许可法》第三十四条：行政机关应当对申请人提交的材料进行审查。</w:t>
            </w:r>
          </w:p>
          <w:p w14:paraId="0C1E50B0">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03232519">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 【部门规章】《公证机构执业管理办法》（2006年司法部令第101号）第二十三条：公证机构变更名称、办公场所、负责人、执业区域或者分立、合并的，应当在报请核准的同时，申请换发公证机构执业证书。</w:t>
            </w:r>
          </w:p>
          <w:p w14:paraId="26D60DE6">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5.同1</w:t>
            </w:r>
          </w:p>
          <w:p w14:paraId="499E7340">
            <w:pPr>
              <w:widowControl/>
              <w:adjustRightInd w:val="0"/>
              <w:snapToGrid w:val="0"/>
              <w:spacing w:line="288"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6. 【部门规章】《公证机构执业管理办法》（2006年司法部令第101号）第十七条第一款：省、自治区、直辖市司法行政机关对经批准设立的公证机构以及公证机构重要的变更事项，应当在作出批准决定后二十日内，在省级报刊上予以公告。</w:t>
            </w:r>
          </w:p>
        </w:tc>
        <w:tc>
          <w:tcPr>
            <w:tcW w:w="1489" w:type="dxa"/>
            <w:vAlign w:val="center"/>
          </w:tcPr>
          <w:p w14:paraId="25D85AA0">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350A3141">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64054B9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775706E1">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7E908F01">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5413E9AA">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1BCD6113">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7A0B5D69">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73D3D89F">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39EC81EE">
            <w:pPr>
              <w:adjustRightInd w:val="0"/>
              <w:snapToGrid w:val="0"/>
              <w:spacing w:line="300" w:lineRule="exact"/>
              <w:jc w:val="center"/>
              <w:rPr>
                <w:rFonts w:ascii="方正书宋_GBK" w:hAnsi="宋体" w:eastAsia="方正书宋_GBK" w:cs="宋体"/>
                <w:kern w:val="0"/>
                <w:sz w:val="20"/>
                <w:szCs w:val="20"/>
              </w:rPr>
            </w:pPr>
          </w:p>
        </w:tc>
      </w:tr>
      <w:tr w14:paraId="3C428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259D3CE">
            <w:pPr>
              <w:adjustRightInd w:val="0"/>
              <w:snapToGrid w:val="0"/>
              <w:spacing w:line="300" w:lineRule="exact"/>
              <w:jc w:val="center"/>
              <w:rPr>
                <w:rFonts w:hint="eastAsia" w:ascii="方正书宋_GBK" w:hAnsi="宋体" w:eastAsia="方正书宋_GBK" w:cs="宋体"/>
                <w:kern w:val="0"/>
                <w:sz w:val="20"/>
                <w:szCs w:val="20"/>
              </w:rPr>
            </w:pPr>
          </w:p>
        </w:tc>
        <w:tc>
          <w:tcPr>
            <w:tcW w:w="308" w:type="dxa"/>
            <w:vAlign w:val="center"/>
          </w:tcPr>
          <w:p w14:paraId="72A554AE">
            <w:pPr>
              <w:widowControl/>
              <w:adjustRightInd w:val="0"/>
              <w:snapToGrid w:val="0"/>
              <w:spacing w:line="290" w:lineRule="exact"/>
              <w:jc w:val="center"/>
              <w:rPr>
                <w:rFonts w:hint="eastAsia" w:eastAsia="仿宋_GB2312" w:cs="仿宋_GB2312"/>
                <w:snapToGrid w:val="0"/>
                <w:color w:val="000000"/>
                <w:sz w:val="20"/>
                <w:szCs w:val="20"/>
              </w:rPr>
            </w:pPr>
          </w:p>
        </w:tc>
        <w:tc>
          <w:tcPr>
            <w:tcW w:w="504" w:type="dxa"/>
            <w:vAlign w:val="center"/>
          </w:tcPr>
          <w:p w14:paraId="6FE1EF9C">
            <w:pPr>
              <w:widowControl/>
              <w:adjustRightInd w:val="0"/>
              <w:snapToGrid w:val="0"/>
              <w:spacing w:line="290" w:lineRule="exact"/>
              <w:rPr>
                <w:rFonts w:hint="eastAsia" w:eastAsia="仿宋_GB2312" w:cs="仿宋_GB2312"/>
                <w:snapToGrid w:val="0"/>
                <w:color w:val="000000"/>
                <w:sz w:val="20"/>
                <w:szCs w:val="20"/>
              </w:rPr>
            </w:pPr>
          </w:p>
        </w:tc>
        <w:tc>
          <w:tcPr>
            <w:tcW w:w="546" w:type="dxa"/>
            <w:vAlign w:val="center"/>
          </w:tcPr>
          <w:p w14:paraId="02335A0D">
            <w:pPr>
              <w:adjustRightInd w:val="0"/>
              <w:snapToGrid w:val="0"/>
              <w:spacing w:line="300" w:lineRule="exact"/>
              <w:jc w:val="center"/>
              <w:rPr>
                <w:rFonts w:hint="eastAsia" w:eastAsia="仿宋_GB2312" w:cs="仿宋_GB2312"/>
                <w:snapToGrid w:val="0"/>
                <w:color w:val="000000"/>
                <w:sz w:val="20"/>
                <w:szCs w:val="20"/>
              </w:rPr>
            </w:pPr>
            <w:r>
              <w:rPr>
                <w:rFonts w:hint="eastAsia" w:eastAsia="仿宋_GB2312" w:cs="仿宋_GB2312"/>
                <w:snapToGrid w:val="0"/>
                <w:color w:val="000000"/>
                <w:sz w:val="20"/>
                <w:szCs w:val="20"/>
              </w:rPr>
              <w:t>5.公证机构执业区域变更核准初审</w:t>
            </w:r>
          </w:p>
        </w:tc>
        <w:tc>
          <w:tcPr>
            <w:tcW w:w="966" w:type="dxa"/>
            <w:vAlign w:val="center"/>
          </w:tcPr>
          <w:p w14:paraId="7963B684">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县司法局</w:t>
            </w:r>
          </w:p>
        </w:tc>
        <w:tc>
          <w:tcPr>
            <w:tcW w:w="1008" w:type="dxa"/>
            <w:vAlign w:val="center"/>
          </w:tcPr>
          <w:p w14:paraId="7FB54A51">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公共法律服务管理股</w:t>
            </w:r>
          </w:p>
        </w:tc>
        <w:tc>
          <w:tcPr>
            <w:tcW w:w="3199" w:type="dxa"/>
            <w:vAlign w:val="center"/>
          </w:tcPr>
          <w:p w14:paraId="3CC919EA">
            <w:pPr>
              <w:widowControl/>
              <w:adjustRightInd w:val="0"/>
              <w:snapToGrid w:val="0"/>
              <w:spacing w:line="288"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tc>
        <w:tc>
          <w:tcPr>
            <w:tcW w:w="2177" w:type="dxa"/>
            <w:vAlign w:val="center"/>
          </w:tcPr>
          <w:p w14:paraId="68BEE4E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26B323D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62718DD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3E5753D0">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69253F19">
            <w:pPr>
              <w:widowControl/>
              <w:adjustRightInd w:val="0"/>
              <w:snapToGrid w:val="0"/>
              <w:spacing w:line="288"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p>
        </w:tc>
        <w:tc>
          <w:tcPr>
            <w:tcW w:w="4842" w:type="dxa"/>
            <w:vAlign w:val="center"/>
          </w:tcPr>
          <w:p w14:paraId="146685FE">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 【部门规章】《公证机构执业管理办法》（2006年司法部令第101号）第十六条第一款：公证机构变更名称、办公场所，根据当地公证机构设置调整方案予以分立、合并或者变更执业区域的，应当由所在地司法行政机关审核后，逐级报省、自治区、直辖市司法行政机关办理变更核准手续。核准变更的，应当报司法部备案。</w:t>
            </w:r>
          </w:p>
          <w:p w14:paraId="12597880">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2.【法律】《中华人民共和国行政许可法》第三十四条：行政机关应当对申请人提交的材料进行审查。</w:t>
            </w:r>
          </w:p>
          <w:p w14:paraId="162929D0">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6DDF42CA">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 【部门规章】《公证机构执业管理办法》（2006年司法部令第101号）第二十三条：公证机构变更名称、办公场所、负责人、执业区域或者分立、合并的，应当在报请核准的同时，申请换发公证机构执业证书。</w:t>
            </w:r>
          </w:p>
          <w:p w14:paraId="004BF323">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5.同1</w:t>
            </w:r>
          </w:p>
          <w:p w14:paraId="2AA2500C">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 【部门规章】《公证机构执业管理办法》（2006年司法部令第101号）第十七条第一款：省、自治区、直辖市司法行政机关对经批准设立的公证机构以及公证机构重要的变更事项，应当在作出批准决定后二十日内，在省级报刊上予以公告。</w:t>
            </w:r>
          </w:p>
          <w:p w14:paraId="0ECB20C0">
            <w:pPr>
              <w:widowControl/>
              <w:adjustRightInd w:val="0"/>
              <w:snapToGrid w:val="0"/>
              <w:spacing w:line="288" w:lineRule="exact"/>
              <w:ind w:firstLine="400" w:firstLineChars="200"/>
              <w:rPr>
                <w:rFonts w:ascii="方正书宋_GBK" w:hAnsi="宋体" w:eastAsia="方正书宋_GBK" w:cs="宋体"/>
                <w:kern w:val="0"/>
                <w:sz w:val="20"/>
                <w:szCs w:val="20"/>
              </w:rPr>
            </w:pPr>
          </w:p>
        </w:tc>
        <w:tc>
          <w:tcPr>
            <w:tcW w:w="1489" w:type="dxa"/>
            <w:vAlign w:val="center"/>
          </w:tcPr>
          <w:p w14:paraId="7D94861A">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114C4E01">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4984AB0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1500B05D">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417D7507">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2C831228">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38252AB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1942AFCF">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7B75CAEB">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6A5233DB">
            <w:pPr>
              <w:adjustRightInd w:val="0"/>
              <w:snapToGrid w:val="0"/>
              <w:spacing w:line="300" w:lineRule="exact"/>
              <w:jc w:val="center"/>
              <w:rPr>
                <w:rFonts w:ascii="方正书宋_GBK" w:hAnsi="宋体" w:eastAsia="方正书宋_GBK" w:cs="宋体"/>
                <w:kern w:val="0"/>
                <w:sz w:val="20"/>
                <w:szCs w:val="20"/>
              </w:rPr>
            </w:pPr>
          </w:p>
        </w:tc>
      </w:tr>
      <w:tr w14:paraId="54A9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691652E6">
            <w:pPr>
              <w:adjustRightInd w:val="0"/>
              <w:snapToGrid w:val="0"/>
              <w:spacing w:line="300" w:lineRule="exact"/>
              <w:jc w:val="center"/>
              <w:rPr>
                <w:rFonts w:hint="eastAsia" w:ascii="方正书宋_GBK" w:hAnsi="宋体" w:eastAsia="方正书宋_GBK" w:cs="宋体"/>
                <w:kern w:val="0"/>
                <w:sz w:val="20"/>
                <w:szCs w:val="20"/>
              </w:rPr>
            </w:pPr>
          </w:p>
        </w:tc>
        <w:tc>
          <w:tcPr>
            <w:tcW w:w="308" w:type="dxa"/>
            <w:vAlign w:val="center"/>
          </w:tcPr>
          <w:p w14:paraId="4821F35F">
            <w:pPr>
              <w:widowControl/>
              <w:adjustRightInd w:val="0"/>
              <w:snapToGrid w:val="0"/>
              <w:spacing w:line="290" w:lineRule="exact"/>
              <w:jc w:val="center"/>
              <w:rPr>
                <w:rFonts w:hint="eastAsia" w:eastAsia="仿宋_GB2312" w:cs="仿宋_GB2312"/>
                <w:snapToGrid w:val="0"/>
                <w:color w:val="000000"/>
                <w:sz w:val="20"/>
                <w:szCs w:val="20"/>
              </w:rPr>
            </w:pPr>
          </w:p>
        </w:tc>
        <w:tc>
          <w:tcPr>
            <w:tcW w:w="504" w:type="dxa"/>
            <w:vAlign w:val="center"/>
          </w:tcPr>
          <w:p w14:paraId="53AC743B">
            <w:pPr>
              <w:widowControl/>
              <w:adjustRightInd w:val="0"/>
              <w:snapToGrid w:val="0"/>
              <w:spacing w:line="290" w:lineRule="exact"/>
              <w:rPr>
                <w:rFonts w:hint="eastAsia" w:eastAsia="仿宋_GB2312" w:cs="仿宋_GB2312"/>
                <w:snapToGrid w:val="0"/>
                <w:color w:val="000000"/>
                <w:sz w:val="20"/>
                <w:szCs w:val="20"/>
              </w:rPr>
            </w:pPr>
          </w:p>
        </w:tc>
        <w:tc>
          <w:tcPr>
            <w:tcW w:w="546" w:type="dxa"/>
            <w:vAlign w:val="center"/>
          </w:tcPr>
          <w:p w14:paraId="6D7EA3E4">
            <w:pPr>
              <w:adjustRightInd w:val="0"/>
              <w:snapToGrid w:val="0"/>
              <w:spacing w:line="300" w:lineRule="exact"/>
              <w:jc w:val="center"/>
              <w:rPr>
                <w:rFonts w:hint="eastAsia" w:eastAsia="仿宋_GB2312" w:cs="仿宋_GB2312"/>
                <w:snapToGrid w:val="0"/>
                <w:color w:val="000000"/>
                <w:sz w:val="20"/>
                <w:szCs w:val="20"/>
              </w:rPr>
            </w:pPr>
            <w:r>
              <w:rPr>
                <w:rFonts w:hint="eastAsia" w:eastAsia="仿宋_GB2312" w:cs="仿宋_GB2312"/>
                <w:snapToGrid w:val="0"/>
                <w:color w:val="000000"/>
                <w:sz w:val="20"/>
                <w:szCs w:val="20"/>
              </w:rPr>
              <w:t>6.公证机构负责人变更核准初审</w:t>
            </w:r>
          </w:p>
        </w:tc>
        <w:tc>
          <w:tcPr>
            <w:tcW w:w="966" w:type="dxa"/>
            <w:vAlign w:val="center"/>
          </w:tcPr>
          <w:p w14:paraId="6AC6EA6C">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县司法局</w:t>
            </w:r>
          </w:p>
        </w:tc>
        <w:tc>
          <w:tcPr>
            <w:tcW w:w="1008" w:type="dxa"/>
            <w:vAlign w:val="center"/>
          </w:tcPr>
          <w:p w14:paraId="16175ECF">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公共法律服务管理股</w:t>
            </w:r>
          </w:p>
        </w:tc>
        <w:tc>
          <w:tcPr>
            <w:tcW w:w="3199" w:type="dxa"/>
            <w:vAlign w:val="center"/>
          </w:tcPr>
          <w:p w14:paraId="4F1ABBD6">
            <w:pPr>
              <w:widowControl/>
              <w:adjustRightInd w:val="0"/>
              <w:snapToGrid w:val="0"/>
              <w:spacing w:line="288"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【部门规章】《公证机构执业管理办法》（2006年司法部令第101号）第十六条第二款：公证机构变更负责人的，经所在地司法行政机关核准后，逐级报省、自治区、直辖市司法行政机关备案。</w:t>
            </w:r>
          </w:p>
        </w:tc>
        <w:tc>
          <w:tcPr>
            <w:tcW w:w="2177" w:type="dxa"/>
            <w:vAlign w:val="center"/>
          </w:tcPr>
          <w:p w14:paraId="29B40D15">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2B95CBB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4F07F84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09790295">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5EF99256">
            <w:pPr>
              <w:widowControl/>
              <w:adjustRightInd w:val="0"/>
              <w:snapToGrid w:val="0"/>
              <w:spacing w:line="288"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p>
        </w:tc>
        <w:tc>
          <w:tcPr>
            <w:tcW w:w="4842" w:type="dxa"/>
            <w:vAlign w:val="center"/>
          </w:tcPr>
          <w:p w14:paraId="0F2C005F">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 【部门规章】《公证机构执业管理办法》（2006年司法部令第101号）第十六条第二款：公证机构变更负责人的，经所在地司法行政机关核准后，逐级报省、自治区、直辖市司法行政机关备案。</w:t>
            </w:r>
          </w:p>
          <w:p w14:paraId="05D02098">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2.【法律】《中华人民共和国行政许可法》第三十四条：行政机关应当对申请人提交的材料进行审查。</w:t>
            </w:r>
          </w:p>
          <w:p w14:paraId="328C5F45">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3.同1</w:t>
            </w:r>
          </w:p>
          <w:p w14:paraId="2ABDB36F">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 【部门规章】《公证机构执业管理办法》（2006年司法部令第101号）第二十三条：公证机构变更名称、办公场所、负责人、执业区域或者分立、合并的，应当在报请核准的同时，申请换发公证机构执业证书。</w:t>
            </w:r>
          </w:p>
          <w:p w14:paraId="4BAC00CA">
            <w:pPr>
              <w:widowControl/>
              <w:adjustRightInd w:val="0"/>
              <w:snapToGrid w:val="0"/>
              <w:spacing w:line="288"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5.同1</w:t>
            </w:r>
          </w:p>
          <w:p w14:paraId="2343A64A">
            <w:pPr>
              <w:widowControl/>
              <w:adjustRightInd w:val="0"/>
              <w:snapToGrid w:val="0"/>
              <w:spacing w:line="288"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6. 【部门规章】《公证机构执业管理办法》（2006年司法部令第101号）第十七条第一款：省、自治区、直辖市司法行政机关对经批准设立的公证机构以及公证机构重要的变更事项，应当在作出批准决定后二十日内，在省级报刊上予以公告。</w:t>
            </w:r>
          </w:p>
        </w:tc>
        <w:tc>
          <w:tcPr>
            <w:tcW w:w="1489" w:type="dxa"/>
            <w:vAlign w:val="center"/>
          </w:tcPr>
          <w:p w14:paraId="7C1D444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551D6915">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70128CBF">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08BCAA5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1086D750">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419FC3D5">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6E5DD44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3DC7B2F7">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1E1EA7EF">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2384057A">
            <w:pPr>
              <w:adjustRightInd w:val="0"/>
              <w:snapToGrid w:val="0"/>
              <w:spacing w:line="300" w:lineRule="exact"/>
              <w:jc w:val="center"/>
              <w:rPr>
                <w:rFonts w:ascii="方正书宋_GBK" w:hAnsi="宋体" w:eastAsia="方正书宋_GBK" w:cs="宋体"/>
                <w:kern w:val="0"/>
                <w:sz w:val="20"/>
                <w:szCs w:val="20"/>
              </w:rPr>
            </w:pPr>
          </w:p>
        </w:tc>
      </w:tr>
      <w:tr w14:paraId="5AD03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544" w:hRule="atLeast"/>
          <w:jc w:val="center"/>
        </w:trPr>
        <w:tc>
          <w:tcPr>
            <w:tcW w:w="406" w:type="dxa"/>
            <w:vAlign w:val="center"/>
          </w:tcPr>
          <w:p w14:paraId="38E87762">
            <w:pPr>
              <w:adjustRightInd w:val="0"/>
              <w:snapToGrid w:val="0"/>
              <w:spacing w:line="300" w:lineRule="exact"/>
              <w:jc w:val="center"/>
              <w:rPr>
                <w:rFonts w:hint="default" w:ascii="方正书宋_GBK" w:hAnsi="宋体" w:eastAsia="方正书宋_GBK" w:cs="宋体"/>
                <w:kern w:val="0"/>
                <w:sz w:val="20"/>
                <w:szCs w:val="20"/>
                <w:lang w:val="en-US" w:eastAsia="zh-CN"/>
              </w:rPr>
            </w:pPr>
            <w:r>
              <w:rPr>
                <w:rFonts w:hint="eastAsia" w:ascii="方正书宋_GBK" w:hAnsi="宋体" w:eastAsia="方正书宋_GBK" w:cs="宋体"/>
                <w:kern w:val="0"/>
                <w:sz w:val="20"/>
                <w:szCs w:val="20"/>
                <w:lang w:val="en-US" w:eastAsia="zh-CN"/>
              </w:rPr>
              <w:t>12</w:t>
            </w:r>
          </w:p>
        </w:tc>
        <w:tc>
          <w:tcPr>
            <w:tcW w:w="308" w:type="dxa"/>
            <w:vAlign w:val="center"/>
          </w:tcPr>
          <w:p w14:paraId="335C392B">
            <w:pPr>
              <w:widowControl/>
              <w:adjustRightInd w:val="0"/>
              <w:snapToGrid w:val="0"/>
              <w:spacing w:line="300" w:lineRule="exact"/>
              <w:jc w:val="center"/>
              <w:rPr>
                <w:rFonts w:hint="eastAsia" w:eastAsia="仿宋_GB2312" w:cs="仿宋_GB2312"/>
                <w:snapToGrid w:val="0"/>
                <w:color w:val="000000"/>
                <w:sz w:val="20"/>
                <w:szCs w:val="20"/>
              </w:rPr>
            </w:pPr>
            <w:r>
              <w:rPr>
                <w:rFonts w:hint="eastAsia" w:eastAsia="仿宋_GB2312" w:cs="仿宋_GB2312"/>
                <w:snapToGrid w:val="0"/>
                <w:color w:val="000000"/>
                <w:sz w:val="20"/>
                <w:szCs w:val="20"/>
              </w:rPr>
              <w:t>其他行政权力</w:t>
            </w:r>
          </w:p>
        </w:tc>
        <w:tc>
          <w:tcPr>
            <w:tcW w:w="504" w:type="dxa"/>
            <w:vAlign w:val="center"/>
          </w:tcPr>
          <w:p w14:paraId="59127847">
            <w:pPr>
              <w:widowControl/>
              <w:adjustRightInd w:val="0"/>
              <w:snapToGrid w:val="0"/>
              <w:spacing w:line="300" w:lineRule="exact"/>
              <w:rPr>
                <w:rFonts w:hint="eastAsia" w:eastAsia="仿宋_GB2312" w:cs="仿宋_GB2312"/>
                <w:snapToGrid w:val="0"/>
                <w:color w:val="000000"/>
                <w:sz w:val="20"/>
                <w:szCs w:val="20"/>
              </w:rPr>
            </w:pPr>
            <w:r>
              <w:rPr>
                <w:rFonts w:hint="eastAsia" w:eastAsia="仿宋_GB2312" w:cs="仿宋_GB2312"/>
                <w:snapToGrid w:val="0"/>
                <w:color w:val="000000"/>
                <w:sz w:val="20"/>
                <w:szCs w:val="20"/>
              </w:rPr>
              <w:t>公证机构设立批准转报</w:t>
            </w:r>
          </w:p>
        </w:tc>
        <w:tc>
          <w:tcPr>
            <w:tcW w:w="546" w:type="dxa"/>
            <w:vAlign w:val="center"/>
          </w:tcPr>
          <w:p w14:paraId="01B36AA3">
            <w:pPr>
              <w:adjustRightInd w:val="0"/>
              <w:snapToGrid w:val="0"/>
              <w:spacing w:line="300" w:lineRule="exact"/>
              <w:jc w:val="center"/>
              <w:rPr>
                <w:rFonts w:hint="eastAsia" w:eastAsia="仿宋_GB2312" w:cs="仿宋_GB2312"/>
                <w:snapToGrid w:val="0"/>
                <w:color w:val="000000"/>
                <w:sz w:val="20"/>
                <w:szCs w:val="20"/>
              </w:rPr>
            </w:pPr>
          </w:p>
        </w:tc>
        <w:tc>
          <w:tcPr>
            <w:tcW w:w="966" w:type="dxa"/>
            <w:vAlign w:val="center"/>
          </w:tcPr>
          <w:p w14:paraId="05792F54">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县司法局</w:t>
            </w:r>
          </w:p>
        </w:tc>
        <w:tc>
          <w:tcPr>
            <w:tcW w:w="1008" w:type="dxa"/>
            <w:vAlign w:val="center"/>
          </w:tcPr>
          <w:p w14:paraId="1F69DACE">
            <w:pPr>
              <w:widowControl/>
              <w:adjustRightInd w:val="0"/>
              <w:snapToGrid w:val="0"/>
              <w:spacing w:line="290" w:lineRule="exact"/>
              <w:rPr>
                <w:rFonts w:ascii="方正书宋_GBK" w:hAnsi="宋体" w:eastAsia="方正书宋_GBK" w:cs="宋体"/>
                <w:kern w:val="0"/>
                <w:sz w:val="20"/>
                <w:szCs w:val="20"/>
              </w:rPr>
            </w:pPr>
            <w:r>
              <w:rPr>
                <w:rFonts w:hint="eastAsia" w:eastAsia="仿宋_GB2312" w:cs="仿宋_GB2312"/>
                <w:snapToGrid w:val="0"/>
                <w:color w:val="000000"/>
                <w:sz w:val="20"/>
                <w:szCs w:val="20"/>
                <w:lang w:eastAsia="zh-CN"/>
              </w:rPr>
              <w:t>公共法律服务管理股</w:t>
            </w:r>
          </w:p>
        </w:tc>
        <w:tc>
          <w:tcPr>
            <w:tcW w:w="3199" w:type="dxa"/>
            <w:vAlign w:val="center"/>
          </w:tcPr>
          <w:p w14:paraId="3A6AFB08">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1.【法律】《中华人民共和国公证法》第九条： 设立公证机构，由所在地的司法行政部门报省、自治区、直辖市人民政府司法行政部门按照规定程序批准后，颁发公证机构执业证书。</w:t>
            </w:r>
          </w:p>
          <w:p w14:paraId="6FE1500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2.【部门规章】《公证机构执业管理办法》（2006年司法部令第101号）第十四条： 设立公证机构，由所在地司法行政机关组建，逐级报省、自治区、直辖市司法行政机关审批。</w:t>
            </w:r>
          </w:p>
          <w:p w14:paraId="0272B5D2">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第十五条：省、自治区、直辖市司法行政机关应当自收到申请材料之日起三十日内，完成审核，作出批准设立或者不予批准设立的决定。对准予设立的，颁发公证机构执业证书；对不准予设立的，应当在决定中告知不予批准的理由。</w:t>
            </w:r>
          </w:p>
          <w:p w14:paraId="1401859C">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批准设立公证机构的决定，应当报司法部备案。</w:t>
            </w:r>
          </w:p>
        </w:tc>
        <w:tc>
          <w:tcPr>
            <w:tcW w:w="2177" w:type="dxa"/>
            <w:vAlign w:val="center"/>
          </w:tcPr>
          <w:p w14:paraId="12FC6037">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1.受理责任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：公示应当提交的材料；一次性告知补正材料；依法受理或不予受理（不予受理应当告知理由）。</w:t>
            </w:r>
          </w:p>
          <w:p w14:paraId="4B700BC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2.审查责任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：按照政策规定对材料进行审核，提出是否同意审批的初步意见。</w:t>
            </w:r>
          </w:p>
          <w:p w14:paraId="51613295">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3.告知责任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：作出是否同意初审的决定，并告知申请人（不予许可的应当书面告知理由）。</w:t>
            </w:r>
          </w:p>
          <w:p w14:paraId="11C375DB">
            <w:pPr>
              <w:widowControl/>
              <w:adjustRightInd w:val="0"/>
              <w:snapToGrid w:val="0"/>
              <w:spacing w:line="290" w:lineRule="exact"/>
              <w:ind w:firstLine="400" w:firstLineChars="200"/>
              <w:rPr>
                <w:rFonts w:hint="eastAsia" w:eastAsia="仿宋_GB2312" w:cs="仿宋_GB2312"/>
                <w:snapToGrid w:val="0"/>
                <w:color w:val="000000"/>
                <w:sz w:val="20"/>
                <w:szCs w:val="20"/>
                <w:lang w:eastAsia="zh-CN"/>
              </w:rPr>
            </w:pPr>
            <w:r>
              <w:rPr>
                <w:rFonts w:hint="eastAsia" w:eastAsia="仿宋_GB2312" w:cs="仿宋_GB2312"/>
                <w:snapToGrid w:val="0"/>
                <w:color w:val="000000"/>
                <w:sz w:val="20"/>
                <w:szCs w:val="20"/>
              </w:rPr>
              <w:t>4.事后监管责任</w:t>
            </w:r>
            <w:r>
              <w:rPr>
                <w:rFonts w:hint="eastAsia" w:eastAsia="仿宋_GB2312" w:cs="仿宋_GB2312"/>
                <w:snapToGrid w:val="0"/>
                <w:color w:val="000000"/>
                <w:sz w:val="20"/>
                <w:szCs w:val="20"/>
                <w:lang w:eastAsia="zh-CN"/>
              </w:rPr>
              <w:t>（公共法律服务管理股）</w:t>
            </w:r>
            <w:r>
              <w:rPr>
                <w:rFonts w:hint="eastAsia" w:eastAsia="仿宋_GB2312" w:cs="仿宋_GB2312"/>
                <w:snapToGrid w:val="0"/>
                <w:color w:val="000000"/>
                <w:sz w:val="20"/>
                <w:szCs w:val="20"/>
              </w:rPr>
              <w:t>：对审批后的相关事宜实施监督管理</w:t>
            </w:r>
            <w:r>
              <w:rPr>
                <w:rFonts w:hint="eastAsia" w:eastAsia="仿宋_GB2312" w:cs="仿宋_GB2312"/>
                <w:snapToGrid w:val="0"/>
                <w:color w:val="000000"/>
                <w:sz w:val="20"/>
                <w:szCs w:val="20"/>
                <w:lang w:eastAsia="zh-CN"/>
              </w:rPr>
              <w:t>。</w:t>
            </w:r>
          </w:p>
          <w:p w14:paraId="00CD3D54">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5.其他法律法规规章文件规定应履行的责任</w:t>
            </w:r>
            <w:r>
              <w:rPr>
                <w:rFonts w:hint="eastAsia" w:eastAsia="仿宋_GB2312" w:cs="仿宋_GB2312"/>
                <w:snapToGrid w:val="0"/>
                <w:color w:val="000000"/>
                <w:sz w:val="20"/>
                <w:szCs w:val="20"/>
                <w:lang w:eastAsia="zh-CN"/>
              </w:rPr>
              <w:t>（相关股室）。</w:t>
            </w:r>
            <w:r>
              <w:rPr>
                <w:rFonts w:hint="eastAsia" w:eastAsia="仿宋_GB2312" w:cs="仿宋_GB2312"/>
                <w:snapToGrid w:val="0"/>
                <w:color w:val="000000"/>
                <w:sz w:val="20"/>
                <w:szCs w:val="20"/>
              </w:rPr>
              <w:t>履行的责任。</w:t>
            </w:r>
          </w:p>
        </w:tc>
        <w:tc>
          <w:tcPr>
            <w:tcW w:w="4842" w:type="dxa"/>
            <w:vAlign w:val="center"/>
          </w:tcPr>
          <w:p w14:paraId="624CD1BE">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1.【法律】《中华人民共和国公证法》第八条：设立公证机构，应当具备下列条件：（一）有自己的名称；（二）有固定的场所；（三）有二名以上公证员；（四）有开展公证业务所必需的资金。</w:t>
            </w:r>
          </w:p>
          <w:p w14:paraId="7FAAF58F">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2—1.【法律】《中华人民共和国行政许可法》第三十四条：行政机关应当对申请人提交的材料进行审查。</w:t>
            </w:r>
          </w:p>
          <w:p w14:paraId="295F5F4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2—2.【部门规章】《公证机构执业管理办法》（2006年司法部令第101号）第十四条：设立公证机构，由所在地司法行政机关组建，逐级报省、自治区、直辖市司法行政机关审批。</w:t>
            </w:r>
          </w:p>
          <w:p w14:paraId="11C593C9">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申请设立公证机构，应当提交下列材料：（一）设立公证机构的申请和组建报告；（二）拟采用的公证机构名称；（三）拟任公证员名单、简历、居民身份证复印件和符合担任公证员条件的证明材料；（四）拟推选的公证机构负责人的情况说明；（五）开办资金证明；（六）办公场所证明；（七）其他需要提交的材料。</w:t>
            </w:r>
          </w:p>
          <w:p w14:paraId="7C343679">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设立公证机构需要配备新的公证员的，应当依照《公证法》和司法部规定的条件和程序，报请审核、任命。</w:t>
            </w:r>
          </w:p>
          <w:p w14:paraId="686D1D68">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3—1.【法律】《中华人民共和国公证法》第九条：设立公证机构，由所在地的司法行政部门报省、自治区、直辖市人民政府司法行政部门按照规定程序批准后，颁发公证机构执业证书。</w:t>
            </w:r>
          </w:p>
          <w:p w14:paraId="6151CB1E">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2.【部门规章】《公证机构执业管理办法》（2006年司法部令第101号）第十五条：省、自治区、直辖市司法行政机关应当自收到申请材料之日起三十日内，完成审核，作出批准设立或者不予批准设立的决定。对准予设立的，颁发公证机构执业证书；对不准予设立的，应当在决定中告知不予批准的理由。批准设立公证机构的决定，应当报司法部备案。</w:t>
            </w:r>
          </w:p>
          <w:p w14:paraId="03A9EE37">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4—1.同3—1</w:t>
            </w:r>
          </w:p>
          <w:p w14:paraId="784BF996">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4—2.同3—2</w:t>
            </w:r>
          </w:p>
          <w:p w14:paraId="7803355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5.同3—2</w:t>
            </w:r>
          </w:p>
          <w:p w14:paraId="4EA3CCED">
            <w:pPr>
              <w:widowControl/>
              <w:adjustRightInd w:val="0"/>
              <w:snapToGrid w:val="0"/>
              <w:spacing w:line="30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6.【部门规章】《公证机构执业管理办法》（2006年司法部令第101号）第十七条第一款：省、自治区、直辖市司法行政机关对经批准设立的公证机构以及公证机构重要的变更事项，应当在作出批准决定后二十日内，在省级报刊上予以公告。</w:t>
            </w:r>
          </w:p>
        </w:tc>
        <w:tc>
          <w:tcPr>
            <w:tcW w:w="1489" w:type="dxa"/>
            <w:vAlign w:val="center"/>
          </w:tcPr>
          <w:p w14:paraId="6F0F25FE">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因不履行或不正确履行行政职责，有下列情形的行政机关及相关工作人员应承担相应的责任：</w:t>
            </w:r>
          </w:p>
          <w:p w14:paraId="05BACEF4">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1.对符合法定条件的申请人不予受理、许可的（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2EEB7D23">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2.对不符合有关法律法规的申请人予以审核同意的（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06E15138">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3.未严格审查申报材料，造成纠纷的（</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p w14:paraId="66EE0A7B">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4. 除以上追责情形外，其他违反法律法规规章文件规定的行为依法追究相应责任（</w:t>
            </w:r>
            <w:r>
              <w:rPr>
                <w:rFonts w:hint="eastAsia" w:eastAsia="仿宋_GB2312" w:cs="仿宋_GB2312"/>
                <w:snapToGrid w:val="0"/>
                <w:color w:val="000000"/>
                <w:sz w:val="20"/>
                <w:szCs w:val="20"/>
                <w:lang w:eastAsia="zh-CN"/>
              </w:rPr>
              <w:t>驻政法委纪检监察组</w:t>
            </w:r>
            <w:r>
              <w:rPr>
                <w:rFonts w:hint="eastAsia" w:eastAsia="仿宋_GB2312" w:cs="仿宋_GB2312"/>
                <w:snapToGrid w:val="0"/>
                <w:color w:val="000000"/>
                <w:sz w:val="20"/>
                <w:szCs w:val="20"/>
              </w:rPr>
              <w:t>）。</w:t>
            </w:r>
          </w:p>
        </w:tc>
        <w:tc>
          <w:tcPr>
            <w:tcW w:w="5188" w:type="dxa"/>
            <w:vAlign w:val="center"/>
          </w:tcPr>
          <w:p w14:paraId="45DD96A9">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1.【法律】《中华人民共和国行政许可法》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二）不在办公场所公示依法应当公示的材料的；（三）在受理、审查、决定行政许可过程中，未向申请人、利害关系人履行法定告知义务的； （四）申请人提交的申请材料不齐全、不符合法定形式，不一次告知申请人必须补正的全部内容的；（五）未依法说明不受理行政许可申请或者不予行政许可的理由的； （六）依法应当举行听证而不举行听证的”</w:t>
            </w:r>
          </w:p>
          <w:p w14:paraId="31830CC6">
            <w:pPr>
              <w:widowControl/>
              <w:adjustRightInd w:val="0"/>
              <w:snapToGrid w:val="0"/>
              <w:spacing w:line="290" w:lineRule="exact"/>
              <w:ind w:firstLine="400" w:firstLineChars="200"/>
              <w:rPr>
                <w:rFonts w:hint="eastAsia" w:eastAsia="仿宋_GB2312" w:cs="仿宋_GB2312"/>
                <w:snapToGrid w:val="0"/>
                <w:color w:val="000000"/>
                <w:sz w:val="20"/>
                <w:szCs w:val="20"/>
              </w:rPr>
            </w:pPr>
            <w:r>
              <w:rPr>
                <w:rFonts w:hint="eastAsia" w:eastAsia="仿宋_GB2312" w:cs="仿宋_GB2312"/>
                <w:snapToGrid w:val="0"/>
                <w:color w:val="000000"/>
                <w:sz w:val="20"/>
                <w:szCs w:val="20"/>
              </w:rPr>
              <w:t>2.【法律】《中华人民共和国行政许可法》 第七十四条“行政机关实施行政许可，有下列情形之一的，由其上级行政机关或者监察机关责令改正，对直接负责的主管人员和其他直接责任人员依法给予行政处分；构成犯罪的，依法追究刑事责任：（一）对不符合法定条件的申请人准予行政许可或者超越法定职权作出准予行政许可决定的；（二）对符合法定条件的申请人不予行政许可或者不在法定期限内作出准予行政许可决定的；（三）依法应当根据招标、拍卖结果或者考试成绩择优作出准予行政许可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不根据招标、拍卖结果或者考试成绩择优作出准予行政许可决定的”。</w:t>
            </w:r>
          </w:p>
          <w:p w14:paraId="6C4F8476">
            <w:pPr>
              <w:widowControl/>
              <w:adjustRightInd w:val="0"/>
              <w:snapToGrid w:val="0"/>
              <w:spacing w:line="290" w:lineRule="exact"/>
              <w:ind w:firstLine="400" w:firstLineChars="200"/>
              <w:rPr>
                <w:rFonts w:ascii="方正书宋_GBK" w:hAnsi="宋体" w:eastAsia="方正书宋_GBK" w:cs="宋体"/>
                <w:kern w:val="0"/>
                <w:sz w:val="20"/>
                <w:szCs w:val="20"/>
              </w:rPr>
            </w:pPr>
            <w:r>
              <w:rPr>
                <w:rFonts w:hint="eastAsia" w:eastAsia="仿宋_GB2312" w:cs="仿宋_GB2312"/>
                <w:snapToGrid w:val="0"/>
                <w:color w:val="000000"/>
                <w:sz w:val="20"/>
                <w:szCs w:val="20"/>
              </w:rPr>
              <w:t>3.【地方政府规章】《广西壮族自治区行政过错责任追究办法》（2007年4月25日广西壮族自治区人民政府令第24号公布）第九条　行政机关及其工作人员在行政审批过程中，有下列情形之一的，应当责令纠正并追究行政过错责任：（一）不按规定实施统一受理、联合受理、集中受理行政审批；（二）谋取不当利益</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故意刁难、推诿、拖延，影响行政审批；（三）未按规定开具受理回执或者遗失申请人申报资料；（四）不依照法定程序实施行政审批；（五）未在法定期限内办结行政审批事项；（六）擅自收费或者不按照法定项目和标准收费，指定购买商品或者要求提供、接受服务，指定参加培训、学术研讨、技术考核、评比；（七）截留、挪用、私分或者变相私分实施行政审批依法收取的费用；（八）依法应当根据招标、拍卖结果或者考试成绩择优作出准予行政审批决定，未经招标、拍卖或者考试</w:t>
            </w:r>
            <w:r>
              <w:rPr>
                <w:rFonts w:hint="eastAsia" w:eastAsia="仿宋_GB2312" w:cs="仿宋_GB2312"/>
                <w:snapToGrid w:val="0"/>
                <w:color w:val="000000"/>
                <w:sz w:val="20"/>
                <w:szCs w:val="20"/>
                <w:lang w:eastAsia="zh-CN"/>
              </w:rPr>
              <w:t>或者</w:t>
            </w:r>
            <w:r>
              <w:rPr>
                <w:rFonts w:hint="eastAsia" w:eastAsia="仿宋_GB2312" w:cs="仿宋_GB2312"/>
                <w:snapToGrid w:val="0"/>
                <w:color w:val="000000"/>
                <w:sz w:val="20"/>
                <w:szCs w:val="20"/>
              </w:rPr>
              <w:t>不根据招标、拍卖结果及考试成绩择优作出准予行政审批决定；（九）违法委托中介机构、下属事业单位或者其他组织代行行政审批权；（十）违法准许中介机构或者其他组织从事行政审批代理活动；（十一）受理的行政审批事项涉及其他部门，不依法移交或者互相推诿、拖延不办；（十二）违反规定撤销、注销、变更原有行政审批事项；（十三）其他违反行政审批规定的情形。</w:t>
            </w:r>
          </w:p>
        </w:tc>
        <w:tc>
          <w:tcPr>
            <w:tcW w:w="532" w:type="dxa"/>
            <w:vAlign w:val="center"/>
          </w:tcPr>
          <w:p w14:paraId="0DFF05AE">
            <w:pPr>
              <w:adjustRightInd w:val="0"/>
              <w:snapToGrid w:val="0"/>
              <w:spacing w:line="300" w:lineRule="exact"/>
              <w:jc w:val="center"/>
              <w:rPr>
                <w:rFonts w:ascii="方正书宋_GBK" w:hAnsi="宋体" w:eastAsia="方正书宋_GBK" w:cs="宋体"/>
                <w:kern w:val="0"/>
                <w:sz w:val="20"/>
                <w:szCs w:val="20"/>
              </w:rPr>
            </w:pPr>
          </w:p>
        </w:tc>
        <w:tc>
          <w:tcPr>
            <w:tcW w:w="381" w:type="dxa"/>
            <w:vAlign w:val="center"/>
          </w:tcPr>
          <w:p w14:paraId="5A7FE2DA">
            <w:pPr>
              <w:adjustRightInd w:val="0"/>
              <w:snapToGrid w:val="0"/>
              <w:spacing w:line="300" w:lineRule="exact"/>
              <w:jc w:val="center"/>
              <w:rPr>
                <w:rFonts w:ascii="方正书宋_GBK" w:hAnsi="宋体" w:eastAsia="方正书宋_GBK" w:cs="宋体"/>
                <w:kern w:val="0"/>
                <w:sz w:val="20"/>
                <w:szCs w:val="20"/>
              </w:rPr>
            </w:pPr>
          </w:p>
        </w:tc>
      </w:tr>
    </w:tbl>
    <w:p w14:paraId="7BC1799E">
      <w:pPr>
        <w:adjustRightInd w:val="0"/>
        <w:snapToGrid w:val="0"/>
        <w:spacing w:line="20" w:lineRule="exact"/>
        <w:rPr>
          <w:rFonts w:ascii="方正小标宋_GBK" w:eastAsia="方正小标宋_GBK"/>
          <w:sz w:val="44"/>
          <w:szCs w:val="44"/>
        </w:rPr>
      </w:pPr>
    </w:p>
    <w:sectPr>
      <w:footerReference r:id="rId3" w:type="even"/>
      <w:pgSz w:w="23814" w:h="16840" w:orient="landscape"/>
      <w:pgMar w:top="1134" w:right="1134" w:bottom="1134" w:left="1134" w:header="851"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书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1D4F8">
    <w:pPr>
      <w:pStyle w:val="2"/>
      <w:framePr w:wrap="around" w:vAnchor="text" w:hAnchor="margin" w:xAlign="center" w:y="1"/>
      <w:rPr>
        <w:rStyle w:val="6"/>
      </w:rPr>
    </w:pPr>
    <w:r>
      <w:fldChar w:fldCharType="begin"/>
    </w:r>
    <w:r>
      <w:rPr>
        <w:rStyle w:val="6"/>
      </w:rPr>
      <w:instrText xml:space="preserve">PAGE  </w:instrText>
    </w:r>
    <w:r>
      <w:fldChar w:fldCharType="end"/>
    </w:r>
  </w:p>
  <w:p w14:paraId="7B36016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F2AB4"/>
    <w:rsid w:val="037C539F"/>
    <w:rsid w:val="037F3B90"/>
    <w:rsid w:val="046D5BE8"/>
    <w:rsid w:val="060160D9"/>
    <w:rsid w:val="07CB745B"/>
    <w:rsid w:val="08B475C5"/>
    <w:rsid w:val="09DF3AF1"/>
    <w:rsid w:val="0B797119"/>
    <w:rsid w:val="0D9324B4"/>
    <w:rsid w:val="0DEE31B5"/>
    <w:rsid w:val="10E27629"/>
    <w:rsid w:val="14E87CE3"/>
    <w:rsid w:val="15397AED"/>
    <w:rsid w:val="15891E84"/>
    <w:rsid w:val="15944A11"/>
    <w:rsid w:val="15ED7E15"/>
    <w:rsid w:val="1BC55694"/>
    <w:rsid w:val="25AC7B43"/>
    <w:rsid w:val="307F4F67"/>
    <w:rsid w:val="31A21455"/>
    <w:rsid w:val="34651201"/>
    <w:rsid w:val="35044829"/>
    <w:rsid w:val="3897206C"/>
    <w:rsid w:val="3D521949"/>
    <w:rsid w:val="3EFA4BA8"/>
    <w:rsid w:val="43252179"/>
    <w:rsid w:val="4A0348AB"/>
    <w:rsid w:val="5253790A"/>
    <w:rsid w:val="53A21477"/>
    <w:rsid w:val="563E0FF5"/>
    <w:rsid w:val="60353C70"/>
    <w:rsid w:val="66C04989"/>
    <w:rsid w:val="67D5519F"/>
    <w:rsid w:val="69DE0E2C"/>
    <w:rsid w:val="6CF42AD9"/>
    <w:rsid w:val="6FF52E08"/>
    <w:rsid w:val="70511785"/>
    <w:rsid w:val="70903910"/>
    <w:rsid w:val="73211AB4"/>
    <w:rsid w:val="75E321DF"/>
    <w:rsid w:val="7A5A7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44065</Words>
  <Characters>44809</Characters>
  <Lines>1</Lines>
  <Paragraphs>1</Paragraphs>
  <TotalTime>0</TotalTime>
  <ScaleCrop>false</ScaleCrop>
  <LinksUpToDate>false</LinksUpToDate>
  <CharactersWithSpaces>44911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微信用户</cp:lastModifiedBy>
  <dcterms:modified xsi:type="dcterms:W3CDTF">2025-02-28T08:52:43Z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eyJoZGlkIjoiYjI0YTdhNDdiNmJjODcxNWQwMGMyMWVkZDRiMjFmNTciLCJ1c2VySWQiOiIxMjgyNTcxNDYwIn0=</vt:lpwstr>
  </property>
  <property fmtid="{D5CDD505-2E9C-101B-9397-08002B2CF9AE}" pid="4" name="ICV">
    <vt:lpwstr>76AC7D85CBB0451FAB1EDFA4E735AF30_12</vt:lpwstr>
  </property>
</Properties>
</file>