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pict>
          <v:shape id="_x0000_s2052" o:spid="_x0000_s2052" o:spt="136" type="#_x0000_t136" style="position:absolute;left:0pt;margin-left:-5.5pt;margin-top:0.55pt;height:87.6pt;width:462pt;z-index:251661312;mso-width-relative:page;mso-height-relative:page;" fillcolor="#FF0000" filled="t" stroked="t" coordsize="21600,21600" adj="10800">
            <v:path/>
            <v:fill on="t" color2="#AAAAAA" focussize="0,0"/>
            <v:stroke color="#FF0000"/>
            <v:imagedata o:title=""/>
            <o:lock v:ext="edit" aspectratio="f"/>
            <v:textpath on="t" fitshape="t" fitpath="t" trim="t" xscale="f" string="永福县卫生健康局文件&#10;" style="font-family:黑体;font-size:40pt;font-weight:bold;v-text-align:center;"/>
            <v:shadow on="t" obscured="f" color="#4D4D4D" opacity="49152f" offset="0pt,3pt" offset2="0pt,0pt" origin="0f,0f" matrix="65536f,0f,0f,65536f,0,0"/>
          </v:shape>
        </w:pict>
      </w:r>
    </w:p>
    <w:p/>
    <w:p/>
    <w:p/>
    <w:p/>
    <w:p/>
    <w:p/>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drawing>
          <wp:anchor distT="0" distB="0" distL="114300" distR="114300" simplePos="0" relativeHeight="251660288" behindDoc="1" locked="0" layoutInCell="1" allowOverlap="1">
            <wp:simplePos x="0" y="0"/>
            <wp:positionH relativeFrom="column">
              <wp:posOffset>-391160</wp:posOffset>
            </wp:positionH>
            <wp:positionV relativeFrom="paragraph">
              <wp:posOffset>139065</wp:posOffset>
            </wp:positionV>
            <wp:extent cx="7115175" cy="774700"/>
            <wp:effectExtent l="0" t="0" r="9525" b="6350"/>
            <wp:wrapNone/>
            <wp:docPr id="1" name="Picture 2" descr="永福县卫生局文件横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永福县卫生局文件横条"/>
                    <pic:cNvPicPr>
                      <a:picLocks noChangeAspect="1"/>
                    </pic:cNvPicPr>
                  </pic:nvPicPr>
                  <pic:blipFill>
                    <a:blip r:embed="rId5"/>
                    <a:stretch>
                      <a:fillRect/>
                    </a:stretch>
                  </pic:blipFill>
                  <pic:spPr>
                    <a:xfrm>
                      <a:off x="0" y="0"/>
                      <a:ext cx="7115175" cy="774700"/>
                    </a:xfrm>
                    <a:prstGeom prst="rect">
                      <a:avLst/>
                    </a:prstGeom>
                    <a:noFill/>
                    <a:ln w="9525">
                      <a:noFill/>
                    </a:ln>
                  </pic:spPr>
                </pic:pic>
              </a:graphicData>
            </a:graphic>
          </wp:anchor>
        </w:drawing>
      </w:r>
      <w:r>
        <w:rPr>
          <w:rFonts w:hint="eastAsia" w:ascii="仿宋_GB2312" w:hAnsi="仿宋_GB2312" w:eastAsia="仿宋_GB2312" w:cs="仿宋_GB2312"/>
          <w:color w:val="auto"/>
          <w:sz w:val="32"/>
          <w:szCs w:val="32"/>
        </w:rPr>
        <w:t>永卫字〔2</w:t>
      </w:r>
      <w:r>
        <w:rPr>
          <w:rFonts w:hint="eastAsia" w:ascii="仿宋_GB2312" w:hAnsi="仿宋_GB2312" w:eastAsia="仿宋_GB2312" w:cs="仿宋_GB2312"/>
          <w:color w:val="auto"/>
          <w:sz w:val="32"/>
          <w:szCs w:val="32"/>
          <w:lang w:val="en-US" w:eastAsia="zh-CN"/>
        </w:rPr>
        <w:t>023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号</w:t>
      </w:r>
    </w:p>
    <w:p>
      <w:pPr>
        <w:rPr>
          <w:rFonts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关于印发《永福县居民健康素养监测工作</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方案（20</w:t>
      </w:r>
      <w:r>
        <w:rPr>
          <w:rFonts w:hint="eastAsia" w:ascii="方正小标宋_GBK" w:hAnsi="方正小标宋_GBK" w:eastAsia="方正小标宋_GBK" w:cs="方正小标宋_GBK"/>
          <w:sz w:val="44"/>
          <w:szCs w:val="44"/>
          <w:lang w:val="en-US" w:eastAsia="zh-CN"/>
        </w:rPr>
        <w:t>23</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color w:val="auto"/>
          <w:sz w:val="44"/>
          <w:szCs w:val="44"/>
        </w:rPr>
        <w:t>版</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pStyle w:val="3"/>
        <w:keepNext w:val="0"/>
        <w:keepLines w:val="0"/>
        <w:pageBreakBefore w:val="0"/>
        <w:kinsoku/>
        <w:wordWrap/>
        <w:overflowPunct/>
        <w:topLinePunct w:val="0"/>
        <w:autoSpaceDE/>
        <w:autoSpaceDN/>
        <w:bidi w:val="0"/>
        <w:snapToGrid w:val="0"/>
        <w:spacing w:line="586" w:lineRule="exact"/>
        <w:textAlignment w:val="auto"/>
        <w:rPr>
          <w:rFonts w:hint="eastAsia" w:ascii="仿宋_GB2312" w:hAnsi="仿宋_GB2312" w:eastAsia="仿宋_GB2312" w:cs="仿宋_GB2312"/>
          <w:color w:val="1A1A1A"/>
          <w:sz w:val="32"/>
          <w:szCs w:val="32"/>
        </w:rPr>
      </w:pPr>
      <w:r>
        <w:rPr>
          <w:rFonts w:hint="eastAsia" w:ascii="仿宋_GB2312" w:hAnsi="仿宋_GB2312" w:eastAsia="仿宋_GB2312" w:cs="仿宋_GB2312"/>
          <w:color w:val="1A1A1A"/>
          <w:sz w:val="32"/>
          <w:szCs w:val="32"/>
          <w:lang w:eastAsia="zh-CN"/>
        </w:rPr>
        <w:t>县、</w:t>
      </w:r>
      <w:r>
        <w:rPr>
          <w:rFonts w:hint="eastAsia" w:ascii="仿宋_GB2312" w:hAnsi="仿宋_GB2312" w:eastAsia="仿宋_GB2312" w:cs="仿宋_GB2312"/>
          <w:color w:val="1A1A1A"/>
          <w:sz w:val="32"/>
          <w:szCs w:val="32"/>
        </w:rPr>
        <w:t>乡（镇）</w:t>
      </w:r>
      <w:r>
        <w:rPr>
          <w:rFonts w:hint="eastAsia" w:ascii="仿宋_GB2312" w:hAnsi="仿宋_GB2312" w:eastAsia="仿宋_GB2312" w:cs="仿宋_GB2312"/>
          <w:color w:val="1A1A1A"/>
          <w:sz w:val="32"/>
          <w:szCs w:val="32"/>
          <w:lang w:eastAsia="zh-CN"/>
        </w:rPr>
        <w:t>各</w:t>
      </w:r>
      <w:r>
        <w:rPr>
          <w:rFonts w:hint="eastAsia" w:ascii="仿宋_GB2312" w:hAnsi="仿宋_GB2312" w:eastAsia="仿宋_GB2312" w:cs="仿宋_GB2312"/>
          <w:color w:val="1A1A1A"/>
          <w:sz w:val="32"/>
          <w:szCs w:val="32"/>
        </w:rPr>
        <w:t>医疗卫生单位：</w:t>
      </w: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1A1A1A"/>
          <w:sz w:val="32"/>
          <w:szCs w:val="32"/>
          <w:lang w:val="en-US" w:eastAsia="zh-CN"/>
        </w:rPr>
        <w:t>健康素养是衡量卫生健康工作和人民群众健康水平的重要指标，也是社会经济发展水平的综合反映，是健康中国和健康永福建设的主要指标之一。为充分掌握我县城乡居民健康素养水平和变化趋势，为开展健康教育与促进工作提供科学的参考依据，2023年永福县卫生健康局继续在全县开展居民健康素养监测工作。</w:t>
      </w:r>
      <w:r>
        <w:rPr>
          <w:rFonts w:hint="eastAsia" w:ascii="仿宋_GB2312" w:hAnsi="仿宋_GB2312" w:eastAsia="仿宋_GB2312" w:cs="仿宋_GB2312"/>
          <w:color w:val="1A1A1A"/>
          <w:sz w:val="32"/>
          <w:szCs w:val="32"/>
          <w:lang w:eastAsia="zh-CN"/>
        </w:rPr>
        <w:t>现将</w:t>
      </w:r>
      <w:r>
        <w:rPr>
          <w:rFonts w:hint="eastAsia" w:ascii="仿宋_GB2312" w:hAnsi="仿宋_GB2312" w:eastAsia="仿宋_GB2312" w:cs="仿宋_GB2312"/>
          <w:color w:val="1A1A1A"/>
          <w:sz w:val="32"/>
          <w:szCs w:val="32"/>
        </w:rPr>
        <w:t>《永福县居民健康素养监测工作方案（20</w:t>
      </w:r>
      <w:r>
        <w:rPr>
          <w:rFonts w:hint="eastAsia" w:ascii="仿宋_GB2312" w:hAnsi="仿宋_GB2312" w:eastAsia="仿宋_GB2312" w:cs="仿宋_GB2312"/>
          <w:color w:val="1A1A1A"/>
          <w:sz w:val="32"/>
          <w:szCs w:val="32"/>
          <w:lang w:val="en-US" w:eastAsia="zh-CN"/>
        </w:rPr>
        <w:t>23</w:t>
      </w:r>
      <w:r>
        <w:rPr>
          <w:rFonts w:hint="eastAsia" w:ascii="仿宋_GB2312" w:hAnsi="仿宋_GB2312" w:eastAsia="仿宋_GB2312" w:cs="仿宋_GB2312"/>
          <w:color w:val="1A1A1A"/>
          <w:sz w:val="32"/>
          <w:szCs w:val="32"/>
        </w:rPr>
        <w:t>年版）</w:t>
      </w:r>
      <w:r>
        <w:rPr>
          <w:rFonts w:hint="eastAsia" w:ascii="仿宋_GB2312" w:hAnsi="仿宋_GB2312" w:eastAsia="仿宋_GB2312" w:cs="仿宋_GB2312"/>
          <w:kern w:val="0"/>
          <w:sz w:val="32"/>
          <w:szCs w:val="32"/>
        </w:rPr>
        <w:t>》印发给你们，请</w:t>
      </w:r>
      <w:r>
        <w:rPr>
          <w:rFonts w:hint="eastAsia" w:ascii="仿宋_GB2312" w:hAnsi="仿宋_GB2312" w:eastAsia="仿宋_GB2312" w:cs="仿宋_GB2312"/>
          <w:kern w:val="0"/>
          <w:sz w:val="32"/>
          <w:szCs w:val="32"/>
          <w:lang w:eastAsia="zh-CN"/>
        </w:rPr>
        <w:t>结合工作实际，认真组织实施，确保各项工作如期完成</w:t>
      </w:r>
      <w:r>
        <w:rPr>
          <w:rFonts w:hint="eastAsia" w:ascii="仿宋_GB2312" w:hAnsi="仿宋_GB2312" w:eastAsia="仿宋_GB2312" w:cs="仿宋_GB2312"/>
          <w:kern w:val="0"/>
          <w:sz w:val="32"/>
          <w:szCs w:val="32"/>
        </w:rPr>
        <w:t>。</w:t>
      </w:r>
    </w:p>
    <w:p>
      <w:pPr>
        <w:pStyle w:val="3"/>
        <w:keepNext w:val="0"/>
        <w:keepLines w:val="0"/>
        <w:pageBreakBefore w:val="0"/>
        <w:kinsoku/>
        <w:wordWrap/>
        <w:overflowPunct/>
        <w:topLinePunct w:val="0"/>
        <w:autoSpaceDE/>
        <w:autoSpaceDN/>
        <w:bidi w:val="0"/>
        <w:snapToGrid w:val="0"/>
        <w:spacing w:line="586" w:lineRule="exact"/>
        <w:ind w:firstLine="640" w:firstLineChars="200"/>
        <w:textAlignment w:val="auto"/>
        <w:rPr>
          <w:rFonts w:hint="eastAsia" w:ascii="仿宋_GB2312" w:hAnsi="仿宋_GB2312" w:eastAsia="仿宋_GB2312" w:cs="仿宋_GB2312"/>
          <w:color w:val="1A1A1A"/>
          <w:sz w:val="32"/>
          <w:szCs w:val="32"/>
          <w:lang w:val="en-US"/>
        </w:rPr>
      </w:pPr>
    </w:p>
    <w:p>
      <w:pPr>
        <w:pStyle w:val="3"/>
        <w:keepNext w:val="0"/>
        <w:keepLines w:val="0"/>
        <w:pageBreakBefore w:val="0"/>
        <w:widowControl w:val="0"/>
        <w:kinsoku/>
        <w:wordWrap/>
        <w:overflowPunct/>
        <w:topLinePunct w:val="0"/>
        <w:autoSpaceDE/>
        <w:autoSpaceDN/>
        <w:bidi w:val="0"/>
        <w:adjustRightInd/>
        <w:snapToGrid w:val="0"/>
        <w:spacing w:line="586" w:lineRule="exact"/>
        <w:ind w:firstLine="5760" w:firstLineChars="1800"/>
        <w:textAlignment w:val="auto"/>
        <w:outlineLvl w:val="9"/>
        <w:rPr>
          <w:rFonts w:hint="eastAsia" w:ascii="仿宋_GB2312" w:hAnsi="仿宋_GB2312" w:eastAsia="仿宋_GB2312" w:cs="仿宋_GB2312"/>
          <w:color w:val="1A1A1A"/>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line="586" w:lineRule="exact"/>
        <w:ind w:firstLine="5760" w:firstLineChars="1800"/>
        <w:textAlignment w:val="auto"/>
        <w:outlineLvl w:val="9"/>
        <w:rPr>
          <w:rFonts w:hint="eastAsia" w:ascii="仿宋_GB2312" w:hAnsi="仿宋_GB2312" w:eastAsia="仿宋_GB2312" w:cs="仿宋_GB2312"/>
          <w:color w:val="1A1A1A"/>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line="586" w:lineRule="exact"/>
        <w:ind w:firstLine="5760" w:firstLineChars="1800"/>
        <w:textAlignment w:val="auto"/>
        <w:outlineLvl w:val="9"/>
        <w:rPr>
          <w:rFonts w:hint="eastAsia" w:ascii="仿宋_GB2312" w:hAnsi="仿宋_GB2312" w:eastAsia="仿宋_GB2312" w:cs="仿宋_GB2312"/>
          <w:color w:val="1A1A1A"/>
          <w:sz w:val="32"/>
          <w:szCs w:val="32"/>
          <w:lang w:val="en-US" w:eastAsia="zh-CN"/>
        </w:rPr>
      </w:pPr>
      <w:r>
        <w:rPr>
          <w:rFonts w:hint="eastAsia" w:ascii="仿宋_GB2312" w:hAnsi="仿宋_GB2312" w:eastAsia="仿宋_GB2312" w:cs="仿宋_GB2312"/>
          <w:color w:val="1A1A1A"/>
          <w:sz w:val="32"/>
          <w:szCs w:val="32"/>
          <w:lang w:val="en-US" w:eastAsia="zh-CN"/>
        </w:rPr>
        <w:t>永福县卫生健康局</w:t>
      </w:r>
    </w:p>
    <w:p>
      <w:pPr>
        <w:pStyle w:val="3"/>
        <w:keepNext w:val="0"/>
        <w:keepLines w:val="0"/>
        <w:pageBreakBefore w:val="0"/>
        <w:widowControl w:val="0"/>
        <w:kinsoku/>
        <w:wordWrap/>
        <w:overflowPunct/>
        <w:topLinePunct w:val="0"/>
        <w:autoSpaceDE/>
        <w:autoSpaceDN/>
        <w:bidi w:val="0"/>
        <w:adjustRightInd/>
        <w:snapToGrid w:val="0"/>
        <w:spacing w:line="586" w:lineRule="exact"/>
        <w:ind w:firstLine="5760" w:firstLineChars="1800"/>
        <w:textAlignment w:val="auto"/>
        <w:outlineLvl w:val="9"/>
        <w:rPr>
          <w:rFonts w:hint="eastAsia" w:ascii="方正小标宋_GBK" w:hAnsi="方正小标宋_GBK" w:eastAsia="方正小标宋_GBK" w:cs="方正小标宋_GBK"/>
          <w:b w:val="0"/>
          <w:bCs w:val="0"/>
          <w:sz w:val="44"/>
          <w:szCs w:val="44"/>
        </w:rPr>
      </w:pPr>
      <w:r>
        <w:rPr>
          <w:rFonts w:hint="eastAsia" w:ascii="仿宋_GB2312" w:hAnsi="仿宋_GB2312" w:eastAsia="仿宋_GB2312" w:cs="仿宋_GB2312"/>
          <w:color w:val="1A1A1A"/>
          <w:sz w:val="32"/>
          <w:szCs w:val="32"/>
          <w:lang w:val="en-US" w:eastAsia="zh-CN"/>
        </w:rPr>
        <w:t>2023年8月2日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永福县居民健康素养监测工作方案</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rPr>
        <w:t>年版）</w:t>
      </w:r>
    </w:p>
    <w:p>
      <w:pPr>
        <w:pStyle w:val="3"/>
        <w:rPr>
          <w:rFonts w:hint="eastAsia"/>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sz w:val="32"/>
          <w:szCs w:val="32"/>
        </w:rPr>
      </w:pPr>
      <w:r>
        <w:rPr>
          <w:rFonts w:hint="eastAsia" w:ascii="仿宋_GB2312" w:hAnsi="仿宋_GB2312" w:eastAsia="仿宋_GB2312" w:cs="仿宋_GB2312"/>
          <w:color w:val="1A1A1A"/>
          <w:sz w:val="32"/>
          <w:szCs w:val="32"/>
        </w:rPr>
        <w:t>为贯彻落实</w:t>
      </w:r>
      <w:r>
        <w:rPr>
          <w:rFonts w:hint="eastAsia" w:ascii="仿宋_GB2312" w:hAnsi="仿宋_GB2312" w:eastAsia="仿宋_GB2312" w:cs="仿宋_GB2312"/>
          <w:kern w:val="2"/>
          <w:sz w:val="32"/>
          <w:szCs w:val="32"/>
        </w:rPr>
        <w:t>《国家卫生健康委关于印发中国居民及重点人群健康素养监测统计调查制度的通知》（国卫规划函</w:t>
      </w:r>
      <w:r>
        <w:rPr>
          <w:rFonts w:hint="eastAsia" w:ascii="仿宋_GB2312" w:hAnsi="仿宋_GB2312" w:eastAsia="仿宋_GB2312" w:cs="仿宋_GB2312"/>
          <w:sz w:val="32"/>
          <w:szCs w:val="32"/>
        </w:rPr>
        <w:t>〔2022〕17号</w:t>
      </w:r>
      <w:r>
        <w:rPr>
          <w:rFonts w:hint="eastAsia" w:ascii="仿宋_GB2312" w:hAnsi="仿宋_GB2312" w:eastAsia="仿宋_GB2312" w:cs="仿宋_GB2312"/>
          <w:kern w:val="2"/>
          <w:sz w:val="32"/>
          <w:szCs w:val="32"/>
        </w:rPr>
        <w:t>）</w:t>
      </w:r>
      <w:r>
        <w:rPr>
          <w:rFonts w:hint="eastAsia" w:ascii="仿宋_GB2312" w:hAnsi="仿宋_GB2312" w:eastAsia="仿宋_GB2312" w:cs="仿宋_GB2312"/>
          <w:b w:val="0"/>
          <w:sz w:val="32"/>
          <w:szCs w:val="32"/>
          <w:lang w:eastAsia="zh-CN"/>
        </w:rPr>
        <w:t>《国家卫生健康委宣传司</w:t>
      </w:r>
      <w:r>
        <w:rPr>
          <w:rFonts w:hint="eastAsia" w:ascii="仿宋_GB2312" w:hAnsi="仿宋_GB2312" w:eastAsia="仿宋_GB2312" w:cs="仿宋_GB2312"/>
          <w:b w:val="0"/>
          <w:sz w:val="32"/>
          <w:szCs w:val="32"/>
        </w:rPr>
        <w:t>关于做</w:t>
      </w:r>
      <w:r>
        <w:rPr>
          <w:rFonts w:hint="eastAsia" w:ascii="仿宋_GB2312" w:hAnsi="仿宋_GB2312" w:eastAsia="仿宋_GB2312" w:cs="仿宋_GB2312"/>
          <w:b w:val="0"/>
          <w:sz w:val="32"/>
          <w:szCs w:val="32"/>
          <w:highlight w:val="none"/>
        </w:rPr>
        <w:t>好20</w:t>
      </w:r>
      <w:r>
        <w:rPr>
          <w:rFonts w:hint="eastAsia" w:ascii="仿宋_GB2312" w:hAnsi="仿宋_GB2312" w:eastAsia="仿宋_GB2312" w:cs="仿宋_GB2312"/>
          <w:b w:val="0"/>
          <w:sz w:val="32"/>
          <w:szCs w:val="32"/>
          <w:highlight w:val="none"/>
          <w:lang w:val="en-US" w:eastAsia="zh-CN"/>
        </w:rPr>
        <w:t>23</w:t>
      </w:r>
      <w:r>
        <w:rPr>
          <w:rFonts w:hint="eastAsia" w:ascii="仿宋_GB2312" w:hAnsi="仿宋_GB2312" w:eastAsia="仿宋_GB2312" w:cs="仿宋_GB2312"/>
          <w:b w:val="0"/>
          <w:sz w:val="32"/>
          <w:szCs w:val="32"/>
          <w:highlight w:val="none"/>
        </w:rPr>
        <w:t>年</w:t>
      </w:r>
      <w:r>
        <w:rPr>
          <w:rFonts w:hint="eastAsia" w:ascii="仿宋_GB2312" w:hAnsi="仿宋_GB2312" w:eastAsia="仿宋_GB2312" w:cs="仿宋_GB2312"/>
          <w:b w:val="0"/>
          <w:sz w:val="32"/>
          <w:szCs w:val="32"/>
        </w:rPr>
        <w:t>健康素养促进和居民健康素养监测项目工作的通知</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color w:val="000000"/>
          <w:sz w:val="32"/>
          <w:szCs w:val="32"/>
        </w:rPr>
        <w:t>国卫宣传健便函〔</w:t>
      </w: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highlight w:val="none"/>
          <w:lang w:eastAsia="zh-CN"/>
        </w:rPr>
        <w:t>8</w:t>
      </w:r>
      <w:r>
        <w:rPr>
          <w:rFonts w:hint="eastAsia" w:ascii="仿宋_GB2312" w:hAnsi="仿宋_GB2312" w:eastAsia="仿宋_GB2312" w:cs="仿宋_GB2312"/>
          <w:color w:val="000000"/>
          <w:sz w:val="32"/>
          <w:szCs w:val="32"/>
          <w:highlight w:val="none"/>
        </w:rPr>
        <w:t>号</w:t>
      </w:r>
      <w:r>
        <w:rPr>
          <w:rFonts w:hint="eastAsia" w:ascii="仿宋_GB2312" w:hAnsi="仿宋_GB2312" w:eastAsia="仿宋_GB2312" w:cs="仿宋_GB2312"/>
          <w:b w:val="0"/>
          <w:sz w:val="32"/>
          <w:szCs w:val="32"/>
          <w:lang w:eastAsia="zh-CN"/>
        </w:rPr>
        <w:t>）精神</w:t>
      </w:r>
      <w:r>
        <w:rPr>
          <w:rFonts w:hint="eastAsia" w:ascii="仿宋_GB2312" w:hAnsi="仿宋_GB2312" w:eastAsia="仿宋_GB2312" w:cs="仿宋_GB2312"/>
          <w:b w:val="0"/>
          <w:sz w:val="32"/>
          <w:szCs w:val="32"/>
          <w:lang w:val="en-US" w:eastAsia="zh-CN"/>
        </w:rPr>
        <w:t>和</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健康广西行动（2020-2030年）</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《桂林市卫生健康委关于印发桂林居民健康素养监测工作方案（202</w:t>
      </w:r>
      <w:r>
        <w:rPr>
          <w:rFonts w:hint="eastAsia" w:ascii="仿宋_GB2312" w:hAnsi="仿宋_GB2312" w:eastAsia="仿宋_GB2312" w:cs="仿宋_GB2312"/>
          <w:b w:val="0"/>
          <w:sz w:val="32"/>
          <w:szCs w:val="32"/>
          <w:lang w:val="en" w:eastAsia="zh-CN"/>
        </w:rPr>
        <w:t>3</w:t>
      </w:r>
      <w:r>
        <w:rPr>
          <w:rFonts w:hint="eastAsia" w:ascii="仿宋_GB2312" w:hAnsi="仿宋_GB2312" w:eastAsia="仿宋_GB2312" w:cs="仿宋_GB2312"/>
          <w:b w:val="0"/>
          <w:sz w:val="32"/>
          <w:szCs w:val="32"/>
          <w:lang w:val="en-US" w:eastAsia="zh-CN"/>
        </w:rPr>
        <w:t>年版）的通知》要求</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color w:val="1A1A1A"/>
          <w:sz w:val="32"/>
          <w:szCs w:val="32"/>
        </w:rPr>
        <w:t>建立和健全覆盖全</w:t>
      </w:r>
      <w:r>
        <w:rPr>
          <w:rFonts w:hint="eastAsia" w:ascii="仿宋_GB2312" w:hAnsi="仿宋_GB2312" w:eastAsia="仿宋_GB2312" w:cs="仿宋_GB2312"/>
          <w:color w:val="1A1A1A"/>
          <w:sz w:val="32"/>
          <w:szCs w:val="32"/>
          <w:lang w:eastAsia="zh-CN"/>
        </w:rPr>
        <w:t>县</w:t>
      </w:r>
      <w:r>
        <w:rPr>
          <w:rFonts w:hint="eastAsia" w:ascii="仿宋_GB2312" w:hAnsi="仿宋_GB2312" w:eastAsia="仿宋_GB2312" w:cs="仿宋_GB2312"/>
          <w:color w:val="1A1A1A"/>
          <w:sz w:val="32"/>
          <w:szCs w:val="32"/>
        </w:rPr>
        <w:t>的健康素养监测网络，掌握和分析全</w:t>
      </w:r>
      <w:r>
        <w:rPr>
          <w:rFonts w:hint="eastAsia" w:ascii="仿宋_GB2312" w:hAnsi="仿宋_GB2312" w:eastAsia="仿宋_GB2312" w:cs="仿宋_GB2312"/>
          <w:color w:val="1A1A1A"/>
          <w:sz w:val="32"/>
          <w:szCs w:val="32"/>
          <w:lang w:eastAsia="zh-CN"/>
        </w:rPr>
        <w:t>县</w:t>
      </w:r>
      <w:r>
        <w:rPr>
          <w:rFonts w:hint="eastAsia" w:ascii="仿宋_GB2312" w:hAnsi="仿宋_GB2312" w:eastAsia="仿宋_GB2312" w:cs="仿宋_GB2312"/>
          <w:color w:val="1A1A1A"/>
          <w:sz w:val="32"/>
          <w:szCs w:val="32"/>
        </w:rPr>
        <w:t>居民健康素养状况与需求，促进全民健康素养水平的提升</w:t>
      </w:r>
      <w:r>
        <w:rPr>
          <w:rFonts w:hint="eastAsia" w:ascii="仿宋_GB2312" w:hAnsi="仿宋_GB2312" w:eastAsia="仿宋_GB2312" w:cs="仿宋_GB2312"/>
          <w:color w:val="1A1A1A"/>
          <w:sz w:val="32"/>
          <w:szCs w:val="32"/>
          <w:lang w:eastAsia="zh-CN"/>
        </w:rPr>
        <w:t>，</w:t>
      </w:r>
      <w:r>
        <w:rPr>
          <w:rFonts w:hint="eastAsia" w:ascii="仿宋_GB2312" w:hAnsi="仿宋_GB2312" w:eastAsia="仿宋_GB2312" w:cs="仿宋_GB2312"/>
          <w:color w:val="1A1A1A"/>
          <w:sz w:val="32"/>
          <w:szCs w:val="32"/>
          <w:lang w:val="en-US" w:eastAsia="zh-CN"/>
        </w:rPr>
        <w:t>进一步做好全县居民健康素养监测工作，</w:t>
      </w:r>
      <w:r>
        <w:rPr>
          <w:rFonts w:hint="eastAsia" w:ascii="仿宋_GB2312" w:hAnsi="仿宋_GB2312" w:eastAsia="仿宋_GB2312" w:cs="仿宋_GB2312"/>
          <w:color w:val="1A1A1A"/>
          <w:sz w:val="32"/>
          <w:szCs w:val="32"/>
        </w:rPr>
        <w:t>结合我县实际，</w:t>
      </w:r>
      <w:r>
        <w:rPr>
          <w:rFonts w:hint="eastAsia" w:ascii="仿宋_GB2312" w:hAnsi="仿宋_GB2312" w:eastAsia="仿宋_GB2312" w:cs="仿宋_GB2312"/>
          <w:color w:val="1A1A1A"/>
          <w:sz w:val="32"/>
          <w:szCs w:val="32"/>
          <w:lang w:val="en-US" w:eastAsia="zh-CN"/>
        </w:rPr>
        <w:t>特</w:t>
      </w:r>
      <w:r>
        <w:rPr>
          <w:rFonts w:hint="eastAsia" w:ascii="仿宋_GB2312" w:hAnsi="仿宋_GB2312" w:eastAsia="仿宋_GB2312" w:cs="仿宋_GB2312"/>
          <w:color w:val="1A1A1A"/>
          <w:sz w:val="32"/>
          <w:szCs w:val="32"/>
        </w:rPr>
        <w:t>制定本</w:t>
      </w:r>
      <w:r>
        <w:rPr>
          <w:rFonts w:hint="eastAsia" w:ascii="仿宋_GB2312" w:hAnsi="仿宋_GB2312" w:eastAsia="仿宋_GB2312" w:cs="仿宋_GB2312"/>
          <w:color w:val="1A1A1A"/>
          <w:sz w:val="32"/>
          <w:szCs w:val="32"/>
          <w:lang w:eastAsia="zh-CN"/>
        </w:rPr>
        <w:t>工作</w:t>
      </w:r>
      <w:r>
        <w:rPr>
          <w:rFonts w:hint="eastAsia" w:ascii="仿宋_GB2312" w:hAnsi="仿宋_GB2312" w:eastAsia="仿宋_GB2312" w:cs="仿宋_GB2312"/>
          <w:color w:val="1A1A1A"/>
          <w:sz w:val="32"/>
          <w:szCs w:val="32"/>
        </w:rPr>
        <w:t>方案。</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ascii="黑体" w:hAnsi="黑体" w:eastAsia="黑体" w:cs="黑体"/>
          <w:color w:val="1A1A1A"/>
          <w:sz w:val="32"/>
          <w:szCs w:val="32"/>
        </w:rPr>
      </w:pPr>
      <w:r>
        <w:rPr>
          <w:rFonts w:hint="eastAsia" w:ascii="黑体" w:hAnsi="黑体" w:eastAsia="黑体" w:cs="黑体"/>
          <w:color w:val="1A1A1A"/>
          <w:sz w:val="32"/>
          <w:szCs w:val="32"/>
        </w:rPr>
        <w:t>一、监测目的</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1A1A1A"/>
          <w:sz w:val="32"/>
          <w:szCs w:val="32"/>
        </w:rPr>
      </w:pPr>
      <w:r>
        <w:rPr>
          <w:rFonts w:hint="eastAsia" w:ascii="仿宋_GB2312" w:hAnsi="仿宋_GB2312" w:eastAsia="仿宋_GB2312" w:cs="仿宋_GB2312"/>
          <w:color w:val="1A1A1A"/>
          <w:sz w:val="32"/>
          <w:szCs w:val="32"/>
        </w:rPr>
        <w:t>（一）全面掌握全</w:t>
      </w:r>
      <w:r>
        <w:rPr>
          <w:rFonts w:hint="eastAsia" w:ascii="仿宋_GB2312" w:hAnsi="仿宋_GB2312" w:eastAsia="仿宋_GB2312" w:cs="仿宋_GB2312"/>
          <w:color w:val="1A1A1A"/>
          <w:sz w:val="32"/>
          <w:szCs w:val="32"/>
          <w:lang w:val="en-US" w:eastAsia="zh-CN"/>
        </w:rPr>
        <w:t>市</w:t>
      </w:r>
      <w:r>
        <w:rPr>
          <w:rFonts w:hint="eastAsia" w:ascii="仿宋_GB2312" w:hAnsi="仿宋_GB2312" w:eastAsia="仿宋_GB2312" w:cs="仿宋_GB2312"/>
          <w:color w:val="1A1A1A"/>
          <w:sz w:val="32"/>
          <w:szCs w:val="32"/>
        </w:rPr>
        <w:t>城乡居民健康素养水平和变化趋势，为完善卫生健康相关政策提供科学依据。</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1A1A1A"/>
          <w:sz w:val="32"/>
          <w:szCs w:val="32"/>
        </w:rPr>
      </w:pPr>
      <w:r>
        <w:rPr>
          <w:rFonts w:hint="eastAsia" w:ascii="仿宋_GB2312" w:hAnsi="仿宋_GB2312" w:eastAsia="仿宋_GB2312" w:cs="仿宋_GB2312"/>
          <w:color w:val="1A1A1A"/>
          <w:sz w:val="32"/>
          <w:szCs w:val="32"/>
        </w:rPr>
        <w:t>（二）分析城乡居民健康素养影响因素，确定优先工作领域。</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1A1A1A"/>
          <w:sz w:val="32"/>
          <w:szCs w:val="32"/>
        </w:rPr>
      </w:pPr>
      <w:r>
        <w:rPr>
          <w:rFonts w:hint="eastAsia" w:ascii="仿宋_GB2312" w:hAnsi="仿宋_GB2312" w:eastAsia="仿宋_GB2312" w:cs="仿宋_GB2312"/>
          <w:color w:val="1A1A1A"/>
          <w:sz w:val="32"/>
          <w:szCs w:val="32"/>
        </w:rPr>
        <w:t>（三）巩固完善全</w:t>
      </w:r>
      <w:r>
        <w:rPr>
          <w:rFonts w:hint="eastAsia" w:ascii="仿宋_GB2312" w:hAnsi="仿宋_GB2312" w:eastAsia="仿宋_GB2312" w:cs="仿宋_GB2312"/>
          <w:color w:val="1A1A1A"/>
          <w:sz w:val="32"/>
          <w:szCs w:val="32"/>
          <w:lang w:val="en-US" w:eastAsia="zh-CN"/>
        </w:rPr>
        <w:t>市</w:t>
      </w:r>
      <w:r>
        <w:rPr>
          <w:rFonts w:hint="eastAsia" w:ascii="仿宋_GB2312" w:hAnsi="仿宋_GB2312" w:eastAsia="仿宋_GB2312" w:cs="仿宋_GB2312"/>
          <w:color w:val="1A1A1A"/>
          <w:sz w:val="32"/>
          <w:szCs w:val="32"/>
        </w:rPr>
        <w:t>居民健康素养监测网络，提高健康教育专业人员</w:t>
      </w:r>
      <w:r>
        <w:rPr>
          <w:rFonts w:hint="eastAsia" w:ascii="仿宋_GB2312" w:hAnsi="仿宋_GB2312" w:eastAsia="仿宋_GB2312" w:cs="仿宋_GB2312"/>
          <w:color w:val="1A1A1A"/>
          <w:sz w:val="32"/>
          <w:szCs w:val="32"/>
          <w:lang w:eastAsia="zh-CN"/>
        </w:rPr>
        <w:t>的业务</w:t>
      </w:r>
      <w:r>
        <w:rPr>
          <w:rFonts w:hint="eastAsia" w:ascii="仿宋_GB2312" w:hAnsi="仿宋_GB2312" w:eastAsia="仿宋_GB2312" w:cs="仿宋_GB2312"/>
          <w:color w:val="1A1A1A"/>
          <w:sz w:val="32"/>
          <w:szCs w:val="32"/>
        </w:rPr>
        <w:t>能力。</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sz w:val="32"/>
          <w:szCs w:val="32"/>
        </w:rPr>
      </w:pPr>
      <w:r>
        <w:rPr>
          <w:rFonts w:hint="eastAsia" w:ascii="仿宋_GB2312" w:hAnsi="仿宋_GB2312" w:eastAsia="仿宋_GB2312" w:cs="仿宋_GB2312"/>
          <w:color w:val="1A1A1A"/>
          <w:sz w:val="32"/>
          <w:szCs w:val="32"/>
        </w:rPr>
        <w:t>（四）对全民健康素养促进、健康知识普及行动等工作成效进行科学评价。</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0C0C0C"/>
          <w:sz w:val="32"/>
          <w:szCs w:val="32"/>
          <w:highlight w:val="non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0C0C0C"/>
          <w:sz w:val="32"/>
          <w:szCs w:val="32"/>
          <w:highlight w:val="none"/>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0C0C0C"/>
          <w:sz w:val="32"/>
          <w:szCs w:val="32"/>
          <w:highlight w:val="none"/>
        </w:rPr>
      </w:pPr>
      <w:r>
        <w:rPr>
          <w:rFonts w:hint="eastAsia" w:ascii="黑体" w:hAnsi="黑体" w:eastAsia="黑体" w:cs="黑体"/>
          <w:color w:val="0C0C0C"/>
          <w:sz w:val="32"/>
          <w:szCs w:val="32"/>
          <w:highlight w:val="none"/>
        </w:rPr>
        <w:t>二、监测方法</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b w:val="0"/>
          <w:bCs w:val="0"/>
          <w:color w:val="0C0C0C"/>
          <w:kern w:val="0"/>
          <w:sz w:val="32"/>
          <w:szCs w:val="32"/>
          <w:highlight w:val="none"/>
        </w:rPr>
      </w:pPr>
      <w:r>
        <w:rPr>
          <w:rFonts w:hint="eastAsia" w:ascii="楷体_GB2312" w:hAnsi="楷体_GB2312" w:eastAsia="楷体_GB2312" w:cs="楷体_GB2312"/>
          <w:b w:val="0"/>
          <w:bCs w:val="0"/>
          <w:color w:val="0C0C0C"/>
          <w:kern w:val="0"/>
          <w:sz w:val="32"/>
          <w:szCs w:val="32"/>
          <w:highlight w:val="none"/>
        </w:rPr>
        <w:t>（一）监测对象</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C0C0C"/>
          <w:sz w:val="32"/>
          <w:szCs w:val="32"/>
          <w:highlight w:val="none"/>
        </w:rPr>
      </w:pPr>
      <w:r>
        <w:rPr>
          <w:rFonts w:hint="eastAsia" w:ascii="仿宋_GB2312" w:hAnsi="仿宋_GB2312" w:eastAsia="仿宋_GB2312" w:cs="仿宋_GB2312"/>
          <w:color w:val="0C0C0C"/>
          <w:sz w:val="32"/>
          <w:szCs w:val="32"/>
          <w:highlight w:val="none"/>
        </w:rPr>
        <w:t>非集体居住的15～69岁城乡常住居民。</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C0C0C"/>
          <w:sz w:val="32"/>
          <w:szCs w:val="32"/>
          <w:highlight w:val="none"/>
        </w:rPr>
      </w:pPr>
      <w:r>
        <w:rPr>
          <w:rFonts w:hint="eastAsia" w:ascii="仿宋_GB2312" w:hAnsi="仿宋_GB2312" w:eastAsia="仿宋_GB2312" w:cs="仿宋_GB2312"/>
          <w:color w:val="0C0C0C"/>
          <w:sz w:val="32"/>
          <w:szCs w:val="32"/>
          <w:highlight w:val="none"/>
        </w:rPr>
        <w:t>常住居民是指过去12个月内在当地居住时间累计超过6个月的居民，不考虑是否具有当地户籍。不包括集体居住于军事基地、医院、监狱、养老院、宿舍等场所的居民。</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二</w:t>
      </w:r>
      <w:r>
        <w:rPr>
          <w:rFonts w:hint="eastAsia" w:ascii="楷体_GB2312" w:hAnsi="楷体_GB2312" w:eastAsia="楷体_GB2312" w:cs="楷体_GB2312"/>
          <w:b w:val="0"/>
          <w:bCs/>
          <w:color w:val="000000"/>
          <w:kern w:val="0"/>
          <w:sz w:val="32"/>
          <w:szCs w:val="32"/>
        </w:rPr>
        <w:t>）监测点</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outlineLvl w:val="9"/>
        <w:rPr>
          <w:rFonts w:hint="eastAsia"/>
          <w:sz w:val="32"/>
          <w:szCs w:val="32"/>
        </w:rPr>
      </w:pP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lang w:eastAsia="zh-CN"/>
        </w:rPr>
        <w:t>永福县列为市级监测点。</w:t>
      </w:r>
      <w:r>
        <w:rPr>
          <w:rFonts w:hint="eastAsia" w:ascii="仿宋_GB2312" w:hAnsi="仿宋_GB2312" w:eastAsia="仿宋_GB2312" w:cs="仿宋_GB2312"/>
          <w:sz w:val="32"/>
          <w:szCs w:val="32"/>
          <w:lang w:eastAsia="zh-CN"/>
        </w:rPr>
        <w:t>由桂林</w:t>
      </w:r>
      <w:r>
        <w:rPr>
          <w:rFonts w:hint="eastAsia" w:ascii="仿宋_GB2312" w:hAnsi="仿宋_GB2312" w:eastAsia="仿宋_GB2312" w:cs="仿宋_GB2312"/>
          <w:sz w:val="32"/>
          <w:szCs w:val="32"/>
        </w:rPr>
        <w:t>市疾病预防控制中心按照职责使用PPS法在县内随机抽取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个乡镇</w:t>
      </w:r>
      <w:r>
        <w:rPr>
          <w:rFonts w:hint="eastAsia" w:ascii="仿宋_GB2312" w:hAnsi="仿宋_GB2312" w:eastAsia="仿宋_GB2312" w:cs="仿宋_GB2312"/>
          <w:color w:val="000000"/>
          <w:sz w:val="32"/>
          <w:szCs w:val="32"/>
          <w:lang w:eastAsia="zh-CN"/>
        </w:rPr>
        <w:t>作为监测样本点，分别是</w:t>
      </w:r>
      <w:r>
        <w:rPr>
          <w:rFonts w:hint="eastAsia" w:ascii="仿宋_GB2312" w:hAnsi="仿宋_GB2312" w:eastAsia="仿宋_GB2312" w:cs="仿宋_GB2312"/>
          <w:color w:val="auto"/>
          <w:sz w:val="32"/>
          <w:szCs w:val="32"/>
          <w:lang w:val="en-US" w:eastAsia="zh-CN"/>
        </w:rPr>
        <w:t>苏桥</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val="en-US" w:eastAsia="zh-CN"/>
        </w:rPr>
        <w:t>罗锦镇、堡里镇、百寿镇、龙江乡、永安</w:t>
      </w:r>
      <w:r>
        <w:rPr>
          <w:rFonts w:hint="eastAsia" w:ascii="仿宋_GB2312" w:hAnsi="仿宋_GB2312" w:eastAsia="仿宋_GB2312" w:cs="仿宋_GB2312"/>
          <w:color w:val="000000"/>
          <w:sz w:val="32"/>
          <w:szCs w:val="32"/>
          <w:lang w:eastAsia="zh-CN"/>
        </w:rPr>
        <w:t>乡</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80" w:lineRule="exact"/>
        <w:ind w:right="0" w:rightChars="0" w:firstLine="640" w:firstLineChars="200"/>
        <w:textAlignment w:val="auto"/>
        <w:outlineLvl w:val="9"/>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三</w:t>
      </w:r>
      <w:r>
        <w:rPr>
          <w:rFonts w:hint="eastAsia" w:ascii="楷体_GB2312" w:hAnsi="楷体_GB2312" w:eastAsia="楷体_GB2312" w:cs="楷体_GB2312"/>
          <w:b w:val="0"/>
          <w:bCs/>
          <w:color w:val="000000"/>
          <w:kern w:val="0"/>
          <w:sz w:val="32"/>
          <w:szCs w:val="32"/>
        </w:rPr>
        <w:t>）调查样本量</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jc w:val="left"/>
        <w:textAlignment w:val="auto"/>
        <w:outlineLvl w:val="9"/>
        <w:rPr>
          <w:rFonts w:hint="eastAsia"/>
        </w:rPr>
      </w:pPr>
      <w:r>
        <w:rPr>
          <w:rFonts w:hint="eastAsia" w:ascii="仿宋_GB2312" w:hAnsi="仿宋_GB2312" w:eastAsia="仿宋_GB2312" w:cs="仿宋_GB2312"/>
          <w:sz w:val="32"/>
          <w:szCs w:val="32"/>
        </w:rPr>
        <w:t xml:space="preserve">    永福县监测点调查最低样本量为</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人。</w:t>
      </w:r>
      <w:r>
        <w:rPr>
          <w:rFonts w:hint="eastAsia" w:ascii="仿宋_GB2312" w:hAnsi="仿宋_GB2312" w:eastAsia="仿宋_GB2312" w:cs="仿宋_GB2312"/>
          <w:color w:val="auto"/>
          <w:sz w:val="32"/>
          <w:szCs w:val="32"/>
          <w:lang w:eastAsia="zh-CN"/>
        </w:rPr>
        <w:t>从</w:t>
      </w:r>
      <w:r>
        <w:rPr>
          <w:rFonts w:hint="eastAsia" w:ascii="仿宋_GB2312" w:hAnsi="仿宋_GB2312" w:eastAsia="仿宋_GB2312" w:cs="仿宋_GB2312"/>
          <w:color w:val="auto"/>
          <w:sz w:val="32"/>
          <w:szCs w:val="32"/>
          <w:lang w:val="en-US" w:eastAsia="zh-CN"/>
        </w:rPr>
        <w:t>苏桥</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val="en-US" w:eastAsia="zh-CN"/>
        </w:rPr>
        <w:t>罗锦镇、堡里镇、百寿镇、龙江乡、永安</w:t>
      </w:r>
      <w:r>
        <w:rPr>
          <w:rFonts w:hint="eastAsia" w:ascii="仿宋_GB2312" w:hAnsi="仿宋_GB2312" w:eastAsia="仿宋_GB2312" w:cs="仿宋_GB2312"/>
          <w:color w:val="000000"/>
          <w:sz w:val="32"/>
          <w:szCs w:val="32"/>
          <w:lang w:eastAsia="zh-CN"/>
        </w:rPr>
        <w:t>乡每</w:t>
      </w:r>
      <w:r>
        <w:rPr>
          <w:rFonts w:hint="eastAsia" w:ascii="仿宋_GB2312" w:hAnsi="仿宋_GB2312" w:eastAsia="仿宋_GB2312" w:cs="仿宋_GB2312"/>
          <w:color w:val="auto"/>
          <w:sz w:val="32"/>
          <w:szCs w:val="32"/>
        </w:rPr>
        <w:t>个乡镇</w:t>
      </w:r>
      <w:r>
        <w:rPr>
          <w:rFonts w:hint="eastAsia" w:ascii="仿宋_GB2312" w:hAnsi="仿宋_GB2312" w:eastAsia="仿宋_GB2312" w:cs="仿宋_GB2312"/>
          <w:color w:val="auto"/>
          <w:sz w:val="32"/>
          <w:szCs w:val="32"/>
          <w:lang w:eastAsia="zh-CN"/>
        </w:rPr>
        <w:t>中分别</w:t>
      </w:r>
      <w:r>
        <w:rPr>
          <w:rFonts w:hint="eastAsia" w:ascii="仿宋_GB2312" w:hAnsi="仿宋_GB2312" w:eastAsia="仿宋_GB2312" w:cs="仿宋_GB2312"/>
          <w:color w:val="auto"/>
          <w:sz w:val="32"/>
          <w:szCs w:val="32"/>
        </w:rPr>
        <w:t>抽取</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个村，每个村</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抽取6</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户的家庭户，每家</w:t>
      </w:r>
      <w:r>
        <w:rPr>
          <w:rFonts w:hint="eastAsia" w:ascii="仿宋_GB2312" w:hAnsi="仿宋_GB2312" w:eastAsia="仿宋_GB2312" w:cs="仿宋_GB2312"/>
          <w:sz w:val="32"/>
          <w:szCs w:val="32"/>
        </w:rPr>
        <w:t>庭户</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抽取1名符合条件的家庭成员作为调查对象，每个村入户调查至少完成50人份的</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rPr>
        <w:t>调查问卷</w:t>
      </w:r>
      <w:r>
        <w:rPr>
          <w:rFonts w:hint="eastAsia" w:ascii="仿宋_GB2312" w:hAnsi="仿宋_GB2312" w:eastAsia="仿宋_GB2312" w:cs="仿宋_GB2312"/>
          <w:sz w:val="32"/>
          <w:szCs w:val="32"/>
          <w:lang w:eastAsia="zh-CN"/>
        </w:rPr>
        <w:t>，即每个乡镇至少完成</w:t>
      </w:r>
      <w:r>
        <w:rPr>
          <w:rFonts w:hint="eastAsia" w:ascii="仿宋_GB2312" w:hAnsi="仿宋_GB2312" w:eastAsia="仿宋_GB2312" w:cs="仿宋_GB2312"/>
          <w:sz w:val="32"/>
          <w:szCs w:val="32"/>
          <w:lang w:val="en-US" w:eastAsia="zh-CN"/>
        </w:rPr>
        <w:t>100份有效</w:t>
      </w:r>
      <w:r>
        <w:rPr>
          <w:rFonts w:hint="eastAsia" w:ascii="仿宋_GB2312" w:hAnsi="仿宋_GB2312" w:eastAsia="仿宋_GB2312" w:cs="仿宋_GB2312"/>
          <w:sz w:val="32"/>
          <w:szCs w:val="32"/>
        </w:rPr>
        <w:t>调查问卷。</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（四）抽样方法</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由桂林</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疾病预防控制</w:t>
      </w:r>
      <w:r>
        <w:rPr>
          <w:rFonts w:hint="eastAsia" w:ascii="仿宋_GB2312" w:hAnsi="仿宋_GB2312" w:eastAsia="仿宋_GB2312" w:cs="仿宋_GB2312"/>
          <w:sz w:val="32"/>
          <w:szCs w:val="32"/>
        </w:rPr>
        <w:t>中心</w:t>
      </w:r>
      <w:r>
        <w:rPr>
          <w:rFonts w:hint="eastAsia" w:ascii="仿宋_GB2312" w:hAnsi="仿宋_GB2312" w:eastAsia="仿宋_GB2312" w:cs="仿宋_GB2312"/>
          <w:color w:val="auto"/>
          <w:sz w:val="32"/>
          <w:szCs w:val="32"/>
          <w:lang w:eastAsia="zh-CN"/>
        </w:rPr>
        <w:t>参考国家设定的监测调查方案</w:t>
      </w:r>
      <w:r>
        <w:rPr>
          <w:rFonts w:hint="eastAsia" w:ascii="仿宋_GB2312" w:hAnsi="仿宋_GB2312" w:eastAsia="仿宋_GB2312" w:cs="仿宋_GB2312"/>
          <w:color w:val="auto"/>
          <w:sz w:val="32"/>
          <w:szCs w:val="32"/>
        </w:rPr>
        <w:t>，采用多阶段</w:t>
      </w:r>
      <w:r>
        <w:rPr>
          <w:rFonts w:hint="eastAsia" w:ascii="仿宋_GB2312" w:hAnsi="仿宋_GB2312" w:eastAsia="仿宋_GB2312" w:cs="仿宋_GB2312"/>
          <w:color w:val="auto"/>
          <w:sz w:val="32"/>
          <w:szCs w:val="32"/>
          <w:lang w:eastAsia="zh-CN"/>
        </w:rPr>
        <w:t>抽样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整群抽样、</w:t>
      </w:r>
      <w:r>
        <w:rPr>
          <w:rFonts w:hint="eastAsia" w:ascii="仿宋_GB2312" w:hAnsi="仿宋_GB2312" w:eastAsia="仿宋_GB2312" w:cs="仿宋_GB2312"/>
          <w:color w:val="auto"/>
          <w:sz w:val="32"/>
          <w:szCs w:val="32"/>
        </w:rPr>
        <w:t>简单随机抽样</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lang w:val="en-US" w:eastAsia="zh-CN"/>
        </w:rPr>
        <w:t>PPS抽样等多种方法</w:t>
      </w:r>
      <w:r>
        <w:rPr>
          <w:rFonts w:hint="eastAsia" w:ascii="仿宋_GB2312" w:hAnsi="仿宋_GB2312" w:eastAsia="仿宋_GB2312" w:cs="仿宋_GB2312"/>
          <w:color w:val="auto"/>
          <w:sz w:val="32"/>
          <w:szCs w:val="32"/>
        </w:rPr>
        <w:t>相结合的方</w:t>
      </w:r>
      <w:r>
        <w:rPr>
          <w:rFonts w:hint="eastAsia" w:ascii="仿宋_GB2312" w:hAnsi="仿宋_GB2312" w:eastAsia="仿宋_GB2312" w:cs="仿宋_GB2312"/>
          <w:color w:val="auto"/>
          <w:sz w:val="32"/>
          <w:szCs w:val="32"/>
          <w:lang w:eastAsia="zh-CN"/>
        </w:rPr>
        <w:t>式</w:t>
      </w:r>
      <w:r>
        <w:rPr>
          <w:rFonts w:hint="eastAsia" w:ascii="仿宋_GB2312" w:hAnsi="仿宋_GB2312" w:eastAsia="仿宋_GB2312" w:cs="仿宋_GB2312"/>
          <w:color w:val="auto"/>
          <w:sz w:val="32"/>
          <w:szCs w:val="32"/>
        </w:rPr>
        <w:t>进行抽样。</w:t>
      </w:r>
    </w:p>
    <w:p>
      <w:pPr>
        <w:keepNext w:val="0"/>
        <w:keepLines w:val="0"/>
        <w:pageBreakBefore w:val="0"/>
        <w:numPr>
          <w:ilvl w:val="0"/>
          <w:numId w:val="0"/>
        </w:numPr>
        <w:kinsoku/>
        <w:wordWrap/>
        <w:overflowPunct/>
        <w:topLinePunct w:val="0"/>
        <w:autoSpaceDE/>
        <w:autoSpaceDN/>
        <w:bidi w:val="0"/>
        <w:spacing w:line="580" w:lineRule="exact"/>
        <w:ind w:left="0" w:leftChars="0" w:right="0" w:rightChars="0" w:firstLine="640" w:firstLineChars="200"/>
        <w:textAlignment w:val="auto"/>
        <w:outlineLvl w:val="9"/>
        <w:rPr>
          <w:rFonts w:hint="eastAsia"/>
        </w:rPr>
      </w:pPr>
      <w:r>
        <w:rPr>
          <w:rFonts w:hint="eastAsia" w:ascii="仿宋_GB2312" w:hAnsi="仿宋_GB2312" w:eastAsia="仿宋_GB2312" w:cs="仿宋_GB2312"/>
          <w:sz w:val="32"/>
          <w:szCs w:val="32"/>
        </w:rPr>
        <w:t>考虑健康素养水平在家庭户中的聚集性，1个家庭户只调查1名符合条件的家庭成员。</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color w:val="000000"/>
          <w:kern w:val="0"/>
          <w:sz w:val="32"/>
          <w:szCs w:val="32"/>
          <w:lang w:val="en-US" w:eastAsia="zh-CN"/>
        </w:rPr>
        <w:t>（五）抽样步骤</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第一阶段抽样：乡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抽取。</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抽样统一采用由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卫生健康局</w:t>
      </w:r>
      <w:r>
        <w:rPr>
          <w:rFonts w:hint="eastAsia" w:ascii="仿宋_GB2312" w:hAnsi="仿宋_GB2312" w:eastAsia="仿宋_GB2312" w:cs="仿宋_GB2312"/>
          <w:sz w:val="32"/>
          <w:szCs w:val="32"/>
        </w:rPr>
        <w:t>提供的全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乡（镇）基础信息</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进行核实校对。校对完成后，</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市疾病预防控制中心按照职责使用PPS法在县内随机抽取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个乡（镇）。</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第二阶段抽样：村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抽取。</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抽取村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之前，</w:t>
      </w:r>
      <w:r>
        <w:rPr>
          <w:rFonts w:hint="eastAsia" w:ascii="仿宋_GB2312" w:hAnsi="仿宋_GB2312" w:eastAsia="仿宋_GB2312" w:cs="仿宋_GB2312"/>
          <w:sz w:val="32"/>
          <w:szCs w:val="32"/>
          <w:lang w:eastAsia="zh-CN"/>
        </w:rPr>
        <w:t>由被抽中监测的乡镇</w:t>
      </w:r>
      <w:r>
        <w:rPr>
          <w:rFonts w:hint="eastAsia" w:ascii="仿宋_GB2312" w:hAnsi="仿宋_GB2312" w:eastAsia="仿宋_GB2312" w:cs="仿宋_GB2312"/>
          <w:sz w:val="32"/>
          <w:szCs w:val="32"/>
        </w:rPr>
        <w:t>对本辖区的村（社区）基础信息进行核实校对或者重新收集，同时填报村（社区）信息收集表。家庭户数在750户以下的村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应与相邻的村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进行合并形成新的村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，直至所有抽样村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家庭总户数达到750户及以上，例如下山村（380户）与相邻的走马村（420户）经合并后形成新的村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，命名为下山村+走马村，合并村委会家庭户数则为800户。如果乡镇所辖村委会人口规模较小，4～5个村委会合并仍达不到750户的，可将抽样单位户数降低至500户左右。完成合并后，由市</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按照职责使用PPS法在被抽中的每个乡镇中抽取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共抽取12个村</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阶段抽样：家庭户抽取。</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为提高入户调查应答效率，</w:t>
      </w:r>
      <w:r>
        <w:rPr>
          <w:rFonts w:hint="eastAsia" w:ascii="仿宋_GB2312" w:hAnsi="仿宋_GB2312" w:eastAsia="仿宋_GB2312" w:cs="仿宋_GB2312"/>
          <w:sz w:val="32"/>
          <w:szCs w:val="32"/>
          <w:lang w:eastAsia="zh-CN"/>
        </w:rPr>
        <w:t>各监测点</w:t>
      </w:r>
      <w:r>
        <w:rPr>
          <w:rFonts w:hint="eastAsia" w:ascii="仿宋_GB2312" w:hAnsi="仿宋_GB2312" w:eastAsia="仿宋_GB2312" w:cs="仿宋_GB2312"/>
          <w:sz w:val="32"/>
          <w:szCs w:val="32"/>
        </w:rPr>
        <w:t>应事先通过实地调查等方式，排除被抽中的片区中的空置户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商铺等，填报家庭户列表资料。由市</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完成家庭户抽样、KISH表代码分配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阶段：调查对象抽取。</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40" w:firstLineChars="200"/>
        <w:jc w:val="left"/>
        <w:textAlignment w:val="auto"/>
        <w:outlineLvl w:val="9"/>
        <w:rPr>
          <w:rFonts w:hint="eastAsia"/>
        </w:rPr>
      </w:pPr>
      <w:r>
        <w:rPr>
          <w:rFonts w:hint="eastAsia" w:ascii="仿宋_GB2312" w:hAnsi="仿宋_GB2312" w:eastAsia="仿宋_GB2312" w:cs="仿宋_GB2312"/>
          <w:sz w:val="32"/>
          <w:szCs w:val="32"/>
        </w:rPr>
        <w:t>调查员在每个抽中的家庭户内，收集家庭成员信息，按照KISH表方法随机抽取15～69周岁常住人口1人开展调查，</w:t>
      </w:r>
      <w:r>
        <w:rPr>
          <w:rFonts w:hint="eastAsia" w:ascii="仿宋_GB2312" w:hAnsi="仿宋_GB2312" w:eastAsia="仿宋_GB2312" w:cs="仿宋_GB2312"/>
          <w:sz w:val="32"/>
          <w:szCs w:val="32"/>
          <w:lang w:eastAsia="zh-CN"/>
        </w:rPr>
        <w:t>每个</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或片区在抽取的6</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个家庭户中完成至少50人份</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rPr>
        <w:t>调查问卷。</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（六）监测内容</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outlineLvl w:val="9"/>
        <w:rPr>
          <w:rFonts w:hint="eastAsia"/>
        </w:rPr>
      </w:pPr>
      <w:r>
        <w:rPr>
          <w:rFonts w:hint="eastAsia" w:ascii="仿宋_GB2312" w:hAnsi="仿宋_GB2312" w:eastAsia="仿宋_GB2312" w:cs="仿宋_GB2312"/>
          <w:sz w:val="32"/>
          <w:szCs w:val="32"/>
        </w:rPr>
        <w:t>采用问卷调查的方式了解监测对象的健康素养水平，主要内容包括基本健康知识和理念、健康生活方式与行为、基本技能3个方面。</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（七）现场调查</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320" w:firstLineChars="1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统一使用</w:t>
      </w:r>
      <w:r>
        <w:rPr>
          <w:rFonts w:hint="eastAsia" w:ascii="仿宋_GB2312" w:hAnsi="仿宋_GB2312" w:eastAsia="仿宋_GB2312" w:cs="仿宋_GB2312"/>
          <w:sz w:val="32"/>
          <w:szCs w:val="32"/>
          <w:lang w:eastAsia="zh-CN"/>
        </w:rPr>
        <w:t>广西</w:t>
      </w:r>
      <w:r>
        <w:rPr>
          <w:rFonts w:hint="eastAsia" w:ascii="仿宋_GB2312" w:hAnsi="仿宋_GB2312" w:eastAsia="仿宋_GB2312" w:cs="仿宋_GB2312"/>
          <w:sz w:val="32"/>
          <w:szCs w:val="32"/>
        </w:rPr>
        <w:t>健康素养调查测评系统</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户开展问卷调查</w:t>
      </w:r>
      <w:r>
        <w:rPr>
          <w:rFonts w:hint="eastAsia" w:ascii="仿宋_GB2312" w:hAnsi="仿宋_GB2312" w:eastAsia="仿宋_GB2312" w:cs="仿宋_GB2312"/>
          <w:sz w:val="32"/>
          <w:szCs w:val="32"/>
          <w:lang w:eastAsia="zh-CN"/>
        </w:rPr>
        <w:t>，调查使用的</w:t>
      </w:r>
      <w:r>
        <w:rPr>
          <w:rFonts w:hint="eastAsia" w:ascii="仿宋_GB2312" w:hAnsi="仿宋_GB2312" w:eastAsia="仿宋_GB2312" w:cs="仿宋_GB2312"/>
          <w:sz w:val="32"/>
          <w:szCs w:val="32"/>
        </w:rPr>
        <w:t>平板电脑</w:t>
      </w:r>
      <w:r>
        <w:rPr>
          <w:rFonts w:hint="eastAsia" w:ascii="仿宋_GB2312" w:hAnsi="仿宋_GB2312" w:eastAsia="仿宋_GB2312" w:cs="仿宋_GB2312"/>
          <w:sz w:val="32"/>
          <w:szCs w:val="32"/>
          <w:lang w:eastAsia="zh-CN"/>
        </w:rPr>
        <w:t>由县卫健局下发，调查结束后须回收。</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监测开始前，县</w:t>
      </w:r>
      <w:r>
        <w:rPr>
          <w:rFonts w:hint="eastAsia" w:ascii="仿宋_GB2312" w:hAnsi="仿宋_GB2312" w:eastAsia="仿宋_GB2312" w:cs="仿宋_GB2312"/>
          <w:sz w:val="32"/>
          <w:szCs w:val="32"/>
          <w:lang w:val="en-US" w:eastAsia="zh-CN"/>
        </w:rPr>
        <w:t>卫生健康局</w:t>
      </w:r>
      <w:r>
        <w:rPr>
          <w:rFonts w:hint="eastAsia" w:ascii="仿宋_GB2312" w:hAnsi="仿宋_GB2312" w:eastAsia="仿宋_GB2312" w:cs="仿宋_GB2312"/>
          <w:sz w:val="32"/>
          <w:szCs w:val="32"/>
        </w:rPr>
        <w:t>成立健康素养监测工作组</w:t>
      </w:r>
      <w:r>
        <w:rPr>
          <w:rFonts w:hint="eastAsia" w:ascii="仿宋_GB2312" w:hAnsi="仿宋_GB2312" w:eastAsia="仿宋_GB2312" w:cs="仿宋_GB2312"/>
          <w:sz w:val="32"/>
          <w:szCs w:val="32"/>
          <w:lang w:eastAsia="zh-CN"/>
        </w:rPr>
        <w:t>（文件另下）。</w:t>
      </w:r>
      <w:r>
        <w:rPr>
          <w:rFonts w:hint="eastAsia" w:ascii="仿宋_GB2312" w:hAnsi="仿宋_GB2312" w:eastAsia="仿宋_GB2312" w:cs="仿宋_GB2312"/>
          <w:sz w:val="32"/>
          <w:szCs w:val="32"/>
        </w:rPr>
        <w:t>确定监测工作负责人、协调员、质控员、调查员及数据管理员，明确工作职责（附件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），确保培训到位</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入户调查前，各地要加强与村</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等相关部门工作人员沟通，在</w:t>
      </w:r>
      <w:r>
        <w:rPr>
          <w:rFonts w:hint="eastAsia" w:ascii="仿宋_GB2312" w:hAnsi="仿宋_GB2312" w:eastAsia="仿宋_GB2312" w:cs="仿宋_GB2312"/>
          <w:sz w:val="32"/>
          <w:szCs w:val="32"/>
          <w:lang w:eastAsia="zh-CN"/>
        </w:rPr>
        <w:t>村干部、村医</w:t>
      </w:r>
      <w:r>
        <w:rPr>
          <w:rFonts w:hint="eastAsia" w:ascii="仿宋_GB2312" w:hAnsi="仿宋_GB2312" w:eastAsia="仿宋_GB2312" w:cs="仿宋_GB2312"/>
          <w:sz w:val="32"/>
          <w:szCs w:val="32"/>
        </w:rPr>
        <w:t>的协助下，熟悉调查区域的地理环境和住户情况，提前对调查家庭户进行预约，降低无应答率和拒访率，确保监测工作按时完成。提前准备调查所需用品，印刷调查方案等资料，打印调查对象名单；在调查用的平板电脑（手机）上安装广西健康素养测评系统（以下简称测评系统）APP，测试是否能够正常使用；入户前在平板电脑（手机）上使用测评系统下载抽中的家庭户列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5"/>
        <w:textAlignment w:val="auto"/>
        <w:outlineLvl w:val="9"/>
        <w:rPr>
          <w:rFonts w:hint="eastAsia"/>
          <w:sz w:val="32"/>
          <w:szCs w:val="32"/>
        </w:rPr>
      </w:pPr>
      <w:r>
        <w:rPr>
          <w:rFonts w:hint="eastAsia" w:ascii="仿宋_GB2312" w:hAnsi="仿宋_GB2312" w:eastAsia="仿宋_GB2312" w:cs="仿宋_GB2312"/>
          <w:sz w:val="32"/>
          <w:szCs w:val="32"/>
        </w:rPr>
        <w:t>入户后，调查员先进行自我介绍，表明身份，说明调查目的和调查重要性，以及调查大致需要的时间，强调为住户保密，不外传调查内容。按照入户调查流程（附件3），调查员通过问询，筛选出符合调查条件的全部家庭成员（包括入户时临时不在家的</w:t>
      </w:r>
      <w:r>
        <w:rPr>
          <w:rFonts w:hint="eastAsia" w:ascii="仿宋_GB2312" w:hAnsi="仿宋_GB2312" w:eastAsia="仿宋_GB2312" w:cs="仿宋_GB2312"/>
          <w:sz w:val="32"/>
          <w:szCs w:val="32"/>
          <w:lang w:val="en-US" w:eastAsia="zh-CN"/>
        </w:rPr>
        <w:t>家庭成员和</w:t>
      </w:r>
      <w:r>
        <w:rPr>
          <w:rFonts w:hint="eastAsia" w:ascii="仿宋_GB2312" w:hAnsi="仿宋_GB2312" w:eastAsia="仿宋_GB2312" w:cs="仿宋_GB2312"/>
          <w:sz w:val="32"/>
          <w:szCs w:val="32"/>
        </w:rPr>
        <w:t>共同居住超过6个月的保姆、亲友、合租人等其他人员），并将相应的个人信息填入测评系统中的《家庭成员登记表》。完成家庭成员信息采集后，由测评系统按照KISH法抽取出调查对象。入户调查问卷主要由调查对象在平板电脑或手机上独立完成填写，如调查对象不能独立完成填写，则采用面对面询问方式调查。县级质控员在电脑上操作测评系统对当天完成的问卷进行三级审核，调查问卷审核通过后提交给市级质控员进行二级审核，最后由自治区级管理人员进行一级审核。</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5"/>
        <w:textAlignment w:val="auto"/>
        <w:outlineLvl w:val="9"/>
        <w:rPr>
          <w:rFonts w:hint="eastAsia"/>
          <w:sz w:val="32"/>
          <w:szCs w:val="32"/>
        </w:rPr>
      </w:pPr>
      <w:r>
        <w:rPr>
          <w:rFonts w:hint="eastAsia" w:ascii="仿宋_GB2312" w:hAnsi="仿宋_GB2312" w:eastAsia="仿宋_GB2312" w:cs="仿宋_GB2312"/>
          <w:sz w:val="32"/>
          <w:szCs w:val="32"/>
        </w:rPr>
        <w:t>入户调查完成后（每个监测点至少</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rPr>
        <w:t>问卷），由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数据管理员使用电脑通过测评系统管理端下载《202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年健康素养调查完成情况登记表》，并填写调查完成情况汇总表及报告；经协调员审核后上报监测点负责人，加盖县级卫生行政部门公章后，由县</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上报至市</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、质量控制</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（一）调查前质量控制</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1.监测调查中要严格遵循本监测工作方案指定的抽样方法完成逐级抽样，直至抽取具体调查对象。</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2.填报家庭户列表信息阶段，要加强空置户、商铺等排查，避免因排查不到位，造成现场调查阶段无法顺利入户、反复抽样，影响监测数据质量，并增加各级人员工作量。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3.培训、调查各环节工作应严格按照本监测工作方案要求开展，不能私自更改监测方案要求，调查必须统一使用自治区提供的调查问卷。</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sz w:val="32"/>
          <w:szCs w:val="32"/>
        </w:rPr>
      </w:pPr>
      <w:r>
        <w:rPr>
          <w:rFonts w:hint="eastAsia" w:ascii="仿宋_GB2312" w:hAnsi="仿宋_GB2312" w:eastAsia="仿宋_GB2312" w:cs="仿宋_GB2312"/>
          <w:sz w:val="32"/>
          <w:szCs w:val="32"/>
        </w:rPr>
        <w:t>4.禁止对已抽取确定的学校班级、家庭户、调查对象开展突击性宣传等违规行为，如提前发放问卷答案、试答问卷等。</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（二）调查阶段质量控制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1.规范社区居民调查组织形式。调查员应严格按照入户调查流程，提前做好预约工作，原则上在调查家庭中完成问卷填写，不能采取调查对象集中填写的方式进行。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逐级开展现场陪访。在调查开始头3天，县级质控员必须陪同调查员一起入户开展调查。陪访前，县级质控员应对所有调查员进行集中简短培训，再次强调现场调查应注意的各类事项。经3天陪访后，如调查员已熟练掌握调查流程、家庭成员筛选登记、测评系统操作等要求，陪访频率可以降低。</w:t>
      </w:r>
      <w:r>
        <w:rPr>
          <w:rFonts w:hint="eastAsia" w:ascii="仿宋_GB2312" w:hAnsi="仿宋_GB2312" w:eastAsia="仿宋_GB2312" w:cs="仿宋_GB2312"/>
          <w:sz w:val="32"/>
          <w:szCs w:val="32"/>
          <w:lang w:eastAsia="zh-CN"/>
        </w:rPr>
        <w:t>如县</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技术力量较薄弱</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在入户调查前向市级疾病预防控制中心（健康教育与健康促进</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）报告，由市级疾病预防控制中心（健康教育与健康促进</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）安排市级质控员开展现场陪访。</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3.全面收集填写家庭户列表信息。被抽中的家庭户中，年龄在15-69岁的常住人口均需将相应的个人信息填入家庭成员列表中，不能只填写户主或入户时在家的家庭成员等信息，避免人为缩小调查范围。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4.杜绝各种人为影响调查结果的现象。调查问卷原则上由调查对象根据自己的理解作答，</w:t>
      </w:r>
      <w:r>
        <w:rPr>
          <w:rFonts w:hint="eastAsia" w:ascii="仿宋_GB2312" w:hAnsi="仿宋_GB2312" w:eastAsia="仿宋_GB2312" w:cs="仿宋_GB2312"/>
          <w:sz w:val="32"/>
          <w:szCs w:val="32"/>
          <w:lang w:val="en-US" w:eastAsia="zh-CN"/>
        </w:rPr>
        <w:t>调查对象</w:t>
      </w:r>
      <w:r>
        <w:rPr>
          <w:rFonts w:hint="eastAsia" w:ascii="仿宋_GB2312" w:hAnsi="仿宋_GB2312" w:eastAsia="仿宋_GB2312" w:cs="仿宋_GB2312"/>
          <w:sz w:val="32"/>
          <w:szCs w:val="32"/>
        </w:rPr>
        <w:t>应自行使用平板电脑和手机完成调查问卷，调查员不对问卷题目和答案进行解释，不能使用诱导性或暗示性语言，不能代替调查对象作答，或让其他家庭成员、邻居等代替调查对象作答</w:t>
      </w:r>
      <w:r>
        <w:rPr>
          <w:rFonts w:hint="eastAsia" w:ascii="仿宋_GB2312" w:hAnsi="仿宋_GB2312" w:eastAsia="仿宋_GB2312" w:cs="仿宋_GB2312"/>
          <w:sz w:val="32"/>
          <w:szCs w:val="32"/>
          <w:lang w:val="en-US" w:eastAsia="zh-CN"/>
        </w:rPr>
        <w:t>和提示答案</w:t>
      </w:r>
      <w:r>
        <w:rPr>
          <w:rFonts w:hint="eastAsia" w:ascii="仿宋_GB2312" w:hAnsi="仿宋_GB2312" w:eastAsia="仿宋_GB2312" w:cs="仿宋_GB2312"/>
          <w:sz w:val="32"/>
          <w:szCs w:val="32"/>
        </w:rPr>
        <w:t>，不能更改调查对象选择的问卷答案。调查对象如因读、写等困难不能独立完成调查问卷，则由调查员来询问，并根据调查对象的回答情况填写选项；调查对象文化水平较低或存在语言障碍时，可由调查员作适当解释，但解释要忠于题目原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5.收集调查佐证资料。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rPr>
      </w:pPr>
      <w:r>
        <w:rPr>
          <w:rFonts w:hint="eastAsia" w:ascii="仿宋_GB2312" w:hAnsi="仿宋_GB2312" w:eastAsia="仿宋_GB2312" w:cs="仿宋_GB2312"/>
          <w:sz w:val="32"/>
          <w:szCs w:val="32"/>
        </w:rPr>
        <w:t>调查员在每一次入户调查开始前或结束后需要进行地理位置识别确认、拍摄现场调查照片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张（分别为家庭户门口、调查对象</w:t>
      </w:r>
      <w:r>
        <w:rPr>
          <w:rFonts w:hint="eastAsia" w:ascii="仿宋_GB2312" w:hAnsi="仿宋_GB2312" w:eastAsia="仿宋_GB2312" w:cs="仿宋_GB2312"/>
          <w:sz w:val="32"/>
          <w:szCs w:val="32"/>
          <w:lang w:eastAsia="zh-CN"/>
        </w:rPr>
        <w:t>与调查员合照</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调查过程</w:t>
      </w:r>
      <w:r>
        <w:rPr>
          <w:rFonts w:hint="eastAsia" w:ascii="仿宋_GB2312" w:hAnsi="仿宋_GB2312" w:eastAsia="仿宋_GB2312" w:cs="仿宋_GB2312"/>
          <w:sz w:val="32"/>
          <w:szCs w:val="32"/>
        </w:rPr>
        <w:t>照片），每次调查开始系统将自动开启本次调查过程的录音。</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6.加强问卷质量审核。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rPr>
      </w:pPr>
      <w:bookmarkStart w:id="0" w:name="OLE_LINK1"/>
      <w:r>
        <w:rPr>
          <w:rFonts w:hint="eastAsia" w:ascii="仿宋_GB2312" w:hAnsi="仿宋_GB2312" w:eastAsia="仿宋_GB2312" w:cs="仿宋_GB2312"/>
          <w:sz w:val="32"/>
          <w:szCs w:val="32"/>
        </w:rPr>
        <w:t>县级质控人员应及时对</w:t>
      </w:r>
      <w:bookmarkEnd w:id="0"/>
      <w:r>
        <w:rPr>
          <w:rFonts w:hint="eastAsia" w:ascii="仿宋_GB2312" w:hAnsi="仿宋_GB2312" w:eastAsia="仿宋_GB2312" w:cs="仿宋_GB2312"/>
          <w:sz w:val="32"/>
          <w:szCs w:val="32"/>
        </w:rPr>
        <w:t>当天完成的所有问卷进行审核，审核内容包括：问卷基本信息填写是否规范，实际入户地理位置是否与家庭户列表一致，录音、现场照片数量和拍摄等是否符合要求，家庭成员信息表、问卷填写时间及完成时长是否异常等，注意排查调查员诱导答题、他人代答等问题。县级质控员如发现问卷质量存在问题，则在测评系统中对问卷进行“审核不通过”处理，并向调查员指出，采取相应措施及时进行整改，避免再次出现类似的问题。根据问卷存在的问题的情况，市级质控员负责对县级审核不通过的问卷进行回退处理，并对出现问题较多的监测点及时跟进指导。</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7.问卷质量存在严重问题时的处理。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rPr>
      </w:pPr>
      <w:r>
        <w:rPr>
          <w:rFonts w:hint="eastAsia" w:ascii="仿宋_GB2312" w:hAnsi="仿宋_GB2312" w:eastAsia="仿宋_GB2312" w:cs="仿宋_GB2312"/>
          <w:sz w:val="32"/>
          <w:szCs w:val="32"/>
        </w:rPr>
        <w:t>如出现3名及以上调查员问卷基本信息填写不规范等不熟悉监测要求的情况，应对所有调查员重新进行培训。如发现存在家庭成员信息登记不全、调查员诱导答题、他人代答、突击性宣传等影响调查结果的问题，监测点除组织培训外，还应针对有问题的问卷重新组织入户调查，或由自治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桂林</w:t>
      </w:r>
      <w:r>
        <w:rPr>
          <w:rFonts w:hint="eastAsia" w:ascii="仿宋_GB2312" w:hAnsi="仿宋_GB2312" w:eastAsia="仿宋_GB2312" w:cs="仿宋_GB2312"/>
          <w:sz w:val="32"/>
          <w:szCs w:val="32"/>
        </w:rPr>
        <w:t>市）视情况重新抽取调查居委会（村）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片区或家庭户。</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8.强化问卷复核。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rPr>
      </w:pPr>
      <w:r>
        <w:rPr>
          <w:rFonts w:hint="eastAsia" w:ascii="仿宋_GB2312" w:hAnsi="仿宋_GB2312" w:eastAsia="仿宋_GB2312" w:cs="仿宋_GB2312"/>
          <w:sz w:val="32"/>
          <w:szCs w:val="32"/>
        </w:rPr>
        <w:t>监测点入户调查完成过半后，</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桂林市</w:t>
      </w:r>
      <w:r>
        <w:rPr>
          <w:rFonts w:hint="eastAsia" w:ascii="仿宋_GB2312" w:hAnsi="仿宋_GB2312" w:eastAsia="仿宋_GB2312" w:cs="仿宋_GB2312"/>
          <w:sz w:val="32"/>
          <w:szCs w:val="32"/>
        </w:rPr>
        <w:t>抽取至少</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份调查问卷，采用《健康素养监测复核调查表》入户核对问卷信息、查阅工作过程资料、座谈等现场复核的方式检查各监测点工作开展情况。抽取的</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份调查问卷中不合格问卷达到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份及以上，则视为该监测点现场调查工作不合格，</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责令该监测点重新进行调查。</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（三）数据整理及分析阶段质量控制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sz w:val="32"/>
          <w:szCs w:val="32"/>
        </w:rPr>
      </w:pPr>
      <w:r>
        <w:rPr>
          <w:rFonts w:hint="eastAsia" w:ascii="仿宋_GB2312" w:hAnsi="仿宋_GB2312" w:eastAsia="仿宋_GB2312" w:cs="仿宋_GB2312"/>
          <w:sz w:val="32"/>
          <w:szCs w:val="32"/>
        </w:rPr>
        <w:t>自治区、市级疾病预防控制中心（健康教育与健康促进</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通过测评系统对各监测点上报的数据及资料实时进行审核，使用数据分析软件对数据进行清理和逻辑校对，对不合格问卷予以剔除。自治区疾病预防控制中心如发现经县、市级审核后，监测点不合格问卷仍较多的，将上报自治区卫生健康委，视情况采取重点核查、全区通报等措施，如发现监测结果造假等严重质量问题，则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绩效考核中扣减相应的分数。</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、职责及分工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（一）县</w:t>
      </w:r>
      <w:r>
        <w:rPr>
          <w:rFonts w:hint="eastAsia" w:ascii="仿宋_GB2312" w:hAnsi="仿宋_GB2312" w:eastAsia="仿宋_GB2312" w:cs="仿宋_GB2312"/>
          <w:sz w:val="32"/>
          <w:szCs w:val="32"/>
          <w:lang w:val="en-US" w:eastAsia="zh-CN"/>
        </w:rPr>
        <w:t>卫生健康局</w:t>
      </w:r>
      <w:r>
        <w:rPr>
          <w:rFonts w:hint="eastAsia" w:ascii="仿宋_GB2312" w:hAnsi="仿宋_GB2312" w:eastAsia="仿宋_GB2312" w:cs="仿宋_GB2312"/>
          <w:sz w:val="32"/>
          <w:szCs w:val="32"/>
        </w:rPr>
        <w:t>负责组织实施本辖区健康素养监测工作，落实健康素养监测工作经费，制订监测实施方案，成立监测工作组，落实各有关单位工作职责，组织开展</w:t>
      </w:r>
      <w:r>
        <w:rPr>
          <w:rFonts w:hint="eastAsia" w:ascii="仿宋_GB2312" w:hAnsi="仿宋_GB2312" w:eastAsia="仿宋_GB2312" w:cs="仿宋_GB2312"/>
          <w:sz w:val="32"/>
          <w:szCs w:val="32"/>
          <w:lang w:val="en-US" w:eastAsia="zh-CN"/>
        </w:rPr>
        <w:t>调查员</w:t>
      </w:r>
      <w:r>
        <w:rPr>
          <w:rFonts w:hint="eastAsia" w:ascii="仿宋_GB2312" w:hAnsi="仿宋_GB2312" w:eastAsia="仿宋_GB2312" w:cs="仿宋_GB2312"/>
          <w:sz w:val="32"/>
          <w:szCs w:val="32"/>
        </w:rPr>
        <w:t>培训，未经过培训或培训不合格的人员不能参与监测工作。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负责协调乡镇政府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村委会等有关部门做好数据收集、入户调查等工作。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负责为监测工作提供技术支持，配合县</w:t>
      </w:r>
      <w:r>
        <w:rPr>
          <w:rFonts w:hint="eastAsia" w:ascii="仿宋_GB2312" w:hAnsi="仿宋_GB2312" w:eastAsia="仿宋_GB2312" w:cs="仿宋_GB2312"/>
          <w:sz w:val="32"/>
          <w:szCs w:val="32"/>
          <w:lang w:val="en-US" w:eastAsia="zh-CN"/>
        </w:rPr>
        <w:t>卫生健康局</w:t>
      </w:r>
      <w:r>
        <w:rPr>
          <w:rFonts w:hint="eastAsia" w:ascii="仿宋_GB2312" w:hAnsi="仿宋_GB2312" w:eastAsia="仿宋_GB2312" w:cs="仿宋_GB2312"/>
          <w:color w:val="auto"/>
          <w:sz w:val="32"/>
          <w:szCs w:val="32"/>
        </w:rPr>
        <w:t>开展培训，负责牵头实施健康素养监测各项具体工作任务</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320" w:firstLineChars="100"/>
        <w:jc w:val="both"/>
        <w:textAlignment w:val="auto"/>
        <w:outlineLvl w:val="9"/>
        <w:rPr>
          <w:rFonts w:hint="eastAsia"/>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进度安排</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月：配合市</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抽定家庭户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完成各级培训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月：各监测点开展</w:t>
      </w:r>
      <w:r>
        <w:rPr>
          <w:rFonts w:hint="eastAsia" w:ascii="仿宋_GB2312" w:hAnsi="仿宋_GB2312" w:eastAsia="仿宋_GB2312" w:cs="仿宋_GB2312"/>
          <w:sz w:val="32"/>
          <w:szCs w:val="32"/>
          <w:lang w:val="en-US" w:eastAsia="zh-CN"/>
        </w:rPr>
        <w:t>并完成入户</w:t>
      </w:r>
      <w:r>
        <w:rPr>
          <w:rFonts w:hint="eastAsia" w:ascii="仿宋_GB2312" w:hAnsi="仿宋_GB2312" w:eastAsia="仿宋_GB2312" w:cs="仿宋_GB2312"/>
          <w:sz w:val="32"/>
          <w:szCs w:val="32"/>
        </w:rPr>
        <w:t>调查，开展现场督导等质量控制工作。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月：各监测点整理完善社区居民调查相关资料，将调查完成情况登记表、完成情况报告等相关资料提交到县</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汇总后</w:t>
      </w:r>
      <w:r>
        <w:rPr>
          <w:rFonts w:hint="eastAsia" w:ascii="仿宋_GB2312" w:hAnsi="仿宋_GB2312" w:eastAsia="仿宋_GB2312" w:cs="仿宋_GB2312"/>
          <w:sz w:val="32"/>
          <w:szCs w:val="32"/>
          <w:lang w:eastAsia="zh-CN"/>
        </w:rPr>
        <w:t>再</w:t>
      </w:r>
      <w:r>
        <w:rPr>
          <w:rFonts w:hint="eastAsia" w:ascii="仿宋_GB2312" w:hAnsi="仿宋_GB2312" w:eastAsia="仿宋_GB2312" w:cs="仿宋_GB2312"/>
          <w:sz w:val="32"/>
          <w:szCs w:val="32"/>
        </w:rPr>
        <w:t>提交至市</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10-11</w:t>
      </w:r>
      <w:r>
        <w:rPr>
          <w:rFonts w:hint="eastAsia" w:ascii="仿宋_GB2312" w:hAnsi="仿宋_GB2312" w:eastAsia="仿宋_GB2312" w:cs="仿宋_GB2312"/>
          <w:sz w:val="32"/>
          <w:szCs w:val="32"/>
        </w:rPr>
        <w:t>月：数据清理、分析，撰写监测报告。县</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将各监测点监测数据及监测结果报至市</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（一）加强组织领导</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健康素养水平监测是落</w:t>
      </w:r>
      <w:r>
        <w:rPr>
          <w:rFonts w:hint="eastAsia" w:ascii="仿宋_GB2312" w:hAnsi="仿宋_GB2312" w:eastAsia="仿宋_GB2312" w:cs="仿宋_GB2312"/>
          <w:sz w:val="32"/>
          <w:szCs w:val="32"/>
        </w:rPr>
        <w:t>实国家基本公共卫生服务项目—健康素养促进行动项目任务，是掌握和体现我县居民健康素养和健康水平的重要措施。各监测点要高度重视，将其作为开展基本公共卫生服务项目和健康素养促进行动的必需工作和关键环节，制定和完善监测评估方案，明确职责任务，落实专人层层负责，确保监测工作任务的如期完成。</w:t>
      </w:r>
    </w:p>
    <w:p>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textAlignment w:val="auto"/>
        <w:outlineLvl w:val="9"/>
        <w:rPr>
          <w:rFonts w:hint="eastAsia"/>
        </w:rPr>
      </w:pPr>
      <w:r>
        <w:rPr>
          <w:rFonts w:hint="eastAsia" w:ascii="楷体_GB2312" w:hAnsi="楷体_GB2312" w:eastAsia="楷体_GB2312" w:cs="楷体_GB2312"/>
          <w:b w:val="0"/>
          <w:bCs w:val="0"/>
          <w:sz w:val="32"/>
          <w:szCs w:val="32"/>
        </w:rPr>
        <w:t>（二）做好保障工作</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全区居民健康素养监测工作所需经费由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卫生健康局</w:t>
      </w:r>
      <w:r>
        <w:rPr>
          <w:rFonts w:hint="eastAsia" w:ascii="仿宋_GB2312" w:hAnsi="仿宋_GB2312" w:eastAsia="仿宋_GB2312" w:cs="仿宋_GB2312"/>
          <w:sz w:val="32"/>
          <w:szCs w:val="32"/>
        </w:rPr>
        <w:t>从基本公共卫生服务经费中的健康教育、健康素养促进、中国居民健康素养监测3类子项目经费中统筹安排</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科学合理地做好健康素养监测工作经费的测算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素养监测工作经费主要用于监测培训、采购平板电脑等调查专用设备、开展各类媒体平台和现场宣传活动，制作购买调查员工作服（含帽子，参照自治区提供的样式制作）、各类健康素养宣传材料、问卷印刷、群众参与调查的礼品等监测相关用品，差旅费，临时参与入户调查、监测数据录入等相关工作的人员劳务费，以及其他监测工作所需的必要开支。</w:t>
      </w:r>
      <w:r>
        <w:rPr>
          <w:rFonts w:hint="eastAsia" w:ascii="仿宋_GB2312" w:hAnsi="仿宋_GB2312" w:eastAsia="仿宋_GB2312" w:cs="仿宋_GB2312"/>
          <w:sz w:val="32"/>
          <w:szCs w:val="32"/>
          <w:lang w:eastAsia="zh-CN"/>
        </w:rPr>
        <w:t>监测点</w:t>
      </w:r>
      <w:r>
        <w:rPr>
          <w:rFonts w:hint="eastAsia" w:ascii="仿宋_GB2312" w:hAnsi="仿宋_GB2312" w:eastAsia="仿宋_GB2312" w:cs="仿宋_GB2312"/>
          <w:sz w:val="32"/>
          <w:szCs w:val="32"/>
        </w:rPr>
        <w:t>要按照项目经费管理要求，加强经费使用监管，提高资金使用效益。要重视和加强健康素养监测人员队伍的建设，落实专人负责，并加强培训，不断提高监测专业能力和质量。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（三）加大宣传力度</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要强谋划、早开展，利用电视、报刊、电台等大众媒体和手机短信、“两微一端”等新媒体以及宣传栏、公开信、宣传横幅等形式开展多层次、全方位宣传。强化监测工作目的、意义、监测方法和群众健康自身责任、健康素养知识技能的宣传普及，让群众以主人翁的姿态主动参与，积极学习健康知识，配合开展监测调查，践行健康生活方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、联系人及联系方式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永福县卫生健康局爱卫办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杨露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孙娅娅</w:t>
      </w: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0773-6756836。</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永福县疾病预防控制</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公卫科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李就生</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eastAsia="zh-CN"/>
        </w:rPr>
        <w:t>孔智君、邹漫婷</w:t>
      </w: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0773-6936231  邮箱：yfjkxmb@163.com。</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附件：1.永福县健康素养监测技术指导组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.县级监测工作组成员职责分工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.入户调查流程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.居委会（村）信息收集表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.居委会（村）分片情况记录表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.居委会（村）家庭户列表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.家庭成员登记表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.居民健康素养调查完成情况登记表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.健康素养监测复核调查表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.健康素养监测完成情况报告（参考格式）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.居民健康素养监测完成情况汇总表</w:t>
      </w:r>
    </w:p>
    <w:p>
      <w:pPr>
        <w:pStyle w:val="2"/>
        <w:pageBreakBefore w:val="0"/>
        <w:widowControl w:val="0"/>
        <w:kinsoku/>
        <w:wordWrap/>
        <w:overflowPunct/>
        <w:topLinePunct w:val="0"/>
        <w:autoSpaceDE/>
        <w:autoSpaceDN/>
        <w:bidi w:val="0"/>
        <w:spacing w:line="580" w:lineRule="exact"/>
        <w:ind w:firstLine="1600" w:firstLineChars="5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b w:val="0"/>
          <w:kern w:val="2"/>
          <w:sz w:val="32"/>
          <w:szCs w:val="32"/>
          <w:lang w:val="en-US" w:eastAsia="zh-CN" w:bidi="ar-SA"/>
        </w:rPr>
        <w:t>居民健康素养调查宣传标语</w:t>
      </w:r>
    </w:p>
    <w:p>
      <w:pPr>
        <w:rPr>
          <w:rFonts w:hint="eastAsia" w:ascii="仿宋_GB2312" w:hAnsi="仿宋_GB2312" w:eastAsia="仿宋_GB2312" w:cs="仿宋_GB2312"/>
          <w:b w:val="0"/>
          <w:kern w:val="2"/>
          <w:sz w:val="32"/>
          <w:szCs w:val="32"/>
          <w:lang w:val="en-US" w:eastAsia="zh-CN" w:bidi="ar-SA"/>
        </w:rPr>
      </w:pPr>
    </w:p>
    <w:p>
      <w:pPr>
        <w:pStyle w:val="2"/>
        <w:rPr>
          <w:rFonts w:hint="eastAsia" w:ascii="仿宋_GB2312" w:hAnsi="仿宋_GB2312" w:eastAsia="仿宋_GB2312" w:cs="仿宋_GB2312"/>
          <w:b w:val="0"/>
          <w:kern w:val="2"/>
          <w:sz w:val="32"/>
          <w:szCs w:val="32"/>
          <w:lang w:val="en-US" w:eastAsia="zh-CN" w:bidi="ar-SA"/>
        </w:rPr>
      </w:pPr>
    </w:p>
    <w:p>
      <w:pPr>
        <w:rPr>
          <w:rFonts w:hint="eastAsia" w:ascii="仿宋_GB2312" w:hAnsi="仿宋_GB2312" w:eastAsia="仿宋_GB2312" w:cs="仿宋_GB2312"/>
          <w:b w:val="0"/>
          <w:kern w:val="2"/>
          <w:sz w:val="32"/>
          <w:szCs w:val="32"/>
          <w:lang w:val="en-US" w:eastAsia="zh-CN" w:bidi="ar-SA"/>
        </w:rPr>
      </w:pPr>
    </w:p>
    <w:p>
      <w:pPr>
        <w:pStyle w:val="2"/>
        <w:rPr>
          <w:rFonts w:hint="eastAsia" w:ascii="仿宋_GB2312" w:hAnsi="仿宋_GB2312" w:eastAsia="仿宋_GB2312" w:cs="仿宋_GB2312"/>
          <w:b w:val="0"/>
          <w:kern w:val="2"/>
          <w:sz w:val="32"/>
          <w:szCs w:val="32"/>
          <w:lang w:val="en-US" w:eastAsia="zh-CN" w:bidi="ar-SA"/>
        </w:rPr>
      </w:pPr>
    </w:p>
    <w:p>
      <w:pPr>
        <w:rPr>
          <w:rFonts w:hint="eastAsia" w:ascii="仿宋_GB2312" w:hAnsi="仿宋_GB2312" w:eastAsia="仿宋_GB2312" w:cs="仿宋_GB2312"/>
          <w:b w:val="0"/>
          <w:kern w:val="2"/>
          <w:sz w:val="32"/>
          <w:szCs w:val="32"/>
          <w:lang w:val="en-US" w:eastAsia="zh-CN" w:bidi="ar-SA"/>
        </w:rPr>
      </w:pPr>
    </w:p>
    <w:p>
      <w:pPr>
        <w:pStyle w:val="2"/>
        <w:rPr>
          <w:rFonts w:hint="eastAsia" w:ascii="仿宋_GB2312" w:hAnsi="仿宋_GB2312" w:eastAsia="仿宋_GB2312" w:cs="仿宋_GB2312"/>
          <w:b w:val="0"/>
          <w:kern w:val="2"/>
          <w:sz w:val="32"/>
          <w:szCs w:val="32"/>
          <w:lang w:val="en-US" w:eastAsia="zh-CN" w:bidi="ar-SA"/>
        </w:rPr>
      </w:pPr>
    </w:p>
    <w:p>
      <w:pPr>
        <w:keepNext w:val="0"/>
        <w:keepLines w:val="0"/>
        <w:pageBreakBefore w:val="0"/>
        <w:widowControl w:val="0"/>
        <w:kinsoku/>
        <w:wordWrap/>
        <w:overflowPunct/>
        <w:topLinePunct w:val="0"/>
        <w:autoSpaceDN w:val="0"/>
        <w:bidi w:val="0"/>
        <w:spacing w:line="600" w:lineRule="exact"/>
        <w:ind w:left="0" w:leftChars="0" w:right="0" w:rightChars="0"/>
        <w:jc w:val="both"/>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lang w:eastAsia="zh-CN"/>
        </w:rPr>
        <w:t>（公开形式：主动公开）</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val="0"/>
        <w:spacing w:line="586" w:lineRule="exac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eastAsia="zh-CN"/>
        </w:rPr>
        <w:t>永福县卫生健康局办公室</w:t>
      </w:r>
      <w:r>
        <w:rPr>
          <w:rFonts w:hint="eastAsia" w:ascii="仿宋_GB2312" w:hAnsi="仿宋_GB2312" w:eastAsia="仿宋_GB2312" w:cs="仿宋_GB2312"/>
          <w:color w:val="auto"/>
          <w:sz w:val="32"/>
          <w:szCs w:val="32"/>
          <w:u w:val="single"/>
          <w:lang w:val="en-US" w:eastAsia="zh-CN"/>
        </w:rPr>
        <w:t xml:space="preserve">                 2023年8月2印发   </w:t>
      </w:r>
    </w:p>
    <w:p>
      <w:pPr>
        <w:pageBreakBefore w:val="0"/>
        <w:kinsoku/>
        <w:wordWrap/>
        <w:overflowPunct/>
        <w:topLinePunct w:val="0"/>
        <w:bidi w:val="0"/>
        <w:spacing w:line="586" w:lineRule="exact"/>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0"/>
          <w:szCs w:val="30"/>
        </w:rPr>
        <w:t>附件1</w:t>
      </w:r>
    </w:p>
    <w:p>
      <w:pPr>
        <w:keepNext w:val="0"/>
        <w:keepLines w:val="0"/>
        <w:pageBreakBefore w:val="0"/>
        <w:widowControl/>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永福县健康素养监测技术指导组</w:t>
      </w:r>
    </w:p>
    <w:p>
      <w:pPr>
        <w:keepNext w:val="0"/>
        <w:keepLines w:val="0"/>
        <w:pageBreakBefore w:val="0"/>
        <w:widowControl w:val="0"/>
        <w:kinsoku/>
        <w:wordWrap/>
        <w:overflowPunct/>
        <w:topLinePunct w:val="0"/>
        <w:autoSpaceDE w:val="0"/>
        <w:autoSpaceDN w:val="0"/>
        <w:bidi w:val="0"/>
        <w:adjustRightInd w:val="0"/>
        <w:spacing w:line="586" w:lineRule="exact"/>
        <w:ind w:right="0" w:rightChars="0"/>
        <w:jc w:val="left"/>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曾景江</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永福县</w:t>
      </w:r>
      <w:r>
        <w:rPr>
          <w:rFonts w:hint="eastAsia" w:ascii="仿宋_GB2312" w:hAnsi="仿宋_GB2312" w:eastAsia="仿宋_GB2312" w:cs="仿宋_GB2312"/>
          <w:kern w:val="0"/>
          <w:sz w:val="32"/>
          <w:szCs w:val="32"/>
          <w:lang w:eastAsia="zh-CN"/>
        </w:rPr>
        <w:t>疾病预防控制</w:t>
      </w:r>
      <w:r>
        <w:rPr>
          <w:rFonts w:hint="eastAsia" w:ascii="仿宋_GB2312" w:hAnsi="仿宋_GB2312" w:eastAsia="仿宋_GB2312" w:cs="仿宋_GB2312"/>
          <w:kern w:val="0"/>
          <w:sz w:val="32"/>
          <w:szCs w:val="32"/>
        </w:rPr>
        <w:t xml:space="preserve">中心副主任 </w:t>
      </w:r>
    </w:p>
    <w:p>
      <w:pPr>
        <w:keepNext w:val="0"/>
        <w:keepLines w:val="0"/>
        <w:pageBreakBefore w:val="0"/>
        <w:widowControl w:val="0"/>
        <w:kinsoku/>
        <w:wordWrap/>
        <w:overflowPunct/>
        <w:topLinePunct w:val="0"/>
        <w:autoSpaceDE w:val="0"/>
        <w:autoSpaceDN w:val="0"/>
        <w:bidi w:val="0"/>
        <w:adjustRightIn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kern w:val="0"/>
          <w:sz w:val="32"/>
          <w:szCs w:val="32"/>
        </w:rPr>
        <w:t xml:space="preserve">李就生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auto"/>
          <w:sz w:val="32"/>
          <w:szCs w:val="32"/>
        </w:rPr>
        <w:t>永福</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疾病预防控制中心</w:t>
      </w:r>
      <w:r>
        <w:rPr>
          <w:rFonts w:hint="eastAsia" w:ascii="仿宋_GB2312" w:hAnsi="仿宋_GB2312" w:eastAsia="仿宋_GB2312" w:cs="仿宋_GB2312"/>
          <w:color w:val="auto"/>
          <w:sz w:val="32"/>
          <w:szCs w:val="32"/>
          <w:lang w:eastAsia="zh-CN"/>
        </w:rPr>
        <w:t>公卫</w:t>
      </w:r>
      <w:r>
        <w:rPr>
          <w:rFonts w:hint="eastAsia" w:ascii="仿宋_GB2312" w:hAnsi="仿宋_GB2312" w:eastAsia="仿宋_GB2312" w:cs="仿宋_GB2312"/>
          <w:color w:val="auto"/>
          <w:sz w:val="32"/>
          <w:szCs w:val="32"/>
        </w:rPr>
        <w:t>科科长</w:t>
      </w:r>
    </w:p>
    <w:p>
      <w:pPr>
        <w:keepNext w:val="0"/>
        <w:keepLines w:val="0"/>
        <w:pageBreakBefore w:val="0"/>
        <w:widowControl w:val="0"/>
        <w:kinsoku/>
        <w:wordWrap/>
        <w:overflowPunct/>
        <w:topLinePunct w:val="0"/>
        <w:autoSpaceDE w:val="0"/>
        <w:autoSpaceDN w:val="0"/>
        <w:bidi w:val="0"/>
        <w:adjustRightIn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孔智君</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永福</w:t>
      </w:r>
      <w:r>
        <w:rPr>
          <w:rFonts w:hint="eastAsia" w:ascii="仿宋_GB2312" w:hAnsi="仿宋_GB2312" w:eastAsia="仿宋_GB2312" w:cs="仿宋_GB2312"/>
          <w:kern w:val="0"/>
          <w:sz w:val="32"/>
          <w:szCs w:val="32"/>
          <w:lang w:eastAsia="zh-CN"/>
        </w:rPr>
        <w:t>县疾病预防控制中心公卫科副科长</w:t>
      </w:r>
    </w:p>
    <w:p>
      <w:pPr>
        <w:keepNext w:val="0"/>
        <w:keepLines w:val="0"/>
        <w:pageBreakBefore w:val="0"/>
        <w:widowControl w:val="0"/>
        <w:kinsoku/>
        <w:wordWrap/>
        <w:overflowPunct/>
        <w:topLinePunct w:val="0"/>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邹漫婷</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kern w:val="0"/>
          <w:sz w:val="32"/>
          <w:szCs w:val="32"/>
        </w:rPr>
        <w:t>永福</w:t>
      </w:r>
      <w:r>
        <w:rPr>
          <w:rFonts w:hint="eastAsia" w:ascii="仿宋_GB2312" w:hAnsi="仿宋_GB2312" w:eastAsia="仿宋_GB2312" w:cs="仿宋_GB2312"/>
          <w:kern w:val="0"/>
          <w:sz w:val="32"/>
          <w:szCs w:val="32"/>
          <w:lang w:eastAsia="zh-CN"/>
        </w:rPr>
        <w:t>县疾病预防控制中心公卫科</w:t>
      </w:r>
      <w:r>
        <w:rPr>
          <w:rFonts w:hint="eastAsia" w:ascii="仿宋_GB2312" w:hAnsi="仿宋_GB2312" w:eastAsia="仿宋_GB2312" w:cs="仿宋_GB2312"/>
          <w:kern w:val="0"/>
          <w:sz w:val="32"/>
          <w:szCs w:val="32"/>
          <w:lang w:val="en-US" w:eastAsia="zh-CN"/>
        </w:rPr>
        <w:t>科员</w:t>
      </w:r>
    </w:p>
    <w:p>
      <w:pPr>
        <w:keepNext w:val="0"/>
        <w:keepLines w:val="0"/>
        <w:pageBreakBefore w:val="0"/>
        <w:widowControl w:val="0"/>
        <w:kinsoku/>
        <w:wordWrap/>
        <w:overflowPunct/>
        <w:topLinePunct w:val="0"/>
        <w:bidi w:val="0"/>
        <w:adjustRightInd w:val="0"/>
        <w:snapToGrid w:val="0"/>
        <w:spacing w:line="586" w:lineRule="exact"/>
        <w:ind w:left="0" w:leftChars="0" w:right="0" w:rightChars="0"/>
        <w:jc w:val="lef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86" w:lineRule="exact"/>
        <w:ind w:right="0" w:rightChars="0"/>
        <w:jc w:val="left"/>
        <w:textAlignment w:val="auto"/>
        <w:outlineLvl w:val="9"/>
        <w:rPr>
          <w:rFonts w:hint="eastAsia" w:ascii="仿宋_GB2312" w:hAnsi="仿宋_GB2312" w:eastAsia="仿宋_GB2312" w:cs="仿宋_GB2312"/>
          <w:color w:val="000000"/>
          <w:sz w:val="32"/>
          <w:szCs w:val="32"/>
        </w:rPr>
        <w:sectPr>
          <w:footerReference r:id="rId3" w:type="default"/>
          <w:pgSz w:w="11906" w:h="16838"/>
          <w:pgMar w:top="2098" w:right="1304" w:bottom="1304" w:left="1587" w:header="851" w:footer="992" w:gutter="0"/>
          <w:pgNumType w:fmt="numberInDash"/>
          <w:cols w:space="0" w:num="1"/>
          <w:rtlGutter w:val="0"/>
          <w:docGrid w:type="lines" w:linePitch="312" w:charSpace="0"/>
        </w:sectPr>
      </w:pPr>
    </w:p>
    <w:p>
      <w:pPr>
        <w:pageBreakBefore w:val="0"/>
        <w:kinsoku/>
        <w:wordWrap/>
        <w:overflowPunct/>
        <w:topLinePunct w:val="0"/>
        <w:bidi w:val="0"/>
        <w:spacing w:line="586" w:lineRule="exact"/>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附件2</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县级监测工作组成员职责分工</w:t>
      </w:r>
    </w:p>
    <w:p>
      <w:pPr>
        <w:keepNext w:val="0"/>
        <w:keepLines w:val="0"/>
        <w:pageBreakBefore w:val="0"/>
        <w:kinsoku/>
        <w:wordWrap/>
        <w:overflowPunct/>
        <w:topLinePunct w:val="0"/>
        <w:autoSpaceDE/>
        <w:autoSpaceDN/>
        <w:bidi w:val="0"/>
        <w:adjustRightInd w:val="0"/>
        <w:snapToGrid w:val="0"/>
        <w:spacing w:line="586" w:lineRule="exact"/>
        <w:ind w:left="0" w:leftChars="0" w:firstLine="645"/>
        <w:jc w:val="both"/>
        <w:textAlignment w:val="auto"/>
        <w:rPr>
          <w:rFonts w:hint="eastAsia" w:ascii="仿宋_GB2312" w:hAnsi="仿宋_GB2312" w:eastAsia="仿宋_GB2312" w:cs="仿宋_GB2312"/>
          <w:b/>
          <w:color w:val="0C0C0C"/>
          <w:sz w:val="32"/>
          <w:szCs w:val="32"/>
        </w:rPr>
      </w:pP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卫生健康局</w:t>
      </w:r>
      <w:r>
        <w:rPr>
          <w:rFonts w:hint="eastAsia" w:ascii="仿宋_GB2312" w:hAnsi="仿宋_GB2312" w:eastAsia="仿宋_GB2312" w:cs="仿宋_GB2312"/>
          <w:sz w:val="32"/>
          <w:szCs w:val="32"/>
        </w:rPr>
        <w:t>分管领导担任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负责组织实施</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健康素养监测工作，对本地区监测整体工作质量负责，审核确认本县的监测工作方案、健康素养监测完成情况上报表、监测数据及报告。</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由县卫生健康局具体承担工作的股</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负责人担任）：负责本健康素养监测的具体组织实施工作，包括制定监测方案，落实各具体执行单位的职责分工和所需工作经费，组织开展培训，及时了解掌握本</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工作进度，并负责协调公安、教育、乡镇政府、村委会等有关部门给予支持，配合上级部门开展陪访、复核等工作，初审疾控中心上报的监测相关材料、数据及报告等。</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质控员（由县级疾病预防控制中心</w:t>
      </w:r>
      <w:r>
        <w:rPr>
          <w:rFonts w:hint="eastAsia" w:ascii="仿宋_GB2312" w:hAnsi="仿宋_GB2312" w:eastAsia="仿宋_GB2312" w:cs="仿宋_GB2312"/>
          <w:sz w:val="32"/>
          <w:szCs w:val="32"/>
          <w:lang w:eastAsia="zh-CN"/>
        </w:rPr>
        <w:t>公卫科</w:t>
      </w:r>
      <w:r>
        <w:rPr>
          <w:rFonts w:hint="eastAsia" w:ascii="仿宋_GB2312" w:hAnsi="仿宋_GB2312" w:eastAsia="仿宋_GB2312" w:cs="仿宋_GB2312"/>
          <w:sz w:val="32"/>
          <w:szCs w:val="32"/>
        </w:rPr>
        <w:t>负责人担任）：总体负责对本</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健康素养监测工作提供技术支持，承担县级质控工作，对调查员工作进行指导、监管。</w:t>
      </w:r>
    </w:p>
    <w:p>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数据管理员（</w:t>
      </w:r>
      <w:r>
        <w:rPr>
          <w:rFonts w:hint="eastAsia" w:ascii="仿宋_GB2312" w:hAnsi="仿宋_GB2312" w:eastAsia="仿宋_GB2312" w:cs="仿宋_GB2312"/>
          <w:sz w:val="32"/>
          <w:szCs w:val="32"/>
          <w:lang w:eastAsia="zh-CN"/>
        </w:rPr>
        <w:t>至少</w:t>
      </w:r>
      <w:r>
        <w:rPr>
          <w:rFonts w:hint="eastAsia" w:ascii="仿宋_GB2312" w:hAnsi="仿宋_GB2312" w:eastAsia="仿宋_GB2312" w:cs="仿宋_GB2312"/>
          <w:sz w:val="32"/>
          <w:szCs w:val="32"/>
          <w:lang w:val="en-US" w:eastAsia="zh-CN"/>
        </w:rPr>
        <w:t>2名，</w:t>
      </w:r>
      <w:r>
        <w:rPr>
          <w:rFonts w:hint="eastAsia" w:ascii="仿宋_GB2312" w:hAnsi="仿宋_GB2312" w:eastAsia="仿宋_GB2312" w:cs="仿宋_GB2312"/>
          <w:sz w:val="32"/>
          <w:szCs w:val="32"/>
        </w:rPr>
        <w:t>由县级疾病预防控制中心相关工作人员担任）：负责监测相关工作数据的录入、上传、统计、分析等，协助质控员指导调查员开展工作。负责收集审核各乡(镇)监测点上报的《</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健康素养调查完成情况登记表》（附件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健康素养监测完成情况汇总表》（附件</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。各乡(镇)监测点完成情况上报表及调查结果需经质控员、协调</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、负责人逐级审核后才能上报。</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调查员（由县级疾病预防控制中心、</w:t>
      </w:r>
      <w:r>
        <w:rPr>
          <w:rFonts w:hint="eastAsia" w:ascii="仿宋_GB2312" w:hAnsi="仿宋_GB2312" w:eastAsia="仿宋_GB2312" w:cs="仿宋_GB2312"/>
          <w:sz w:val="32"/>
          <w:szCs w:val="32"/>
          <w:lang w:eastAsia="zh-CN"/>
        </w:rPr>
        <w:t>乡镇卫生院</w:t>
      </w:r>
      <w:r>
        <w:rPr>
          <w:rFonts w:hint="eastAsia" w:ascii="仿宋_GB2312" w:hAnsi="仿宋_GB2312" w:eastAsia="仿宋_GB2312" w:cs="仿宋_GB2312"/>
          <w:sz w:val="32"/>
          <w:szCs w:val="32"/>
        </w:rPr>
        <w:t>等相关工作人员担任）：负责入户调查具体工作。</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hint="eastAsia" w:ascii="黑体" w:eastAsia="黑体" w:cs="仿宋_GB2312"/>
          <w:color w:val="0C0C0C"/>
          <w:szCs w:val="32"/>
        </w:rPr>
      </w:pPr>
      <w:r>
        <w:rPr>
          <w:rFonts w:hint="eastAsia" w:ascii="仿宋_GB2312" w:hAnsi="仿宋" w:eastAsia="仿宋_GB2312"/>
          <w:sz w:val="32"/>
          <w:szCs w:val="32"/>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入户调查流程</w:t>
      </w:r>
    </w:p>
    <w:p>
      <w:pPr>
        <w:pStyle w:val="2"/>
        <w:rPr>
          <w:rFonts w:hint="eastAsia"/>
        </w:rPr>
      </w:pPr>
    </w:p>
    <w:p>
      <w:pPr>
        <w:widowControl/>
        <w:jc w:val="left"/>
        <w:rPr>
          <w:rFonts w:hint="eastAsia" w:ascii="宋体" w:eastAsia="宋体" w:cs="宋体"/>
          <w:color w:val="0C0C0C"/>
          <w:kern w:val="0"/>
          <w:sz w:val="24"/>
        </w:rPr>
      </w:pPr>
      <w:r>
        <w:rPr>
          <w:rFonts w:ascii="宋体" w:eastAsia="宋体" w:cs="宋体"/>
          <w:color w:val="0C0C0C"/>
          <w:kern w:val="0"/>
          <w:sz w:val="24"/>
        </w:rPr>
        <w:drawing>
          <wp:inline distT="0" distB="0" distL="114300" distR="114300">
            <wp:extent cx="5505450" cy="7144385"/>
            <wp:effectExtent l="0" t="0" r="0" b="18415"/>
            <wp:docPr id="4" name="图片 1" descr="1586835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6835076"/>
                    <pic:cNvPicPr>
                      <a:picLocks noChangeAspect="1"/>
                    </pic:cNvPicPr>
                  </pic:nvPicPr>
                  <pic:blipFill>
                    <a:blip r:embed="rId6"/>
                    <a:stretch>
                      <a:fillRect/>
                    </a:stretch>
                  </pic:blipFill>
                  <pic:spPr>
                    <a:xfrm>
                      <a:off x="0" y="0"/>
                      <a:ext cx="5505450" cy="7144385"/>
                    </a:xfrm>
                    <a:prstGeom prst="rect">
                      <a:avLst/>
                    </a:prstGeom>
                    <a:noFill/>
                    <a:ln w="9525">
                      <a:noFill/>
                    </a:ln>
                  </pic:spPr>
                </pic:pic>
              </a:graphicData>
            </a:graphic>
          </wp:inline>
        </w:drawing>
      </w:r>
    </w:p>
    <w:p>
      <w:pPr>
        <w:widowControl/>
        <w:jc w:val="left"/>
        <w:rPr>
          <w:rFonts w:hint="eastAsia" w:ascii="宋体" w:eastAsia="宋体" w:cs="宋体"/>
          <w:color w:val="0C0C0C"/>
          <w:kern w:val="0"/>
          <w:sz w:val="24"/>
        </w:rPr>
        <w:sectPr>
          <w:pgSz w:w="11907" w:h="16840"/>
          <w:pgMar w:top="2098" w:right="1304" w:bottom="1304" w:left="1587" w:header="851" w:footer="992" w:gutter="0"/>
          <w:pgNumType w:fmt="numberInDash"/>
          <w:cols w:space="0" w:num="1"/>
          <w:titlePg/>
          <w:rtlGutter w:val="0"/>
          <w:docGrid w:type="lines" w:linePitch="312" w:charSpace="0"/>
        </w:sectPr>
      </w:pPr>
    </w:p>
    <w:p>
      <w:pPr>
        <w:keepNext w:val="0"/>
        <w:keepLines w:val="0"/>
        <w:pageBreakBefore w:val="0"/>
        <w:kinsoku/>
        <w:wordWrap/>
        <w:overflowPunct/>
        <w:topLinePunct w:val="0"/>
        <w:autoSpaceDE/>
        <w:autoSpaceDN/>
        <w:bidi w:val="0"/>
        <w:adjustRightInd w:val="0"/>
        <w:snapToGrid w:val="0"/>
        <w:spacing w:line="586" w:lineRule="exact"/>
        <w:ind w:right="0" w:rightChars="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after="156" w:afterLines="50" w:line="640" w:lineRule="exact"/>
        <w:ind w:left="0" w:leftChars="0" w:right="0" w:rightChars="0" w:firstLine="0" w:firstLineChars="0"/>
        <w:jc w:val="center"/>
        <w:textAlignment w:val="auto"/>
        <w:outlineLvl w:val="9"/>
        <w:rPr>
          <w:rFonts w:hint="eastAsia"/>
        </w:rPr>
      </w:pPr>
      <w:r>
        <w:rPr>
          <w:rFonts w:hint="eastAsia" w:ascii="方正小标宋_GBK" w:hAnsi="方正小标宋_GBK" w:eastAsia="方正小标宋_GBK" w:cs="方正小标宋_GBK"/>
          <w:color w:val="0C0C0C"/>
          <w:sz w:val="44"/>
          <w:szCs w:val="44"/>
        </w:rPr>
        <w:t>居委会（村）信息收集表</w:t>
      </w:r>
    </w:p>
    <w:tbl>
      <w:tblPr>
        <w:tblStyle w:val="6"/>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067"/>
        <w:gridCol w:w="1067"/>
        <w:gridCol w:w="1225"/>
        <w:gridCol w:w="1067"/>
        <w:gridCol w:w="1225"/>
        <w:gridCol w:w="2111"/>
        <w:gridCol w:w="2210"/>
        <w:gridCol w:w="2111"/>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67"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省</w:t>
            </w:r>
          </w:p>
        </w:tc>
        <w:tc>
          <w:tcPr>
            <w:tcW w:w="1067"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市</w:t>
            </w:r>
          </w:p>
        </w:tc>
        <w:tc>
          <w:tcPr>
            <w:tcW w:w="1067"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区县</w:t>
            </w:r>
          </w:p>
        </w:tc>
        <w:tc>
          <w:tcPr>
            <w:tcW w:w="1225"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区县代码</w:t>
            </w:r>
          </w:p>
        </w:tc>
        <w:tc>
          <w:tcPr>
            <w:tcW w:w="1067"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街道</w:t>
            </w:r>
          </w:p>
        </w:tc>
        <w:tc>
          <w:tcPr>
            <w:tcW w:w="1225"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街道代码</w:t>
            </w:r>
          </w:p>
        </w:tc>
        <w:tc>
          <w:tcPr>
            <w:tcW w:w="2111"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居委会（村委会）</w:t>
            </w:r>
          </w:p>
          <w:p>
            <w:pPr>
              <w:jc w:val="center"/>
              <w:rPr>
                <w:rFonts w:hint="eastAsia" w:ascii="黑体" w:eastAsia="黑体"/>
                <w:bCs/>
                <w:color w:val="0C0C0C"/>
                <w:sz w:val="21"/>
                <w:szCs w:val="22"/>
              </w:rPr>
            </w:pPr>
            <w:r>
              <w:rPr>
                <w:rFonts w:hint="eastAsia" w:ascii="黑体" w:eastAsia="黑体"/>
                <w:bCs/>
                <w:color w:val="0C0C0C"/>
                <w:sz w:val="21"/>
                <w:szCs w:val="22"/>
              </w:rPr>
              <w:t>名称</w:t>
            </w:r>
          </w:p>
        </w:tc>
        <w:tc>
          <w:tcPr>
            <w:tcW w:w="2210"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居委会（村委会）</w:t>
            </w:r>
          </w:p>
          <w:p>
            <w:pPr>
              <w:jc w:val="center"/>
              <w:rPr>
                <w:rFonts w:hint="eastAsia" w:ascii="黑体" w:eastAsia="黑体"/>
                <w:bCs/>
                <w:color w:val="0C0C0C"/>
                <w:sz w:val="21"/>
                <w:szCs w:val="22"/>
              </w:rPr>
            </w:pPr>
            <w:r>
              <w:rPr>
                <w:rFonts w:hint="eastAsia" w:ascii="黑体" w:eastAsia="黑体"/>
                <w:bCs/>
                <w:color w:val="0C0C0C"/>
                <w:sz w:val="21"/>
                <w:szCs w:val="22"/>
              </w:rPr>
              <w:t>户数</w:t>
            </w:r>
          </w:p>
        </w:tc>
        <w:tc>
          <w:tcPr>
            <w:tcW w:w="2111"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居委会(村委会)编码（同一街道内自1、2、3……顺序编码）</w:t>
            </w:r>
          </w:p>
        </w:tc>
        <w:tc>
          <w:tcPr>
            <w:tcW w:w="1068"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hint="eastAsia" w:ascii="Calibri" w:hAnsi="Calibri" w:eastAsia="宋体"/>
                <w:color w:val="0C0C0C"/>
                <w:sz w:val="21"/>
                <w:szCs w:val="22"/>
              </w:rPr>
            </w:pPr>
          </w:p>
        </w:tc>
        <w:tc>
          <w:tcPr>
            <w:tcW w:w="1067" w:type="dxa"/>
            <w:vAlign w:val="top"/>
          </w:tcPr>
          <w:p>
            <w:pPr>
              <w:rPr>
                <w:rFonts w:hint="eastAsia" w:ascii="Calibri" w:hAnsi="Calibri" w:eastAsia="宋体"/>
                <w:color w:val="0C0C0C"/>
                <w:sz w:val="21"/>
                <w:szCs w:val="22"/>
              </w:rPr>
            </w:pPr>
          </w:p>
        </w:tc>
        <w:tc>
          <w:tcPr>
            <w:tcW w:w="1067" w:type="dxa"/>
            <w:vAlign w:val="top"/>
          </w:tcPr>
          <w:p>
            <w:pPr>
              <w:rPr>
                <w:rFonts w:hint="eastAsia" w:ascii="Calibri" w:hAnsi="Calibri" w:eastAsia="宋体"/>
                <w:color w:val="0C0C0C"/>
                <w:sz w:val="21"/>
                <w:szCs w:val="22"/>
              </w:rPr>
            </w:pPr>
          </w:p>
        </w:tc>
        <w:tc>
          <w:tcPr>
            <w:tcW w:w="1225" w:type="dxa"/>
            <w:vAlign w:val="top"/>
          </w:tcPr>
          <w:p>
            <w:pPr>
              <w:rPr>
                <w:rFonts w:hint="eastAsia" w:ascii="Calibri" w:hAnsi="Calibri" w:eastAsia="宋体"/>
                <w:color w:val="0C0C0C"/>
                <w:sz w:val="21"/>
                <w:szCs w:val="22"/>
              </w:rPr>
            </w:pPr>
          </w:p>
        </w:tc>
        <w:tc>
          <w:tcPr>
            <w:tcW w:w="1067" w:type="dxa"/>
            <w:vAlign w:val="top"/>
          </w:tcPr>
          <w:p>
            <w:pPr>
              <w:rPr>
                <w:rFonts w:hint="eastAsia" w:ascii="Calibri" w:hAnsi="Calibri" w:eastAsia="宋体"/>
                <w:color w:val="0C0C0C"/>
                <w:sz w:val="21"/>
                <w:szCs w:val="22"/>
              </w:rPr>
            </w:pPr>
          </w:p>
        </w:tc>
        <w:tc>
          <w:tcPr>
            <w:tcW w:w="1225" w:type="dxa"/>
            <w:vAlign w:val="top"/>
          </w:tcPr>
          <w:p>
            <w:pPr>
              <w:rPr>
                <w:rFonts w:hint="eastAsia" w:ascii="Calibri" w:hAnsi="Calibri" w:eastAsia="宋体"/>
                <w:color w:val="0C0C0C"/>
                <w:sz w:val="21"/>
                <w:szCs w:val="22"/>
              </w:rPr>
            </w:pPr>
          </w:p>
        </w:tc>
        <w:tc>
          <w:tcPr>
            <w:tcW w:w="2111" w:type="dxa"/>
            <w:vAlign w:val="top"/>
          </w:tcPr>
          <w:p>
            <w:pPr>
              <w:rPr>
                <w:rFonts w:hint="eastAsia" w:ascii="Calibri" w:hAnsi="Calibri" w:eastAsia="宋体"/>
                <w:color w:val="0C0C0C"/>
                <w:sz w:val="21"/>
                <w:szCs w:val="22"/>
              </w:rPr>
            </w:pPr>
          </w:p>
        </w:tc>
        <w:tc>
          <w:tcPr>
            <w:tcW w:w="2210" w:type="dxa"/>
            <w:vAlign w:val="top"/>
          </w:tcPr>
          <w:p>
            <w:pPr>
              <w:rPr>
                <w:rFonts w:hint="eastAsia" w:ascii="Calibri" w:hAnsi="Calibri" w:eastAsia="宋体"/>
                <w:color w:val="0C0C0C"/>
                <w:sz w:val="21"/>
                <w:szCs w:val="22"/>
              </w:rPr>
            </w:pPr>
          </w:p>
        </w:tc>
        <w:tc>
          <w:tcPr>
            <w:tcW w:w="2111" w:type="dxa"/>
            <w:vAlign w:val="top"/>
          </w:tcPr>
          <w:p>
            <w:pPr>
              <w:rPr>
                <w:rFonts w:hint="eastAsia" w:ascii="Calibri" w:hAnsi="Calibri" w:eastAsia="宋体"/>
                <w:color w:val="0C0C0C"/>
                <w:sz w:val="21"/>
                <w:szCs w:val="22"/>
              </w:rPr>
            </w:pPr>
          </w:p>
        </w:tc>
        <w:tc>
          <w:tcPr>
            <w:tcW w:w="1068" w:type="dxa"/>
            <w:vAlign w:val="top"/>
          </w:tcPr>
          <w:p>
            <w:pPr>
              <w:rPr>
                <w:rFonts w:hint="eastAsia"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Align w:val="top"/>
          </w:tcPr>
          <w:p>
            <w:pPr>
              <w:rPr>
                <w:rFonts w:hint="eastAsia" w:ascii="Calibri" w:hAnsi="Calibri" w:eastAsia="宋体"/>
                <w:color w:val="0C0C0C"/>
                <w:sz w:val="21"/>
                <w:szCs w:val="22"/>
              </w:rPr>
            </w:pPr>
          </w:p>
        </w:tc>
        <w:tc>
          <w:tcPr>
            <w:tcW w:w="1067" w:type="dxa"/>
            <w:vAlign w:val="top"/>
          </w:tcPr>
          <w:p>
            <w:pPr>
              <w:rPr>
                <w:rFonts w:hint="eastAsia" w:ascii="Calibri" w:hAnsi="Calibri" w:eastAsia="宋体"/>
                <w:color w:val="0C0C0C"/>
                <w:sz w:val="21"/>
                <w:szCs w:val="22"/>
              </w:rPr>
            </w:pPr>
          </w:p>
        </w:tc>
        <w:tc>
          <w:tcPr>
            <w:tcW w:w="1067" w:type="dxa"/>
            <w:vAlign w:val="top"/>
          </w:tcPr>
          <w:p>
            <w:pPr>
              <w:rPr>
                <w:rFonts w:hint="eastAsia" w:ascii="Calibri" w:hAnsi="Calibri" w:eastAsia="宋体"/>
                <w:color w:val="0C0C0C"/>
                <w:sz w:val="21"/>
                <w:szCs w:val="22"/>
              </w:rPr>
            </w:pPr>
          </w:p>
        </w:tc>
        <w:tc>
          <w:tcPr>
            <w:tcW w:w="1225" w:type="dxa"/>
            <w:vAlign w:val="top"/>
          </w:tcPr>
          <w:p>
            <w:pPr>
              <w:rPr>
                <w:rFonts w:hint="eastAsia" w:ascii="Calibri" w:hAnsi="Calibri" w:eastAsia="宋体"/>
                <w:color w:val="0C0C0C"/>
                <w:sz w:val="21"/>
                <w:szCs w:val="22"/>
              </w:rPr>
            </w:pPr>
          </w:p>
        </w:tc>
        <w:tc>
          <w:tcPr>
            <w:tcW w:w="1067" w:type="dxa"/>
            <w:vAlign w:val="top"/>
          </w:tcPr>
          <w:p>
            <w:pPr>
              <w:rPr>
                <w:rFonts w:hint="eastAsia" w:ascii="Calibri" w:hAnsi="Calibri" w:eastAsia="宋体"/>
                <w:color w:val="0C0C0C"/>
                <w:sz w:val="21"/>
                <w:szCs w:val="22"/>
              </w:rPr>
            </w:pPr>
          </w:p>
        </w:tc>
        <w:tc>
          <w:tcPr>
            <w:tcW w:w="1225" w:type="dxa"/>
            <w:vAlign w:val="top"/>
          </w:tcPr>
          <w:p>
            <w:pPr>
              <w:rPr>
                <w:rFonts w:hint="eastAsia" w:ascii="Calibri" w:hAnsi="Calibri" w:eastAsia="宋体"/>
                <w:color w:val="0C0C0C"/>
                <w:sz w:val="21"/>
                <w:szCs w:val="22"/>
              </w:rPr>
            </w:pPr>
          </w:p>
        </w:tc>
        <w:tc>
          <w:tcPr>
            <w:tcW w:w="2111" w:type="dxa"/>
            <w:vAlign w:val="top"/>
          </w:tcPr>
          <w:p>
            <w:pPr>
              <w:rPr>
                <w:rFonts w:hint="eastAsia" w:ascii="Calibri" w:hAnsi="Calibri" w:eastAsia="宋体"/>
                <w:color w:val="0C0C0C"/>
                <w:sz w:val="21"/>
                <w:szCs w:val="22"/>
              </w:rPr>
            </w:pPr>
          </w:p>
        </w:tc>
        <w:tc>
          <w:tcPr>
            <w:tcW w:w="2210" w:type="dxa"/>
            <w:vAlign w:val="top"/>
          </w:tcPr>
          <w:p>
            <w:pPr>
              <w:rPr>
                <w:rFonts w:hint="eastAsia" w:ascii="Calibri" w:hAnsi="Calibri" w:eastAsia="宋体"/>
                <w:color w:val="0C0C0C"/>
                <w:sz w:val="21"/>
                <w:szCs w:val="22"/>
              </w:rPr>
            </w:pPr>
          </w:p>
        </w:tc>
        <w:tc>
          <w:tcPr>
            <w:tcW w:w="2111" w:type="dxa"/>
            <w:vAlign w:val="top"/>
          </w:tcPr>
          <w:p>
            <w:pPr>
              <w:rPr>
                <w:rFonts w:hint="eastAsia" w:ascii="Calibri" w:hAnsi="Calibri" w:eastAsia="宋体"/>
                <w:color w:val="0C0C0C"/>
                <w:sz w:val="21"/>
                <w:szCs w:val="22"/>
              </w:rPr>
            </w:pPr>
          </w:p>
        </w:tc>
        <w:tc>
          <w:tcPr>
            <w:tcW w:w="1068" w:type="dxa"/>
            <w:vAlign w:val="top"/>
          </w:tcPr>
          <w:p>
            <w:pPr>
              <w:rPr>
                <w:rFonts w:hint="eastAsia" w:ascii="Calibri" w:hAnsi="Calibri" w:eastAsia="宋体"/>
                <w:color w:val="0C0C0C"/>
                <w:sz w:val="21"/>
                <w:szCs w:val="22"/>
              </w:rPr>
            </w:pPr>
          </w:p>
        </w:tc>
      </w:tr>
    </w:tbl>
    <w:p>
      <w:pPr>
        <w:adjustRightInd w:val="0"/>
        <w:snapToGrid w:val="0"/>
        <w:spacing w:line="520" w:lineRule="exact"/>
        <w:rPr>
          <w:rFonts w:hint="eastAsia" w:ascii="仿宋_GB2312" w:cs="仿宋_GB2312"/>
          <w:color w:val="0C0C0C"/>
          <w:sz w:val="28"/>
          <w:szCs w:val="28"/>
        </w:rPr>
      </w:pPr>
      <w:r>
        <w:rPr>
          <w:rFonts w:hint="eastAsia" w:ascii="仿宋_GB2312" w:cs="仿宋_GB2312"/>
          <w:color w:val="0C0C0C"/>
          <w:sz w:val="28"/>
          <w:szCs w:val="28"/>
        </w:rPr>
        <w:t>备注：填写上报时必须使用电子表格excel形式</w:t>
      </w:r>
    </w:p>
    <w:p>
      <w:pPr>
        <w:adjustRightInd w:val="0"/>
        <w:snapToGrid w:val="0"/>
        <w:spacing w:line="500" w:lineRule="exact"/>
        <w:rPr>
          <w:rFonts w:hint="eastAsia" w:ascii="黑体" w:eastAsia="黑体" w:cs="仿宋_GB2312"/>
          <w:color w:val="0C0C0C"/>
          <w:sz w:val="30"/>
          <w:szCs w:val="30"/>
          <w:lang w:val="en-US" w:eastAsia="zh-CN"/>
        </w:rPr>
      </w:pPr>
      <w:r>
        <w:rPr>
          <w:rFonts w:hint="eastAsia" w:ascii="黑体" w:eastAsia="黑体" w:cs="仿宋_GB2312"/>
          <w:color w:val="0C0C0C"/>
          <w:sz w:val="30"/>
          <w:szCs w:val="30"/>
        </w:rPr>
        <w:t>附件</w:t>
      </w:r>
      <w:r>
        <w:rPr>
          <w:rFonts w:hint="eastAsia" w:ascii="黑体" w:eastAsia="黑体" w:cs="仿宋_GB2312"/>
          <w:color w:val="0C0C0C"/>
          <w:sz w:val="30"/>
          <w:szCs w:val="30"/>
          <w:lang w:val="en-US" w:eastAsia="zh-CN"/>
        </w:rPr>
        <w:t>5</w:t>
      </w:r>
    </w:p>
    <w:p>
      <w:pPr>
        <w:keepNext w:val="0"/>
        <w:keepLines w:val="0"/>
        <w:pageBreakBefore w:val="0"/>
        <w:widowControl w:val="0"/>
        <w:kinsoku/>
        <w:wordWrap/>
        <w:overflowPunct/>
        <w:topLinePunct w:val="0"/>
        <w:autoSpaceDE/>
        <w:autoSpaceDN/>
        <w:bidi w:val="0"/>
        <w:adjustRightInd w:val="0"/>
        <w:snapToGrid w:val="0"/>
        <w:spacing w:after="157" w:afterLines="50" w:line="640" w:lineRule="exact"/>
        <w:ind w:left="0" w:leftChars="0" w:right="0" w:rightChars="0" w:firstLine="0" w:firstLineChars="0"/>
        <w:jc w:val="center"/>
        <w:textAlignment w:val="auto"/>
        <w:outlineLvl w:val="9"/>
        <w:rPr>
          <w:rFonts w:hint="eastAsia"/>
        </w:rPr>
      </w:pPr>
      <w:r>
        <w:rPr>
          <w:rFonts w:hint="eastAsia" w:ascii="方正小标宋_GBK" w:hAnsi="方正小标宋_GBK" w:eastAsia="方正小标宋_GBK" w:cs="方正小标宋_GBK"/>
          <w:color w:val="0C0C0C"/>
          <w:sz w:val="44"/>
          <w:szCs w:val="44"/>
        </w:rPr>
        <w:t>居委会（村）分片情况记录表</w:t>
      </w:r>
    </w:p>
    <w:tbl>
      <w:tblPr>
        <w:tblStyle w:val="6"/>
        <w:tblW w:w="14562" w:type="dxa"/>
        <w:tblInd w:w="93" w:type="dxa"/>
        <w:tblLayout w:type="fixed"/>
        <w:tblCellMar>
          <w:top w:w="0" w:type="dxa"/>
          <w:left w:w="108" w:type="dxa"/>
          <w:bottom w:w="0" w:type="dxa"/>
          <w:right w:w="108" w:type="dxa"/>
        </w:tblCellMar>
      </w:tblPr>
      <w:tblGrid>
        <w:gridCol w:w="1080"/>
        <w:gridCol w:w="1080"/>
        <w:gridCol w:w="1080"/>
        <w:gridCol w:w="1080"/>
        <w:gridCol w:w="1080"/>
        <w:gridCol w:w="1080"/>
        <w:gridCol w:w="1473"/>
        <w:gridCol w:w="1418"/>
        <w:gridCol w:w="1417"/>
        <w:gridCol w:w="1418"/>
        <w:gridCol w:w="1276"/>
        <w:gridCol w:w="1080"/>
      </w:tblGrid>
      <w:tr>
        <w:tblPrEx>
          <w:tblCellMar>
            <w:top w:w="0" w:type="dxa"/>
            <w:left w:w="108" w:type="dxa"/>
            <w:bottom w:w="0" w:type="dxa"/>
            <w:right w:w="108" w:type="dxa"/>
          </w:tblCellMar>
        </w:tblPrEx>
        <w:trPr>
          <w:trHeight w:val="1080"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省</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市</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县（市、区）</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县（市、区）代码</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街道/乡镇名称</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街道/乡镇代码</w:t>
            </w:r>
          </w:p>
        </w:tc>
        <w:tc>
          <w:tcPr>
            <w:tcW w:w="1473"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居委会/村委会名称（含+）</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居委会/村委会代码</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居委会/村委会总家庭户数</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划分片区的家庭户数量</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片区代码</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备注</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bl>
    <w:p>
      <w:pPr>
        <w:adjustRightInd w:val="0"/>
        <w:snapToGrid w:val="0"/>
        <w:spacing w:line="520" w:lineRule="exact"/>
        <w:rPr>
          <w:rFonts w:hint="eastAsia" w:ascii="仿宋_GB2312" w:cs="仿宋_GB2312"/>
          <w:color w:val="0C0C0C"/>
          <w:szCs w:val="32"/>
        </w:rPr>
      </w:pPr>
      <w:r>
        <w:rPr>
          <w:rFonts w:hint="eastAsia" w:ascii="仿宋_GB2312" w:cs="仿宋_GB2312"/>
          <w:color w:val="0C0C0C"/>
          <w:sz w:val="28"/>
          <w:szCs w:val="28"/>
        </w:rPr>
        <w:t>备注：1.填写上报时必须使用电子表格excel形式</w:t>
      </w:r>
    </w:p>
    <w:p>
      <w:pPr>
        <w:adjustRightInd w:val="0"/>
        <w:snapToGrid w:val="0"/>
        <w:spacing w:line="520" w:lineRule="exact"/>
        <w:ind w:firstLine="840" w:firstLineChars="300"/>
        <w:rPr>
          <w:rFonts w:hint="eastAsia" w:ascii="仿宋_GB2312" w:cs="仿宋_GB2312"/>
          <w:color w:val="0C0C0C"/>
          <w:sz w:val="28"/>
          <w:szCs w:val="28"/>
        </w:rPr>
      </w:pPr>
      <w:r>
        <w:rPr>
          <w:rFonts w:hint="eastAsia" w:ascii="仿宋_GB2312" w:cs="仿宋_GB2312"/>
          <w:color w:val="0C0C0C"/>
          <w:sz w:val="28"/>
          <w:szCs w:val="28"/>
        </w:rPr>
        <w:t>2.片区代码与绘制的片区划分地图保持一致。</w:t>
      </w:r>
    </w:p>
    <w:p>
      <w:pPr>
        <w:adjustRightInd w:val="0"/>
        <w:snapToGrid w:val="0"/>
        <w:spacing w:line="520" w:lineRule="exact"/>
        <w:ind w:firstLine="840" w:firstLineChars="300"/>
        <w:rPr>
          <w:rFonts w:hint="eastAsia" w:ascii="仿宋_GB2312" w:cs="仿宋_GB2312"/>
          <w:color w:val="0C0C0C"/>
          <w:sz w:val="28"/>
          <w:szCs w:val="28"/>
        </w:rPr>
      </w:pPr>
      <w:r>
        <w:rPr>
          <w:rFonts w:hint="eastAsia" w:ascii="仿宋_GB2312" w:cs="仿宋_GB2312"/>
          <w:color w:val="0C0C0C"/>
          <w:sz w:val="28"/>
          <w:szCs w:val="28"/>
        </w:rPr>
        <w:t>3.该抽样表应与片区划分图一同上报。</w:t>
      </w:r>
    </w:p>
    <w:p>
      <w:pPr>
        <w:adjustRightInd w:val="0"/>
        <w:snapToGrid w:val="0"/>
        <w:spacing w:line="500" w:lineRule="exact"/>
        <w:jc w:val="left"/>
        <w:rPr>
          <w:rFonts w:hint="eastAsia" w:ascii="黑体" w:eastAsia="黑体" w:cs="仿宋_GB2312"/>
          <w:color w:val="0C0C0C"/>
          <w:szCs w:val="32"/>
          <w:lang w:val="en-US" w:eastAsia="zh-CN"/>
        </w:rPr>
      </w:pPr>
      <w:r>
        <w:rPr>
          <w:rFonts w:hint="eastAsia" w:ascii="黑体" w:eastAsia="黑体" w:cs="仿宋_GB2312"/>
          <w:color w:val="0C0C0C"/>
          <w:szCs w:val="32"/>
        </w:rPr>
        <w:br w:type="page"/>
      </w:r>
      <w:r>
        <w:rPr>
          <w:rFonts w:hint="eastAsia" w:ascii="黑体" w:hAnsi="黑体" w:eastAsia="黑体" w:cs="黑体"/>
          <w:color w:val="0C0C0C"/>
          <w:sz w:val="30"/>
          <w:szCs w:val="30"/>
        </w:rPr>
        <w:t>附件</w:t>
      </w:r>
      <w:r>
        <w:rPr>
          <w:rFonts w:hint="eastAsia" w:ascii="黑体" w:hAnsi="黑体" w:eastAsia="黑体" w:cs="黑体"/>
          <w:color w:val="0C0C0C"/>
          <w:sz w:val="30"/>
          <w:szCs w:val="30"/>
          <w:lang w:val="en-US" w:eastAsia="zh-CN"/>
        </w:rPr>
        <w:t>6</w:t>
      </w:r>
    </w:p>
    <w:p>
      <w:pPr>
        <w:keepNext w:val="0"/>
        <w:keepLines w:val="0"/>
        <w:pageBreakBefore w:val="0"/>
        <w:widowControl w:val="0"/>
        <w:kinsoku/>
        <w:wordWrap/>
        <w:overflowPunct/>
        <w:topLinePunct w:val="0"/>
        <w:autoSpaceDE/>
        <w:autoSpaceDN/>
        <w:bidi w:val="0"/>
        <w:adjustRightInd w:val="0"/>
        <w:snapToGrid w:val="0"/>
        <w:spacing w:after="157" w:afterLines="5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居委会（村）家庭户列表</w:t>
      </w:r>
    </w:p>
    <w:tbl>
      <w:tblPr>
        <w:tblStyle w:val="6"/>
        <w:tblW w:w="14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60"/>
        <w:gridCol w:w="760"/>
        <w:gridCol w:w="861"/>
        <w:gridCol w:w="760"/>
        <w:gridCol w:w="861"/>
        <w:gridCol w:w="1251"/>
        <w:gridCol w:w="1239"/>
        <w:gridCol w:w="1503"/>
        <w:gridCol w:w="1692"/>
        <w:gridCol w:w="1692"/>
        <w:gridCol w:w="760"/>
        <w:gridCol w:w="677"/>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59"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省</w:t>
            </w:r>
          </w:p>
        </w:tc>
        <w:tc>
          <w:tcPr>
            <w:tcW w:w="760"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市</w:t>
            </w:r>
          </w:p>
        </w:tc>
        <w:tc>
          <w:tcPr>
            <w:tcW w:w="760"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区县</w:t>
            </w:r>
          </w:p>
        </w:tc>
        <w:tc>
          <w:tcPr>
            <w:tcW w:w="861"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区县</w:t>
            </w:r>
          </w:p>
          <w:p>
            <w:pPr>
              <w:jc w:val="center"/>
              <w:rPr>
                <w:rFonts w:hint="eastAsia" w:ascii="黑体" w:eastAsia="黑体"/>
                <w:bCs/>
                <w:color w:val="0C0C0C"/>
                <w:sz w:val="21"/>
                <w:szCs w:val="22"/>
              </w:rPr>
            </w:pPr>
            <w:r>
              <w:rPr>
                <w:rFonts w:hint="eastAsia" w:ascii="黑体" w:eastAsia="黑体"/>
                <w:bCs/>
                <w:color w:val="0C0C0C"/>
                <w:sz w:val="21"/>
                <w:szCs w:val="22"/>
              </w:rPr>
              <w:t>代码</w:t>
            </w:r>
          </w:p>
        </w:tc>
        <w:tc>
          <w:tcPr>
            <w:tcW w:w="760"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街道</w:t>
            </w:r>
          </w:p>
        </w:tc>
        <w:tc>
          <w:tcPr>
            <w:tcW w:w="861"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街道</w:t>
            </w:r>
          </w:p>
          <w:p>
            <w:pPr>
              <w:jc w:val="center"/>
              <w:rPr>
                <w:rFonts w:hint="eastAsia" w:ascii="黑体" w:eastAsia="黑体"/>
                <w:bCs/>
                <w:color w:val="0C0C0C"/>
                <w:sz w:val="21"/>
                <w:szCs w:val="22"/>
              </w:rPr>
            </w:pPr>
            <w:r>
              <w:rPr>
                <w:rFonts w:hint="eastAsia" w:ascii="黑体" w:eastAsia="黑体"/>
                <w:bCs/>
                <w:color w:val="0C0C0C"/>
                <w:sz w:val="21"/>
                <w:szCs w:val="22"/>
              </w:rPr>
              <w:t>代码</w:t>
            </w:r>
          </w:p>
        </w:tc>
        <w:tc>
          <w:tcPr>
            <w:tcW w:w="1251"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居委会/村委会名称</w:t>
            </w:r>
          </w:p>
        </w:tc>
        <w:tc>
          <w:tcPr>
            <w:tcW w:w="1239"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居委会/村委会代码</w:t>
            </w:r>
          </w:p>
        </w:tc>
        <w:tc>
          <w:tcPr>
            <w:tcW w:w="1503"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家庭户编码（同一居委会内自1、2、3……顺序编码，与地图保持一致）</w:t>
            </w:r>
          </w:p>
        </w:tc>
        <w:tc>
          <w:tcPr>
            <w:tcW w:w="1692"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家庭地址</w:t>
            </w:r>
          </w:p>
        </w:tc>
        <w:tc>
          <w:tcPr>
            <w:tcW w:w="1692"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户主姓名</w:t>
            </w:r>
          </w:p>
        </w:tc>
        <w:tc>
          <w:tcPr>
            <w:tcW w:w="760"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备注</w:t>
            </w:r>
          </w:p>
        </w:tc>
        <w:tc>
          <w:tcPr>
            <w:tcW w:w="677"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监测点年份</w:t>
            </w:r>
          </w:p>
        </w:tc>
        <w:tc>
          <w:tcPr>
            <w:tcW w:w="841"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国家监测点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vAlign w:val="top"/>
          </w:tcPr>
          <w:p>
            <w:pPr>
              <w:rPr>
                <w:rFonts w:hint="eastAsia" w:ascii="Calibri" w:hAnsi="Calibri" w:eastAsia="宋体"/>
                <w:color w:val="0C0C0C"/>
                <w:sz w:val="21"/>
                <w:szCs w:val="22"/>
              </w:rPr>
            </w:pPr>
          </w:p>
        </w:tc>
        <w:tc>
          <w:tcPr>
            <w:tcW w:w="760" w:type="dxa"/>
            <w:vAlign w:val="top"/>
          </w:tcPr>
          <w:p>
            <w:pPr>
              <w:rPr>
                <w:rFonts w:hint="eastAsia" w:ascii="Calibri" w:hAnsi="Calibri" w:eastAsia="宋体"/>
                <w:color w:val="0C0C0C"/>
                <w:sz w:val="21"/>
                <w:szCs w:val="22"/>
              </w:rPr>
            </w:pPr>
          </w:p>
        </w:tc>
        <w:tc>
          <w:tcPr>
            <w:tcW w:w="760" w:type="dxa"/>
            <w:vAlign w:val="top"/>
          </w:tcPr>
          <w:p>
            <w:pPr>
              <w:rPr>
                <w:rFonts w:hint="eastAsia" w:ascii="Calibri" w:hAnsi="Calibri" w:eastAsia="宋体"/>
                <w:color w:val="0C0C0C"/>
                <w:sz w:val="21"/>
                <w:szCs w:val="22"/>
              </w:rPr>
            </w:pPr>
          </w:p>
        </w:tc>
        <w:tc>
          <w:tcPr>
            <w:tcW w:w="861" w:type="dxa"/>
            <w:vAlign w:val="top"/>
          </w:tcPr>
          <w:p>
            <w:pPr>
              <w:rPr>
                <w:rFonts w:hint="eastAsia" w:ascii="Calibri" w:hAnsi="Calibri" w:eastAsia="宋体"/>
                <w:color w:val="0C0C0C"/>
                <w:sz w:val="21"/>
                <w:szCs w:val="22"/>
              </w:rPr>
            </w:pPr>
          </w:p>
        </w:tc>
        <w:tc>
          <w:tcPr>
            <w:tcW w:w="760" w:type="dxa"/>
            <w:vAlign w:val="top"/>
          </w:tcPr>
          <w:p>
            <w:pPr>
              <w:rPr>
                <w:rFonts w:hint="eastAsia" w:ascii="Calibri" w:hAnsi="Calibri" w:eastAsia="宋体"/>
                <w:color w:val="0C0C0C"/>
                <w:sz w:val="21"/>
                <w:szCs w:val="22"/>
              </w:rPr>
            </w:pPr>
          </w:p>
        </w:tc>
        <w:tc>
          <w:tcPr>
            <w:tcW w:w="861" w:type="dxa"/>
            <w:vAlign w:val="top"/>
          </w:tcPr>
          <w:p>
            <w:pPr>
              <w:rPr>
                <w:rFonts w:hint="eastAsia" w:ascii="Calibri" w:hAnsi="Calibri" w:eastAsia="宋体"/>
                <w:color w:val="0C0C0C"/>
                <w:sz w:val="21"/>
                <w:szCs w:val="22"/>
              </w:rPr>
            </w:pPr>
          </w:p>
        </w:tc>
        <w:tc>
          <w:tcPr>
            <w:tcW w:w="1251" w:type="dxa"/>
            <w:vAlign w:val="top"/>
          </w:tcPr>
          <w:p>
            <w:pPr>
              <w:rPr>
                <w:rFonts w:hint="eastAsia" w:ascii="Calibri" w:hAnsi="Calibri" w:eastAsia="宋体"/>
                <w:color w:val="0C0C0C"/>
                <w:sz w:val="21"/>
                <w:szCs w:val="22"/>
              </w:rPr>
            </w:pPr>
          </w:p>
        </w:tc>
        <w:tc>
          <w:tcPr>
            <w:tcW w:w="1239" w:type="dxa"/>
            <w:vAlign w:val="top"/>
          </w:tcPr>
          <w:p>
            <w:pPr>
              <w:rPr>
                <w:rFonts w:hint="eastAsia" w:ascii="Calibri" w:hAnsi="Calibri" w:eastAsia="宋体"/>
                <w:color w:val="0C0C0C"/>
                <w:sz w:val="21"/>
                <w:szCs w:val="22"/>
              </w:rPr>
            </w:pPr>
          </w:p>
        </w:tc>
        <w:tc>
          <w:tcPr>
            <w:tcW w:w="1503" w:type="dxa"/>
            <w:vAlign w:val="top"/>
          </w:tcPr>
          <w:p>
            <w:pPr>
              <w:rPr>
                <w:rFonts w:hint="eastAsia" w:ascii="Calibri" w:hAnsi="Calibri" w:eastAsia="宋体"/>
                <w:color w:val="0C0C0C"/>
                <w:sz w:val="21"/>
                <w:szCs w:val="22"/>
              </w:rPr>
            </w:pPr>
          </w:p>
        </w:tc>
        <w:tc>
          <w:tcPr>
            <w:tcW w:w="1692" w:type="dxa"/>
            <w:vAlign w:val="top"/>
          </w:tcPr>
          <w:p>
            <w:pPr>
              <w:rPr>
                <w:rFonts w:hint="eastAsia" w:ascii="Calibri" w:hAnsi="Calibri" w:eastAsia="宋体"/>
                <w:color w:val="0C0C0C"/>
                <w:sz w:val="21"/>
                <w:szCs w:val="22"/>
              </w:rPr>
            </w:pPr>
          </w:p>
        </w:tc>
        <w:tc>
          <w:tcPr>
            <w:tcW w:w="1692" w:type="dxa"/>
            <w:vAlign w:val="top"/>
          </w:tcPr>
          <w:p>
            <w:pPr>
              <w:rPr>
                <w:rFonts w:hint="eastAsia" w:ascii="Calibri" w:hAnsi="Calibri" w:eastAsia="宋体"/>
                <w:color w:val="0C0C0C"/>
                <w:sz w:val="21"/>
                <w:szCs w:val="22"/>
              </w:rPr>
            </w:pPr>
          </w:p>
        </w:tc>
        <w:tc>
          <w:tcPr>
            <w:tcW w:w="760" w:type="dxa"/>
            <w:vAlign w:val="top"/>
          </w:tcPr>
          <w:p>
            <w:pPr>
              <w:rPr>
                <w:rFonts w:hint="eastAsia" w:ascii="Calibri" w:hAnsi="Calibri" w:eastAsia="宋体"/>
                <w:color w:val="0C0C0C"/>
                <w:sz w:val="21"/>
                <w:szCs w:val="22"/>
              </w:rPr>
            </w:pPr>
          </w:p>
        </w:tc>
        <w:tc>
          <w:tcPr>
            <w:tcW w:w="677" w:type="dxa"/>
            <w:vAlign w:val="top"/>
          </w:tcPr>
          <w:p>
            <w:pPr>
              <w:rPr>
                <w:rFonts w:hint="eastAsia" w:ascii="Calibri" w:hAnsi="Calibri" w:eastAsia="宋体"/>
                <w:color w:val="0C0C0C"/>
                <w:sz w:val="21"/>
                <w:szCs w:val="22"/>
              </w:rPr>
            </w:pPr>
          </w:p>
        </w:tc>
        <w:tc>
          <w:tcPr>
            <w:tcW w:w="841" w:type="dxa"/>
            <w:vAlign w:val="top"/>
          </w:tcPr>
          <w:p>
            <w:pPr>
              <w:rPr>
                <w:rFonts w:ascii="Calibri" w:hAnsi="Calibri" w:eastAsia="宋体"/>
                <w:color w:val="0C0C0C"/>
                <w:sz w:val="21"/>
                <w:szCs w:val="22"/>
              </w:rPr>
            </w:pPr>
          </w:p>
        </w:tc>
      </w:tr>
    </w:tbl>
    <w:p>
      <w:pPr>
        <w:adjustRightInd w:val="0"/>
        <w:snapToGrid w:val="0"/>
        <w:spacing w:line="520" w:lineRule="exact"/>
        <w:rPr>
          <w:rFonts w:hint="eastAsia" w:ascii="仿宋_GB2312" w:cs="仿宋_GB2312"/>
          <w:color w:val="0C0C0C"/>
          <w:sz w:val="28"/>
          <w:szCs w:val="28"/>
        </w:rPr>
      </w:pPr>
      <w:r>
        <w:rPr>
          <w:rFonts w:hint="eastAsia" w:ascii="仿宋_GB2312" w:cs="仿宋_GB2312"/>
          <w:color w:val="0C0C0C"/>
          <w:sz w:val="28"/>
          <w:szCs w:val="28"/>
        </w:rPr>
        <w:t>备注：1.填写上报时必须使用电子表格excel形式</w:t>
      </w:r>
    </w:p>
    <w:p>
      <w:pPr>
        <w:adjustRightInd w:val="0"/>
        <w:snapToGrid w:val="0"/>
        <w:spacing w:line="520" w:lineRule="exact"/>
        <w:ind w:firstLine="840" w:firstLineChars="300"/>
        <w:rPr>
          <w:rFonts w:hint="eastAsia" w:ascii="仿宋_GB2312" w:cs="仿宋_GB2312"/>
          <w:color w:val="0C0C0C"/>
          <w:sz w:val="28"/>
          <w:szCs w:val="28"/>
        </w:rPr>
        <w:sectPr>
          <w:pgSz w:w="16840" w:h="11907" w:orient="landscape"/>
          <w:pgMar w:top="1701" w:right="1418" w:bottom="1418" w:left="1418" w:header="851" w:footer="992" w:gutter="0"/>
          <w:pgNumType w:fmt="numberInDash"/>
          <w:cols w:space="720" w:num="1"/>
          <w:docGrid w:type="linesAndChars" w:linePitch="312" w:charSpace="0"/>
        </w:sectPr>
      </w:pPr>
      <w:r>
        <w:rPr>
          <w:rFonts w:hint="eastAsia" w:ascii="仿宋_GB2312" w:cs="仿宋_GB2312"/>
          <w:color w:val="0C0C0C"/>
          <w:sz w:val="28"/>
          <w:szCs w:val="28"/>
        </w:rPr>
        <w:t>2.国家监测点列填写方式，如为国家监测点填“是”，非国家监测点填“否”</w:t>
      </w:r>
    </w:p>
    <w:p>
      <w:pPr>
        <w:adjustRightInd w:val="0"/>
        <w:snapToGrid w:val="0"/>
        <w:spacing w:line="500" w:lineRule="exact"/>
        <w:rPr>
          <w:rFonts w:hint="eastAsia" w:ascii="黑体" w:eastAsia="黑体" w:cs="仿宋_GB2312"/>
          <w:color w:val="0C0C0C"/>
          <w:sz w:val="30"/>
          <w:szCs w:val="30"/>
          <w:lang w:val="en-US" w:eastAsia="zh-CN"/>
        </w:rPr>
      </w:pPr>
      <w:r>
        <w:rPr>
          <w:rFonts w:hint="eastAsia" w:ascii="黑体" w:eastAsia="黑体" w:cs="仿宋_GB2312"/>
          <w:color w:val="0C0C0C"/>
          <w:sz w:val="30"/>
          <w:szCs w:val="30"/>
        </w:rPr>
        <w:t>附件</w:t>
      </w:r>
      <w:r>
        <w:rPr>
          <w:rFonts w:hint="eastAsia" w:ascii="黑体" w:eastAsia="黑体" w:cs="仿宋_GB2312"/>
          <w:color w:val="0C0C0C"/>
          <w:sz w:val="30"/>
          <w:szCs w:val="30"/>
          <w:lang w:val="en-US" w:eastAsia="zh-CN"/>
        </w:rPr>
        <w:t>7</w:t>
      </w:r>
    </w:p>
    <w:p>
      <w:pPr>
        <w:keepNext w:val="0"/>
        <w:keepLines w:val="0"/>
        <w:pageBreakBefore w:val="0"/>
        <w:widowControl w:val="0"/>
        <w:kinsoku/>
        <w:wordWrap/>
        <w:overflowPunct/>
        <w:topLinePunct w:val="0"/>
        <w:autoSpaceDE/>
        <w:autoSpaceDN/>
        <w:bidi w:val="0"/>
        <w:adjustRightInd w:val="0"/>
        <w:snapToGrid w:val="0"/>
        <w:spacing w:after="157" w:afterLines="5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家庭成员登记表</w:t>
      </w:r>
    </w:p>
    <w:tbl>
      <w:tblPr>
        <w:tblStyle w:val="6"/>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0"/>
        <w:gridCol w:w="2251"/>
        <w:gridCol w:w="2251"/>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0" w:type="dxa"/>
            <w:vAlign w:val="center"/>
          </w:tcPr>
          <w:p>
            <w:pPr>
              <w:adjustRightInd w:val="0"/>
              <w:snapToGrid w:val="0"/>
              <w:spacing w:line="400" w:lineRule="exact"/>
              <w:jc w:val="center"/>
              <w:rPr>
                <w:rFonts w:hint="eastAsia" w:ascii="黑体" w:eastAsia="黑体" w:cs="仿宋_GB2312"/>
                <w:color w:val="0C0C0C"/>
                <w:sz w:val="28"/>
                <w:szCs w:val="28"/>
              </w:rPr>
            </w:pPr>
            <w:r>
              <w:rPr>
                <w:rFonts w:hint="eastAsia" w:ascii="黑体" w:eastAsia="黑体" w:cs="仿宋_GB2312"/>
                <w:color w:val="0C0C0C"/>
                <w:sz w:val="28"/>
                <w:szCs w:val="28"/>
              </w:rPr>
              <w:t>姓  名</w:t>
            </w:r>
          </w:p>
        </w:tc>
        <w:tc>
          <w:tcPr>
            <w:tcW w:w="2251" w:type="dxa"/>
            <w:vAlign w:val="center"/>
          </w:tcPr>
          <w:p>
            <w:pPr>
              <w:adjustRightInd w:val="0"/>
              <w:snapToGrid w:val="0"/>
              <w:spacing w:line="400" w:lineRule="exact"/>
              <w:jc w:val="center"/>
              <w:rPr>
                <w:rFonts w:hint="eastAsia" w:ascii="黑体" w:eastAsia="黑体" w:cs="仿宋_GB2312"/>
                <w:color w:val="0C0C0C"/>
                <w:sz w:val="28"/>
                <w:szCs w:val="28"/>
              </w:rPr>
            </w:pPr>
            <w:r>
              <w:rPr>
                <w:rFonts w:hint="eastAsia" w:ascii="黑体" w:eastAsia="黑体" w:cs="仿宋_GB2312"/>
                <w:color w:val="0C0C0C"/>
                <w:sz w:val="28"/>
                <w:szCs w:val="28"/>
              </w:rPr>
              <w:t>性别</w:t>
            </w:r>
          </w:p>
          <w:p>
            <w:pPr>
              <w:adjustRightInd w:val="0"/>
              <w:snapToGrid w:val="0"/>
              <w:spacing w:line="400" w:lineRule="exact"/>
              <w:jc w:val="center"/>
              <w:rPr>
                <w:rFonts w:hint="eastAsia" w:ascii="黑体" w:eastAsia="黑体" w:cs="仿宋_GB2312"/>
                <w:color w:val="0C0C0C"/>
                <w:sz w:val="28"/>
                <w:szCs w:val="28"/>
              </w:rPr>
            </w:pPr>
            <w:r>
              <w:rPr>
                <w:rFonts w:hint="eastAsia" w:ascii="黑体" w:eastAsia="黑体" w:cs="仿宋_GB2312"/>
                <w:color w:val="0C0C0C"/>
                <w:sz w:val="28"/>
                <w:szCs w:val="28"/>
              </w:rPr>
              <w:t>1=男  2=女</w:t>
            </w:r>
          </w:p>
        </w:tc>
        <w:tc>
          <w:tcPr>
            <w:tcW w:w="2251" w:type="dxa"/>
            <w:vAlign w:val="center"/>
          </w:tcPr>
          <w:p>
            <w:pPr>
              <w:adjustRightInd w:val="0"/>
              <w:snapToGrid w:val="0"/>
              <w:spacing w:line="400" w:lineRule="exact"/>
              <w:jc w:val="center"/>
              <w:rPr>
                <w:rFonts w:hint="eastAsia" w:ascii="黑体" w:eastAsia="黑体" w:cs="仿宋_GB2312"/>
                <w:color w:val="0C0C0C"/>
                <w:sz w:val="28"/>
                <w:szCs w:val="28"/>
              </w:rPr>
            </w:pPr>
            <w:r>
              <w:rPr>
                <w:rFonts w:hint="eastAsia" w:ascii="黑体" w:eastAsia="黑体" w:cs="仿宋_GB2312"/>
                <w:color w:val="0C0C0C"/>
                <w:sz w:val="28"/>
                <w:szCs w:val="28"/>
              </w:rPr>
              <w:t>年龄（岁）</w:t>
            </w:r>
          </w:p>
        </w:tc>
        <w:tc>
          <w:tcPr>
            <w:tcW w:w="2251" w:type="dxa"/>
            <w:vAlign w:val="center"/>
          </w:tcPr>
          <w:p>
            <w:pPr>
              <w:adjustRightInd w:val="0"/>
              <w:snapToGrid w:val="0"/>
              <w:spacing w:line="400" w:lineRule="exact"/>
              <w:jc w:val="center"/>
              <w:rPr>
                <w:rFonts w:hint="eastAsia" w:ascii="黑体" w:eastAsia="黑体" w:cs="仿宋_GB2312"/>
                <w:color w:val="0C0C0C"/>
                <w:sz w:val="28"/>
                <w:szCs w:val="28"/>
              </w:rPr>
            </w:pPr>
            <w:r>
              <w:rPr>
                <w:rFonts w:hint="eastAsia" w:ascii="黑体" w:eastAsia="黑体" w:cs="仿宋_GB2312"/>
                <w:color w:val="0C0C0C"/>
                <w:sz w:val="28"/>
                <w:szCs w:val="28"/>
              </w:rPr>
              <w:t>家庭成员编号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bl>
    <w:p>
      <w:pPr>
        <w:adjustRightInd w:val="0"/>
        <w:snapToGrid w:val="0"/>
        <w:spacing w:line="520" w:lineRule="exact"/>
        <w:jc w:val="left"/>
        <w:rPr>
          <w:rFonts w:hint="eastAsia" w:ascii="仿宋_GB2312" w:hAnsi="仿宋_GB2312" w:eastAsia="仿宋_GB2312" w:cs="仿宋_GB2312"/>
          <w:color w:val="0C0C0C"/>
          <w:sz w:val="28"/>
          <w:szCs w:val="28"/>
        </w:rPr>
      </w:pPr>
      <w:r>
        <w:rPr>
          <w:rFonts w:hint="eastAsia" w:ascii="仿宋_GB2312" w:cs="仿宋_GB2312"/>
          <w:b/>
          <w:color w:val="0C0C0C"/>
          <w:sz w:val="28"/>
          <w:szCs w:val="28"/>
        </w:rPr>
        <w:t>需登记的家庭成员条件：</w:t>
      </w:r>
      <w:r>
        <w:rPr>
          <w:rFonts w:hint="eastAsia" w:ascii="仿宋_GB2312" w:hAnsi="仿宋_GB2312" w:eastAsia="仿宋_GB2312" w:cs="仿宋_GB2312"/>
          <w:color w:val="0C0C0C"/>
          <w:sz w:val="28"/>
          <w:szCs w:val="28"/>
        </w:rPr>
        <w:t>1.年龄在15-69岁，且过去12个月内在当地居住时间累计超过6个月的成员，不考虑是否具有当地户籍，包括家庭雇佣的保姆、长期借住的亲戚等；2.如家庭成员长期不在家居住，在外工作、读书等不用登记。</w:t>
      </w:r>
    </w:p>
    <w:p>
      <w:pPr>
        <w:adjustRightInd w:val="0"/>
        <w:snapToGrid w:val="0"/>
        <w:spacing w:line="520" w:lineRule="exact"/>
        <w:jc w:val="left"/>
        <w:rPr>
          <w:rFonts w:hint="eastAsia" w:ascii="仿宋_GB2312" w:hAnsi="仿宋_GB2312" w:eastAsia="仿宋_GB2312" w:cs="仿宋_GB2312"/>
          <w:color w:val="0C0C0C"/>
          <w:sz w:val="28"/>
          <w:szCs w:val="28"/>
        </w:rPr>
      </w:pPr>
      <w:r>
        <w:rPr>
          <w:rFonts w:hint="eastAsia" w:ascii="仿宋_GB2312" w:cs="仿宋_GB2312"/>
          <w:b/>
          <w:color w:val="0C0C0C"/>
          <w:sz w:val="28"/>
          <w:szCs w:val="28"/>
        </w:rPr>
        <w:t>登记顺序：</w:t>
      </w:r>
      <w:r>
        <w:rPr>
          <w:rFonts w:hint="eastAsia" w:ascii="仿宋_GB2312" w:hAnsi="仿宋_GB2312" w:eastAsia="仿宋_GB2312" w:cs="仿宋_GB2312"/>
          <w:color w:val="0C0C0C"/>
          <w:sz w:val="28"/>
          <w:szCs w:val="28"/>
        </w:rPr>
        <w:t>先男性，后女性，年龄按从大到小的顺序。</w:t>
      </w:r>
    </w:p>
    <w:p>
      <w:pPr>
        <w:adjustRightInd w:val="0"/>
        <w:snapToGrid w:val="0"/>
        <w:spacing w:line="520" w:lineRule="exact"/>
        <w:jc w:val="left"/>
        <w:rPr>
          <w:rFonts w:hint="eastAsia" w:ascii="仿宋_GB2312" w:cs="仿宋_GB2312"/>
          <w:color w:val="0C0C0C"/>
          <w:sz w:val="28"/>
          <w:szCs w:val="28"/>
        </w:rPr>
        <w:sectPr>
          <w:pgSz w:w="11907" w:h="16840"/>
          <w:pgMar w:top="1701" w:right="1418" w:bottom="1418" w:left="1701" w:header="851" w:footer="992" w:gutter="0"/>
          <w:pgNumType w:fmt="numberInDash"/>
          <w:cols w:space="720" w:num="1"/>
          <w:docGrid w:type="lines" w:linePitch="312" w:charSpace="0"/>
        </w:sectPr>
      </w:pPr>
    </w:p>
    <w:p>
      <w:pPr>
        <w:adjustRightInd w:val="0"/>
        <w:snapToGrid w:val="0"/>
        <w:spacing w:line="500" w:lineRule="exact"/>
        <w:rPr>
          <w:rFonts w:hint="eastAsia" w:ascii="黑体" w:eastAsia="黑体" w:cs="仿宋_GB2312"/>
          <w:color w:val="0C0C0C"/>
          <w:sz w:val="30"/>
          <w:szCs w:val="30"/>
          <w:lang w:val="en-US" w:eastAsia="zh-CN"/>
        </w:rPr>
      </w:pPr>
      <w:r>
        <w:rPr>
          <w:rFonts w:hint="eastAsia" w:ascii="黑体" w:eastAsia="黑体" w:cs="仿宋_GB2312"/>
          <w:color w:val="0C0C0C"/>
          <w:sz w:val="30"/>
          <w:szCs w:val="30"/>
        </w:rPr>
        <w:t>附件</w:t>
      </w:r>
      <w:r>
        <w:rPr>
          <w:rFonts w:hint="eastAsia" w:ascii="黑体" w:eastAsia="黑体" w:cs="仿宋_GB2312"/>
          <w:color w:val="0C0C0C"/>
          <w:sz w:val="30"/>
          <w:szCs w:val="30"/>
          <w:lang w:val="en-US" w:eastAsia="zh-CN"/>
        </w:rPr>
        <w:t>8</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居民健康素养调查完成情况登记表</w:t>
      </w:r>
    </w:p>
    <w:p>
      <w:pPr>
        <w:spacing w:line="480" w:lineRule="exact"/>
        <w:rPr>
          <w:rFonts w:hint="eastAsia" w:ascii="仿宋_GB2312"/>
          <w:color w:val="0C0C0C"/>
          <w:sz w:val="24"/>
        </w:rPr>
      </w:pPr>
      <w:r>
        <w:rPr>
          <w:rFonts w:hint="eastAsia" w:ascii="仿宋_GB2312"/>
          <w:color w:val="0C0C0C"/>
          <w:sz w:val="24"/>
        </w:rPr>
        <w:t>调查点：                                  街道（乡镇）：                                居委会（村）：</w:t>
      </w:r>
    </w:p>
    <w:tbl>
      <w:tblPr>
        <w:tblStyle w:val="6"/>
        <w:tblW w:w="14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77"/>
        <w:gridCol w:w="788"/>
        <w:gridCol w:w="691"/>
        <w:gridCol w:w="780"/>
        <w:gridCol w:w="631"/>
        <w:gridCol w:w="666"/>
        <w:gridCol w:w="706"/>
        <w:gridCol w:w="656"/>
        <w:gridCol w:w="882"/>
        <w:gridCol w:w="819"/>
        <w:gridCol w:w="655"/>
        <w:gridCol w:w="655"/>
        <w:gridCol w:w="655"/>
        <w:gridCol w:w="655"/>
        <w:gridCol w:w="820"/>
        <w:gridCol w:w="819"/>
        <w:gridCol w:w="983"/>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02"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家庭户代码</w:t>
            </w:r>
          </w:p>
        </w:tc>
        <w:tc>
          <w:tcPr>
            <w:tcW w:w="977"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家庭户地址或户主姓名</w:t>
            </w:r>
          </w:p>
        </w:tc>
        <w:tc>
          <w:tcPr>
            <w:tcW w:w="788"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KISH表代码</w:t>
            </w:r>
          </w:p>
        </w:tc>
        <w:tc>
          <w:tcPr>
            <w:tcW w:w="4130" w:type="dxa"/>
            <w:gridSpan w:val="6"/>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家庭户完成情况</w:t>
            </w:r>
          </w:p>
        </w:tc>
        <w:tc>
          <w:tcPr>
            <w:tcW w:w="882"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调查对象姓名</w:t>
            </w:r>
          </w:p>
        </w:tc>
        <w:tc>
          <w:tcPr>
            <w:tcW w:w="4259" w:type="dxa"/>
            <w:gridSpan w:val="6"/>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个人完成情况</w:t>
            </w:r>
          </w:p>
        </w:tc>
        <w:tc>
          <w:tcPr>
            <w:tcW w:w="819"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最终完成情况代码</w:t>
            </w:r>
          </w:p>
        </w:tc>
        <w:tc>
          <w:tcPr>
            <w:tcW w:w="983"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问卷</w:t>
            </w:r>
          </w:p>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编码</w:t>
            </w:r>
          </w:p>
        </w:tc>
        <w:tc>
          <w:tcPr>
            <w:tcW w:w="811"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联系</w:t>
            </w:r>
          </w:p>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02" w:type="dxa"/>
            <w:vMerge w:val="continue"/>
            <w:vAlign w:val="center"/>
          </w:tcPr>
          <w:p/>
        </w:tc>
        <w:tc>
          <w:tcPr>
            <w:tcW w:w="977" w:type="dxa"/>
            <w:vMerge w:val="continue"/>
            <w:vAlign w:val="center"/>
          </w:tcPr>
          <w:p/>
        </w:tc>
        <w:tc>
          <w:tcPr>
            <w:tcW w:w="788" w:type="dxa"/>
            <w:vMerge w:val="continue"/>
            <w:vAlign w:val="center"/>
          </w:tcPr>
          <w:p/>
        </w:tc>
        <w:tc>
          <w:tcPr>
            <w:tcW w:w="1471" w:type="dxa"/>
            <w:gridSpan w:val="2"/>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第1次</w:t>
            </w:r>
          </w:p>
        </w:tc>
        <w:tc>
          <w:tcPr>
            <w:tcW w:w="1297" w:type="dxa"/>
            <w:gridSpan w:val="2"/>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第2次</w:t>
            </w:r>
          </w:p>
        </w:tc>
        <w:tc>
          <w:tcPr>
            <w:tcW w:w="1362" w:type="dxa"/>
            <w:gridSpan w:val="2"/>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第3次</w:t>
            </w:r>
          </w:p>
        </w:tc>
        <w:tc>
          <w:tcPr>
            <w:tcW w:w="882" w:type="dxa"/>
            <w:vMerge w:val="continue"/>
            <w:vAlign w:val="center"/>
          </w:tcPr>
          <w:p/>
        </w:tc>
        <w:tc>
          <w:tcPr>
            <w:tcW w:w="1474" w:type="dxa"/>
            <w:gridSpan w:val="2"/>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第1次</w:t>
            </w:r>
          </w:p>
        </w:tc>
        <w:tc>
          <w:tcPr>
            <w:tcW w:w="1310" w:type="dxa"/>
            <w:gridSpan w:val="2"/>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第2次</w:t>
            </w:r>
          </w:p>
        </w:tc>
        <w:tc>
          <w:tcPr>
            <w:tcW w:w="1475" w:type="dxa"/>
            <w:gridSpan w:val="2"/>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第3次</w:t>
            </w:r>
          </w:p>
        </w:tc>
        <w:tc>
          <w:tcPr>
            <w:tcW w:w="819" w:type="dxa"/>
            <w:vMerge w:val="continue"/>
            <w:vAlign w:val="center"/>
          </w:tcPr>
          <w:p/>
        </w:tc>
        <w:tc>
          <w:tcPr>
            <w:tcW w:w="983" w:type="dxa"/>
            <w:vMerge w:val="continue"/>
            <w:vAlign w:val="center"/>
          </w:tcPr>
          <w:p/>
        </w:tc>
        <w:tc>
          <w:tcPr>
            <w:tcW w:w="811"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2" w:type="dxa"/>
            <w:vMerge w:val="continue"/>
            <w:vAlign w:val="center"/>
          </w:tcPr>
          <w:p/>
        </w:tc>
        <w:tc>
          <w:tcPr>
            <w:tcW w:w="977" w:type="dxa"/>
            <w:vMerge w:val="continue"/>
            <w:vAlign w:val="center"/>
          </w:tcPr>
          <w:p/>
        </w:tc>
        <w:tc>
          <w:tcPr>
            <w:tcW w:w="788" w:type="dxa"/>
            <w:vMerge w:val="continue"/>
            <w:vAlign w:val="center"/>
          </w:tcPr>
          <w:p/>
        </w:tc>
        <w:tc>
          <w:tcPr>
            <w:tcW w:w="691"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时间</w:t>
            </w:r>
          </w:p>
        </w:tc>
        <w:tc>
          <w:tcPr>
            <w:tcW w:w="780"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代码</w:t>
            </w:r>
          </w:p>
        </w:tc>
        <w:tc>
          <w:tcPr>
            <w:tcW w:w="631"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时间</w:t>
            </w:r>
          </w:p>
        </w:tc>
        <w:tc>
          <w:tcPr>
            <w:tcW w:w="666"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代码</w:t>
            </w:r>
          </w:p>
        </w:tc>
        <w:tc>
          <w:tcPr>
            <w:tcW w:w="706"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时间</w:t>
            </w:r>
          </w:p>
        </w:tc>
        <w:tc>
          <w:tcPr>
            <w:tcW w:w="656"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代码</w:t>
            </w:r>
          </w:p>
        </w:tc>
        <w:tc>
          <w:tcPr>
            <w:tcW w:w="882" w:type="dxa"/>
            <w:vMerge w:val="continue"/>
            <w:vAlign w:val="center"/>
          </w:tcPr>
          <w:p/>
        </w:tc>
        <w:tc>
          <w:tcPr>
            <w:tcW w:w="819"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时间</w:t>
            </w:r>
          </w:p>
        </w:tc>
        <w:tc>
          <w:tcPr>
            <w:tcW w:w="655"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代码</w:t>
            </w:r>
          </w:p>
        </w:tc>
        <w:tc>
          <w:tcPr>
            <w:tcW w:w="655"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时间</w:t>
            </w:r>
          </w:p>
        </w:tc>
        <w:tc>
          <w:tcPr>
            <w:tcW w:w="655"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代码</w:t>
            </w:r>
          </w:p>
        </w:tc>
        <w:tc>
          <w:tcPr>
            <w:tcW w:w="655"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时间</w:t>
            </w:r>
          </w:p>
        </w:tc>
        <w:tc>
          <w:tcPr>
            <w:tcW w:w="820"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代码</w:t>
            </w:r>
          </w:p>
        </w:tc>
        <w:tc>
          <w:tcPr>
            <w:tcW w:w="819" w:type="dxa"/>
            <w:vMerge w:val="continue"/>
            <w:vAlign w:val="center"/>
          </w:tcPr>
          <w:p/>
        </w:tc>
        <w:tc>
          <w:tcPr>
            <w:tcW w:w="983" w:type="dxa"/>
            <w:vMerge w:val="continue"/>
            <w:vAlign w:val="center"/>
          </w:tcPr>
          <w:p/>
        </w:tc>
        <w:tc>
          <w:tcPr>
            <w:tcW w:w="811"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2" w:type="dxa"/>
            <w:vAlign w:val="center"/>
          </w:tcPr>
          <w:p>
            <w:pPr>
              <w:adjustRightInd w:val="0"/>
              <w:snapToGrid w:val="0"/>
              <w:spacing w:line="320" w:lineRule="exact"/>
              <w:jc w:val="center"/>
              <w:rPr>
                <w:rFonts w:hint="eastAsia" w:ascii="宋体" w:eastAsia="宋体"/>
                <w:color w:val="0C0C0C"/>
                <w:sz w:val="24"/>
              </w:rPr>
            </w:pPr>
          </w:p>
        </w:tc>
        <w:tc>
          <w:tcPr>
            <w:tcW w:w="977" w:type="dxa"/>
            <w:vAlign w:val="center"/>
          </w:tcPr>
          <w:p>
            <w:pPr>
              <w:adjustRightInd w:val="0"/>
              <w:snapToGrid w:val="0"/>
              <w:spacing w:line="320" w:lineRule="exact"/>
              <w:jc w:val="center"/>
              <w:rPr>
                <w:rFonts w:hint="eastAsia" w:ascii="宋体" w:eastAsia="宋体"/>
                <w:color w:val="0C0C0C"/>
                <w:sz w:val="24"/>
              </w:rPr>
            </w:pPr>
          </w:p>
        </w:tc>
        <w:tc>
          <w:tcPr>
            <w:tcW w:w="788" w:type="dxa"/>
            <w:vAlign w:val="center"/>
          </w:tcPr>
          <w:p>
            <w:pPr>
              <w:adjustRightInd w:val="0"/>
              <w:snapToGrid w:val="0"/>
              <w:spacing w:line="320" w:lineRule="exact"/>
              <w:jc w:val="center"/>
              <w:rPr>
                <w:rFonts w:hint="eastAsia" w:ascii="宋体" w:eastAsia="宋体"/>
                <w:color w:val="0C0C0C"/>
                <w:sz w:val="24"/>
              </w:rPr>
            </w:pPr>
          </w:p>
        </w:tc>
        <w:tc>
          <w:tcPr>
            <w:tcW w:w="691" w:type="dxa"/>
            <w:vAlign w:val="center"/>
          </w:tcPr>
          <w:p>
            <w:pPr>
              <w:adjustRightInd w:val="0"/>
              <w:snapToGrid w:val="0"/>
              <w:spacing w:line="320" w:lineRule="exact"/>
              <w:jc w:val="center"/>
              <w:rPr>
                <w:rFonts w:hint="eastAsia" w:ascii="宋体" w:eastAsia="宋体"/>
                <w:color w:val="0C0C0C"/>
                <w:sz w:val="24"/>
              </w:rPr>
            </w:pPr>
          </w:p>
        </w:tc>
        <w:tc>
          <w:tcPr>
            <w:tcW w:w="780" w:type="dxa"/>
            <w:vAlign w:val="center"/>
          </w:tcPr>
          <w:p>
            <w:pPr>
              <w:adjustRightInd w:val="0"/>
              <w:snapToGrid w:val="0"/>
              <w:spacing w:line="320" w:lineRule="exact"/>
              <w:jc w:val="center"/>
              <w:rPr>
                <w:rFonts w:hint="eastAsia" w:ascii="宋体" w:eastAsia="宋体"/>
                <w:color w:val="0C0C0C"/>
                <w:sz w:val="24"/>
              </w:rPr>
            </w:pPr>
          </w:p>
        </w:tc>
        <w:tc>
          <w:tcPr>
            <w:tcW w:w="631" w:type="dxa"/>
            <w:vAlign w:val="center"/>
          </w:tcPr>
          <w:p>
            <w:pPr>
              <w:adjustRightInd w:val="0"/>
              <w:snapToGrid w:val="0"/>
              <w:spacing w:line="320" w:lineRule="exact"/>
              <w:jc w:val="center"/>
              <w:rPr>
                <w:rFonts w:hint="eastAsia" w:ascii="宋体" w:eastAsia="宋体"/>
                <w:color w:val="0C0C0C"/>
                <w:sz w:val="24"/>
              </w:rPr>
            </w:pPr>
          </w:p>
        </w:tc>
        <w:tc>
          <w:tcPr>
            <w:tcW w:w="666" w:type="dxa"/>
            <w:vAlign w:val="center"/>
          </w:tcPr>
          <w:p>
            <w:pPr>
              <w:adjustRightInd w:val="0"/>
              <w:snapToGrid w:val="0"/>
              <w:spacing w:line="320" w:lineRule="exact"/>
              <w:jc w:val="center"/>
              <w:rPr>
                <w:rFonts w:hint="eastAsia" w:ascii="宋体" w:eastAsia="宋体"/>
                <w:color w:val="0C0C0C"/>
                <w:sz w:val="24"/>
              </w:rPr>
            </w:pPr>
          </w:p>
        </w:tc>
        <w:tc>
          <w:tcPr>
            <w:tcW w:w="706" w:type="dxa"/>
            <w:vAlign w:val="center"/>
          </w:tcPr>
          <w:p>
            <w:pPr>
              <w:adjustRightInd w:val="0"/>
              <w:snapToGrid w:val="0"/>
              <w:spacing w:line="320" w:lineRule="exact"/>
              <w:jc w:val="center"/>
              <w:rPr>
                <w:rFonts w:hint="eastAsia" w:ascii="宋体" w:eastAsia="宋体"/>
                <w:color w:val="0C0C0C"/>
                <w:sz w:val="24"/>
              </w:rPr>
            </w:pPr>
          </w:p>
        </w:tc>
        <w:tc>
          <w:tcPr>
            <w:tcW w:w="656" w:type="dxa"/>
            <w:vAlign w:val="center"/>
          </w:tcPr>
          <w:p>
            <w:pPr>
              <w:adjustRightInd w:val="0"/>
              <w:snapToGrid w:val="0"/>
              <w:spacing w:line="320" w:lineRule="exact"/>
              <w:jc w:val="center"/>
              <w:rPr>
                <w:rFonts w:hint="eastAsia" w:ascii="宋体" w:eastAsia="宋体"/>
                <w:color w:val="0C0C0C"/>
                <w:sz w:val="24"/>
              </w:rPr>
            </w:pPr>
          </w:p>
        </w:tc>
        <w:tc>
          <w:tcPr>
            <w:tcW w:w="882" w:type="dxa"/>
            <w:vAlign w:val="center"/>
          </w:tcPr>
          <w:p>
            <w:pPr>
              <w:adjustRightInd w:val="0"/>
              <w:snapToGrid w:val="0"/>
              <w:spacing w:line="320" w:lineRule="exact"/>
              <w:jc w:val="center"/>
              <w:rPr>
                <w:rFonts w:hint="eastAsia" w:ascii="宋体" w:eastAsia="宋体"/>
                <w:color w:val="0C0C0C"/>
                <w:sz w:val="24"/>
              </w:rPr>
            </w:pPr>
          </w:p>
        </w:tc>
        <w:tc>
          <w:tcPr>
            <w:tcW w:w="819" w:type="dxa"/>
            <w:vAlign w:val="center"/>
          </w:tcPr>
          <w:p>
            <w:pPr>
              <w:adjustRightInd w:val="0"/>
              <w:snapToGrid w:val="0"/>
              <w:spacing w:line="320" w:lineRule="exact"/>
              <w:jc w:val="center"/>
              <w:rPr>
                <w:rFonts w:hint="eastAsia" w:ascii="宋体" w:eastAsia="宋体"/>
                <w:color w:val="0C0C0C"/>
                <w:sz w:val="24"/>
              </w:rPr>
            </w:pPr>
          </w:p>
        </w:tc>
        <w:tc>
          <w:tcPr>
            <w:tcW w:w="655" w:type="dxa"/>
            <w:vAlign w:val="center"/>
          </w:tcPr>
          <w:p>
            <w:pPr>
              <w:adjustRightInd w:val="0"/>
              <w:snapToGrid w:val="0"/>
              <w:spacing w:line="320" w:lineRule="exact"/>
              <w:jc w:val="center"/>
              <w:rPr>
                <w:rFonts w:hint="eastAsia" w:ascii="宋体" w:eastAsia="宋体"/>
                <w:color w:val="0C0C0C"/>
                <w:sz w:val="24"/>
              </w:rPr>
            </w:pPr>
          </w:p>
        </w:tc>
        <w:tc>
          <w:tcPr>
            <w:tcW w:w="655" w:type="dxa"/>
            <w:vAlign w:val="center"/>
          </w:tcPr>
          <w:p>
            <w:pPr>
              <w:adjustRightInd w:val="0"/>
              <w:snapToGrid w:val="0"/>
              <w:spacing w:line="320" w:lineRule="exact"/>
              <w:jc w:val="center"/>
              <w:rPr>
                <w:rFonts w:hint="eastAsia" w:ascii="宋体" w:eastAsia="宋体"/>
                <w:color w:val="0C0C0C"/>
                <w:sz w:val="24"/>
              </w:rPr>
            </w:pPr>
          </w:p>
        </w:tc>
        <w:tc>
          <w:tcPr>
            <w:tcW w:w="655" w:type="dxa"/>
            <w:vAlign w:val="center"/>
          </w:tcPr>
          <w:p>
            <w:pPr>
              <w:adjustRightInd w:val="0"/>
              <w:snapToGrid w:val="0"/>
              <w:spacing w:line="320" w:lineRule="exact"/>
              <w:jc w:val="center"/>
              <w:rPr>
                <w:rFonts w:hint="eastAsia" w:ascii="宋体" w:eastAsia="宋体"/>
                <w:color w:val="0C0C0C"/>
                <w:sz w:val="24"/>
              </w:rPr>
            </w:pPr>
          </w:p>
        </w:tc>
        <w:tc>
          <w:tcPr>
            <w:tcW w:w="655" w:type="dxa"/>
            <w:vAlign w:val="center"/>
          </w:tcPr>
          <w:p>
            <w:pPr>
              <w:adjustRightInd w:val="0"/>
              <w:snapToGrid w:val="0"/>
              <w:spacing w:line="320" w:lineRule="exact"/>
              <w:jc w:val="center"/>
              <w:rPr>
                <w:rFonts w:hint="eastAsia" w:ascii="宋体" w:eastAsia="宋体"/>
                <w:color w:val="0C0C0C"/>
                <w:sz w:val="24"/>
              </w:rPr>
            </w:pPr>
          </w:p>
        </w:tc>
        <w:tc>
          <w:tcPr>
            <w:tcW w:w="820" w:type="dxa"/>
            <w:vAlign w:val="center"/>
          </w:tcPr>
          <w:p>
            <w:pPr>
              <w:adjustRightInd w:val="0"/>
              <w:snapToGrid w:val="0"/>
              <w:spacing w:line="320" w:lineRule="exact"/>
              <w:jc w:val="center"/>
              <w:rPr>
                <w:rFonts w:hint="eastAsia" w:ascii="宋体" w:eastAsia="宋体"/>
                <w:color w:val="0C0C0C"/>
                <w:sz w:val="24"/>
              </w:rPr>
            </w:pPr>
          </w:p>
        </w:tc>
        <w:tc>
          <w:tcPr>
            <w:tcW w:w="819" w:type="dxa"/>
            <w:vAlign w:val="center"/>
          </w:tcPr>
          <w:p>
            <w:pPr>
              <w:adjustRightInd w:val="0"/>
              <w:snapToGrid w:val="0"/>
              <w:spacing w:line="320" w:lineRule="exact"/>
              <w:jc w:val="center"/>
              <w:rPr>
                <w:rFonts w:hint="eastAsia" w:ascii="宋体" w:eastAsia="宋体"/>
                <w:color w:val="0C0C0C"/>
                <w:sz w:val="24"/>
              </w:rPr>
            </w:pPr>
          </w:p>
        </w:tc>
        <w:tc>
          <w:tcPr>
            <w:tcW w:w="983" w:type="dxa"/>
            <w:vAlign w:val="center"/>
          </w:tcPr>
          <w:p>
            <w:pPr>
              <w:adjustRightInd w:val="0"/>
              <w:snapToGrid w:val="0"/>
              <w:spacing w:line="320" w:lineRule="exact"/>
              <w:jc w:val="center"/>
              <w:rPr>
                <w:rFonts w:hint="eastAsia" w:ascii="宋体" w:eastAsia="宋体"/>
                <w:color w:val="0C0C0C"/>
                <w:sz w:val="24"/>
              </w:rPr>
            </w:pPr>
          </w:p>
        </w:tc>
        <w:tc>
          <w:tcPr>
            <w:tcW w:w="811" w:type="dxa"/>
            <w:vAlign w:val="center"/>
          </w:tcPr>
          <w:p>
            <w:pPr>
              <w:adjustRightInd w:val="0"/>
              <w:snapToGrid w:val="0"/>
              <w:spacing w:line="320" w:lineRule="exact"/>
              <w:jc w:val="center"/>
              <w:rPr>
                <w:rFonts w:hint="eastAsia" w:ascii="宋体" w:eastAsia="宋体"/>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2" w:type="dxa"/>
            <w:vAlign w:val="top"/>
          </w:tcPr>
          <w:p>
            <w:pPr>
              <w:adjustRightInd w:val="0"/>
              <w:snapToGrid w:val="0"/>
              <w:spacing w:line="320" w:lineRule="exact"/>
              <w:jc w:val="center"/>
              <w:rPr>
                <w:rFonts w:hint="eastAsia" w:ascii="宋体" w:eastAsia="宋体"/>
                <w:color w:val="0C0C0C"/>
                <w:sz w:val="24"/>
              </w:rPr>
            </w:pPr>
          </w:p>
        </w:tc>
        <w:tc>
          <w:tcPr>
            <w:tcW w:w="977" w:type="dxa"/>
            <w:vAlign w:val="top"/>
          </w:tcPr>
          <w:p>
            <w:pPr>
              <w:adjustRightInd w:val="0"/>
              <w:snapToGrid w:val="0"/>
              <w:spacing w:line="320" w:lineRule="exact"/>
              <w:jc w:val="center"/>
              <w:rPr>
                <w:rFonts w:hint="eastAsia" w:ascii="宋体" w:eastAsia="宋体"/>
                <w:color w:val="0C0C0C"/>
                <w:sz w:val="24"/>
              </w:rPr>
            </w:pPr>
          </w:p>
        </w:tc>
        <w:tc>
          <w:tcPr>
            <w:tcW w:w="788" w:type="dxa"/>
            <w:vAlign w:val="top"/>
          </w:tcPr>
          <w:p>
            <w:pPr>
              <w:adjustRightInd w:val="0"/>
              <w:snapToGrid w:val="0"/>
              <w:spacing w:line="320" w:lineRule="exact"/>
              <w:rPr>
                <w:rFonts w:hint="eastAsia" w:ascii="宋体" w:eastAsia="宋体"/>
                <w:color w:val="0C0C0C"/>
                <w:sz w:val="24"/>
              </w:rPr>
            </w:pPr>
          </w:p>
        </w:tc>
        <w:tc>
          <w:tcPr>
            <w:tcW w:w="691" w:type="dxa"/>
            <w:vAlign w:val="top"/>
          </w:tcPr>
          <w:p>
            <w:pPr>
              <w:adjustRightInd w:val="0"/>
              <w:snapToGrid w:val="0"/>
              <w:spacing w:line="320" w:lineRule="exact"/>
              <w:rPr>
                <w:rFonts w:hint="eastAsia" w:ascii="宋体" w:eastAsia="宋体"/>
                <w:color w:val="0C0C0C"/>
                <w:sz w:val="24"/>
              </w:rPr>
            </w:pPr>
          </w:p>
        </w:tc>
        <w:tc>
          <w:tcPr>
            <w:tcW w:w="780" w:type="dxa"/>
            <w:vAlign w:val="top"/>
          </w:tcPr>
          <w:p>
            <w:pPr>
              <w:adjustRightInd w:val="0"/>
              <w:snapToGrid w:val="0"/>
              <w:spacing w:line="320" w:lineRule="exact"/>
              <w:rPr>
                <w:rFonts w:hint="eastAsia" w:ascii="宋体" w:eastAsia="宋体"/>
                <w:color w:val="0C0C0C"/>
                <w:sz w:val="24"/>
              </w:rPr>
            </w:pPr>
          </w:p>
        </w:tc>
        <w:tc>
          <w:tcPr>
            <w:tcW w:w="631" w:type="dxa"/>
            <w:vAlign w:val="top"/>
          </w:tcPr>
          <w:p>
            <w:pPr>
              <w:adjustRightInd w:val="0"/>
              <w:snapToGrid w:val="0"/>
              <w:spacing w:line="320" w:lineRule="exact"/>
              <w:rPr>
                <w:rFonts w:hint="eastAsia" w:ascii="宋体" w:eastAsia="宋体"/>
                <w:color w:val="0C0C0C"/>
                <w:sz w:val="24"/>
              </w:rPr>
            </w:pPr>
          </w:p>
        </w:tc>
        <w:tc>
          <w:tcPr>
            <w:tcW w:w="666" w:type="dxa"/>
            <w:vAlign w:val="top"/>
          </w:tcPr>
          <w:p>
            <w:pPr>
              <w:adjustRightInd w:val="0"/>
              <w:snapToGrid w:val="0"/>
              <w:spacing w:line="320" w:lineRule="exact"/>
              <w:rPr>
                <w:rFonts w:hint="eastAsia" w:ascii="宋体" w:eastAsia="宋体"/>
                <w:color w:val="0C0C0C"/>
                <w:sz w:val="24"/>
              </w:rPr>
            </w:pPr>
          </w:p>
        </w:tc>
        <w:tc>
          <w:tcPr>
            <w:tcW w:w="706" w:type="dxa"/>
            <w:vAlign w:val="top"/>
          </w:tcPr>
          <w:p>
            <w:pPr>
              <w:adjustRightInd w:val="0"/>
              <w:snapToGrid w:val="0"/>
              <w:spacing w:line="320" w:lineRule="exact"/>
              <w:rPr>
                <w:rFonts w:hint="eastAsia" w:ascii="宋体" w:eastAsia="宋体"/>
                <w:color w:val="0C0C0C"/>
                <w:sz w:val="24"/>
              </w:rPr>
            </w:pPr>
          </w:p>
        </w:tc>
        <w:tc>
          <w:tcPr>
            <w:tcW w:w="656" w:type="dxa"/>
            <w:vAlign w:val="top"/>
          </w:tcPr>
          <w:p>
            <w:pPr>
              <w:adjustRightInd w:val="0"/>
              <w:snapToGrid w:val="0"/>
              <w:spacing w:line="320" w:lineRule="exact"/>
              <w:rPr>
                <w:rFonts w:hint="eastAsia" w:ascii="宋体" w:eastAsia="宋体"/>
                <w:color w:val="0C0C0C"/>
                <w:sz w:val="24"/>
              </w:rPr>
            </w:pPr>
          </w:p>
        </w:tc>
        <w:tc>
          <w:tcPr>
            <w:tcW w:w="882" w:type="dxa"/>
            <w:vAlign w:val="top"/>
          </w:tcPr>
          <w:p>
            <w:pPr>
              <w:adjustRightInd w:val="0"/>
              <w:snapToGrid w:val="0"/>
              <w:spacing w:line="320" w:lineRule="exact"/>
              <w:rPr>
                <w:rFonts w:hint="eastAsia" w:ascii="宋体" w:eastAsia="宋体"/>
                <w:color w:val="0C0C0C"/>
                <w:sz w:val="24"/>
              </w:rPr>
            </w:pPr>
          </w:p>
        </w:tc>
        <w:tc>
          <w:tcPr>
            <w:tcW w:w="819" w:type="dxa"/>
            <w:vAlign w:val="top"/>
          </w:tcPr>
          <w:p>
            <w:pPr>
              <w:adjustRightInd w:val="0"/>
              <w:snapToGrid w:val="0"/>
              <w:spacing w:line="320" w:lineRule="exact"/>
              <w:rPr>
                <w:rFonts w:hint="eastAsia" w:ascii="宋体" w:eastAsia="宋体"/>
                <w:color w:val="0C0C0C"/>
                <w:sz w:val="24"/>
              </w:rPr>
            </w:pPr>
          </w:p>
        </w:tc>
        <w:tc>
          <w:tcPr>
            <w:tcW w:w="655" w:type="dxa"/>
            <w:vAlign w:val="top"/>
          </w:tcPr>
          <w:p>
            <w:pPr>
              <w:adjustRightInd w:val="0"/>
              <w:snapToGrid w:val="0"/>
              <w:spacing w:line="320" w:lineRule="exact"/>
              <w:rPr>
                <w:rFonts w:hint="eastAsia" w:ascii="宋体" w:eastAsia="宋体"/>
                <w:color w:val="0C0C0C"/>
                <w:sz w:val="24"/>
              </w:rPr>
            </w:pPr>
          </w:p>
        </w:tc>
        <w:tc>
          <w:tcPr>
            <w:tcW w:w="655" w:type="dxa"/>
            <w:vAlign w:val="top"/>
          </w:tcPr>
          <w:p>
            <w:pPr>
              <w:adjustRightInd w:val="0"/>
              <w:snapToGrid w:val="0"/>
              <w:spacing w:line="320" w:lineRule="exact"/>
              <w:rPr>
                <w:rFonts w:hint="eastAsia" w:ascii="宋体" w:eastAsia="宋体"/>
                <w:color w:val="0C0C0C"/>
                <w:sz w:val="24"/>
              </w:rPr>
            </w:pPr>
          </w:p>
        </w:tc>
        <w:tc>
          <w:tcPr>
            <w:tcW w:w="655" w:type="dxa"/>
            <w:vAlign w:val="top"/>
          </w:tcPr>
          <w:p>
            <w:pPr>
              <w:adjustRightInd w:val="0"/>
              <w:snapToGrid w:val="0"/>
              <w:spacing w:line="320" w:lineRule="exact"/>
              <w:rPr>
                <w:rFonts w:hint="eastAsia" w:ascii="宋体" w:eastAsia="宋体"/>
                <w:color w:val="0C0C0C"/>
                <w:sz w:val="24"/>
              </w:rPr>
            </w:pPr>
          </w:p>
        </w:tc>
        <w:tc>
          <w:tcPr>
            <w:tcW w:w="655" w:type="dxa"/>
            <w:vAlign w:val="top"/>
          </w:tcPr>
          <w:p>
            <w:pPr>
              <w:adjustRightInd w:val="0"/>
              <w:snapToGrid w:val="0"/>
              <w:spacing w:line="320" w:lineRule="exact"/>
              <w:rPr>
                <w:rFonts w:hint="eastAsia" w:ascii="宋体" w:eastAsia="宋体"/>
                <w:color w:val="0C0C0C"/>
                <w:sz w:val="24"/>
              </w:rPr>
            </w:pPr>
          </w:p>
        </w:tc>
        <w:tc>
          <w:tcPr>
            <w:tcW w:w="820" w:type="dxa"/>
            <w:vAlign w:val="top"/>
          </w:tcPr>
          <w:p>
            <w:pPr>
              <w:adjustRightInd w:val="0"/>
              <w:snapToGrid w:val="0"/>
              <w:spacing w:line="320" w:lineRule="exact"/>
              <w:rPr>
                <w:rFonts w:hint="eastAsia" w:ascii="宋体" w:eastAsia="宋体"/>
                <w:color w:val="0C0C0C"/>
                <w:sz w:val="24"/>
              </w:rPr>
            </w:pPr>
          </w:p>
        </w:tc>
        <w:tc>
          <w:tcPr>
            <w:tcW w:w="819" w:type="dxa"/>
            <w:vAlign w:val="top"/>
          </w:tcPr>
          <w:p>
            <w:pPr>
              <w:adjustRightInd w:val="0"/>
              <w:snapToGrid w:val="0"/>
              <w:spacing w:line="320" w:lineRule="exact"/>
              <w:rPr>
                <w:rFonts w:hint="eastAsia" w:ascii="宋体" w:eastAsia="宋体"/>
                <w:color w:val="0C0C0C"/>
                <w:sz w:val="24"/>
              </w:rPr>
            </w:pPr>
          </w:p>
        </w:tc>
        <w:tc>
          <w:tcPr>
            <w:tcW w:w="983" w:type="dxa"/>
            <w:vAlign w:val="top"/>
          </w:tcPr>
          <w:p>
            <w:pPr>
              <w:adjustRightInd w:val="0"/>
              <w:snapToGrid w:val="0"/>
              <w:spacing w:line="320" w:lineRule="exact"/>
              <w:rPr>
                <w:rFonts w:hint="eastAsia" w:ascii="宋体" w:eastAsia="宋体"/>
                <w:color w:val="0C0C0C"/>
                <w:sz w:val="24"/>
              </w:rPr>
            </w:pPr>
          </w:p>
        </w:tc>
        <w:tc>
          <w:tcPr>
            <w:tcW w:w="811" w:type="dxa"/>
            <w:vAlign w:val="top"/>
          </w:tcPr>
          <w:p>
            <w:pPr>
              <w:adjustRightInd w:val="0"/>
              <w:snapToGrid w:val="0"/>
              <w:spacing w:line="320" w:lineRule="exact"/>
              <w:rPr>
                <w:rFonts w:hint="eastAsia" w:ascii="宋体" w:eastAsia="宋体"/>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2" w:type="dxa"/>
            <w:vAlign w:val="top"/>
          </w:tcPr>
          <w:p>
            <w:pPr>
              <w:spacing w:line="320" w:lineRule="exact"/>
              <w:jc w:val="center"/>
              <w:rPr>
                <w:rFonts w:hint="eastAsia" w:ascii="宋体" w:eastAsia="宋体"/>
                <w:color w:val="0C0C0C"/>
                <w:sz w:val="24"/>
              </w:rPr>
            </w:pPr>
          </w:p>
        </w:tc>
        <w:tc>
          <w:tcPr>
            <w:tcW w:w="977" w:type="dxa"/>
            <w:vAlign w:val="top"/>
          </w:tcPr>
          <w:p>
            <w:pPr>
              <w:spacing w:line="320" w:lineRule="exact"/>
              <w:jc w:val="center"/>
              <w:rPr>
                <w:rFonts w:hint="eastAsia" w:ascii="宋体" w:eastAsia="宋体"/>
                <w:color w:val="0C0C0C"/>
                <w:sz w:val="24"/>
              </w:rPr>
            </w:pPr>
          </w:p>
        </w:tc>
        <w:tc>
          <w:tcPr>
            <w:tcW w:w="788" w:type="dxa"/>
            <w:vAlign w:val="top"/>
          </w:tcPr>
          <w:p>
            <w:pPr>
              <w:spacing w:line="320" w:lineRule="exact"/>
              <w:rPr>
                <w:rFonts w:hint="eastAsia" w:ascii="宋体" w:eastAsia="宋体"/>
                <w:color w:val="0C0C0C"/>
                <w:sz w:val="24"/>
              </w:rPr>
            </w:pPr>
          </w:p>
        </w:tc>
        <w:tc>
          <w:tcPr>
            <w:tcW w:w="691" w:type="dxa"/>
            <w:vAlign w:val="top"/>
          </w:tcPr>
          <w:p>
            <w:pPr>
              <w:spacing w:line="320" w:lineRule="exact"/>
              <w:rPr>
                <w:rFonts w:hint="eastAsia" w:ascii="宋体" w:eastAsia="宋体"/>
                <w:color w:val="0C0C0C"/>
                <w:sz w:val="24"/>
              </w:rPr>
            </w:pPr>
          </w:p>
        </w:tc>
        <w:tc>
          <w:tcPr>
            <w:tcW w:w="780" w:type="dxa"/>
            <w:vAlign w:val="top"/>
          </w:tcPr>
          <w:p>
            <w:pPr>
              <w:spacing w:line="320" w:lineRule="exact"/>
              <w:rPr>
                <w:rFonts w:hint="eastAsia" w:ascii="宋体" w:eastAsia="宋体"/>
                <w:color w:val="0C0C0C"/>
                <w:sz w:val="24"/>
              </w:rPr>
            </w:pPr>
          </w:p>
        </w:tc>
        <w:tc>
          <w:tcPr>
            <w:tcW w:w="631" w:type="dxa"/>
            <w:vAlign w:val="top"/>
          </w:tcPr>
          <w:p>
            <w:pPr>
              <w:spacing w:line="320" w:lineRule="exact"/>
              <w:rPr>
                <w:rFonts w:hint="eastAsia" w:ascii="宋体" w:eastAsia="宋体"/>
                <w:color w:val="0C0C0C"/>
                <w:sz w:val="24"/>
              </w:rPr>
            </w:pPr>
          </w:p>
        </w:tc>
        <w:tc>
          <w:tcPr>
            <w:tcW w:w="666" w:type="dxa"/>
            <w:vAlign w:val="top"/>
          </w:tcPr>
          <w:p>
            <w:pPr>
              <w:spacing w:line="320" w:lineRule="exact"/>
              <w:rPr>
                <w:rFonts w:hint="eastAsia" w:ascii="宋体" w:eastAsia="宋体"/>
                <w:color w:val="0C0C0C"/>
                <w:sz w:val="24"/>
              </w:rPr>
            </w:pPr>
          </w:p>
        </w:tc>
        <w:tc>
          <w:tcPr>
            <w:tcW w:w="706" w:type="dxa"/>
            <w:vAlign w:val="top"/>
          </w:tcPr>
          <w:p>
            <w:pPr>
              <w:spacing w:line="320" w:lineRule="exact"/>
              <w:rPr>
                <w:rFonts w:hint="eastAsia" w:ascii="宋体" w:eastAsia="宋体"/>
                <w:color w:val="0C0C0C"/>
                <w:sz w:val="24"/>
              </w:rPr>
            </w:pPr>
          </w:p>
        </w:tc>
        <w:tc>
          <w:tcPr>
            <w:tcW w:w="656" w:type="dxa"/>
            <w:vAlign w:val="top"/>
          </w:tcPr>
          <w:p>
            <w:pPr>
              <w:spacing w:line="320" w:lineRule="exact"/>
              <w:rPr>
                <w:rFonts w:hint="eastAsia" w:ascii="宋体" w:eastAsia="宋体"/>
                <w:color w:val="0C0C0C"/>
                <w:sz w:val="24"/>
              </w:rPr>
            </w:pPr>
          </w:p>
        </w:tc>
        <w:tc>
          <w:tcPr>
            <w:tcW w:w="882"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820"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983" w:type="dxa"/>
            <w:vAlign w:val="top"/>
          </w:tcPr>
          <w:p>
            <w:pPr>
              <w:spacing w:line="320" w:lineRule="exact"/>
              <w:rPr>
                <w:rFonts w:hint="eastAsia" w:ascii="宋体" w:eastAsia="宋体"/>
                <w:color w:val="0C0C0C"/>
                <w:sz w:val="24"/>
              </w:rPr>
            </w:pPr>
          </w:p>
        </w:tc>
        <w:tc>
          <w:tcPr>
            <w:tcW w:w="811" w:type="dxa"/>
            <w:vAlign w:val="top"/>
          </w:tcPr>
          <w:p>
            <w:pPr>
              <w:spacing w:line="320" w:lineRule="exact"/>
              <w:rPr>
                <w:rFonts w:hint="eastAsia" w:ascii="宋体" w:eastAsia="宋体"/>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2" w:type="dxa"/>
            <w:vAlign w:val="top"/>
          </w:tcPr>
          <w:p>
            <w:pPr>
              <w:spacing w:line="320" w:lineRule="exact"/>
              <w:jc w:val="center"/>
              <w:rPr>
                <w:rFonts w:hint="eastAsia" w:ascii="宋体" w:eastAsia="宋体"/>
                <w:color w:val="0C0C0C"/>
                <w:sz w:val="24"/>
              </w:rPr>
            </w:pPr>
          </w:p>
        </w:tc>
        <w:tc>
          <w:tcPr>
            <w:tcW w:w="977" w:type="dxa"/>
            <w:vAlign w:val="top"/>
          </w:tcPr>
          <w:p>
            <w:pPr>
              <w:spacing w:line="320" w:lineRule="exact"/>
              <w:jc w:val="center"/>
              <w:rPr>
                <w:rFonts w:hint="eastAsia" w:ascii="宋体" w:eastAsia="宋体"/>
                <w:color w:val="0C0C0C"/>
                <w:sz w:val="24"/>
              </w:rPr>
            </w:pPr>
          </w:p>
        </w:tc>
        <w:tc>
          <w:tcPr>
            <w:tcW w:w="788" w:type="dxa"/>
            <w:vAlign w:val="top"/>
          </w:tcPr>
          <w:p>
            <w:pPr>
              <w:spacing w:line="320" w:lineRule="exact"/>
              <w:rPr>
                <w:rFonts w:hint="eastAsia" w:ascii="宋体" w:eastAsia="宋体"/>
                <w:color w:val="0C0C0C"/>
                <w:sz w:val="24"/>
              </w:rPr>
            </w:pPr>
          </w:p>
        </w:tc>
        <w:tc>
          <w:tcPr>
            <w:tcW w:w="691" w:type="dxa"/>
            <w:vAlign w:val="top"/>
          </w:tcPr>
          <w:p>
            <w:pPr>
              <w:spacing w:line="320" w:lineRule="exact"/>
              <w:rPr>
                <w:rFonts w:hint="eastAsia" w:ascii="宋体" w:eastAsia="宋体"/>
                <w:color w:val="0C0C0C"/>
                <w:sz w:val="24"/>
              </w:rPr>
            </w:pPr>
          </w:p>
        </w:tc>
        <w:tc>
          <w:tcPr>
            <w:tcW w:w="780" w:type="dxa"/>
            <w:vAlign w:val="top"/>
          </w:tcPr>
          <w:p>
            <w:pPr>
              <w:spacing w:line="320" w:lineRule="exact"/>
              <w:rPr>
                <w:rFonts w:hint="eastAsia" w:ascii="宋体" w:eastAsia="宋体"/>
                <w:color w:val="0C0C0C"/>
                <w:sz w:val="24"/>
              </w:rPr>
            </w:pPr>
          </w:p>
        </w:tc>
        <w:tc>
          <w:tcPr>
            <w:tcW w:w="631" w:type="dxa"/>
            <w:vAlign w:val="top"/>
          </w:tcPr>
          <w:p>
            <w:pPr>
              <w:spacing w:line="320" w:lineRule="exact"/>
              <w:rPr>
                <w:rFonts w:hint="eastAsia" w:ascii="宋体" w:eastAsia="宋体"/>
                <w:color w:val="0C0C0C"/>
                <w:sz w:val="24"/>
              </w:rPr>
            </w:pPr>
          </w:p>
        </w:tc>
        <w:tc>
          <w:tcPr>
            <w:tcW w:w="666" w:type="dxa"/>
            <w:vAlign w:val="top"/>
          </w:tcPr>
          <w:p>
            <w:pPr>
              <w:spacing w:line="320" w:lineRule="exact"/>
              <w:rPr>
                <w:rFonts w:hint="eastAsia" w:ascii="宋体" w:eastAsia="宋体"/>
                <w:color w:val="0C0C0C"/>
                <w:sz w:val="24"/>
              </w:rPr>
            </w:pPr>
          </w:p>
        </w:tc>
        <w:tc>
          <w:tcPr>
            <w:tcW w:w="706" w:type="dxa"/>
            <w:vAlign w:val="top"/>
          </w:tcPr>
          <w:p>
            <w:pPr>
              <w:spacing w:line="320" w:lineRule="exact"/>
              <w:rPr>
                <w:rFonts w:hint="eastAsia" w:ascii="宋体" w:eastAsia="宋体"/>
                <w:color w:val="0C0C0C"/>
                <w:sz w:val="24"/>
              </w:rPr>
            </w:pPr>
          </w:p>
        </w:tc>
        <w:tc>
          <w:tcPr>
            <w:tcW w:w="656" w:type="dxa"/>
            <w:vAlign w:val="top"/>
          </w:tcPr>
          <w:p>
            <w:pPr>
              <w:spacing w:line="320" w:lineRule="exact"/>
              <w:rPr>
                <w:rFonts w:hint="eastAsia" w:ascii="宋体" w:eastAsia="宋体"/>
                <w:color w:val="0C0C0C"/>
                <w:sz w:val="24"/>
              </w:rPr>
            </w:pPr>
          </w:p>
        </w:tc>
        <w:tc>
          <w:tcPr>
            <w:tcW w:w="882"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820"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983" w:type="dxa"/>
            <w:vAlign w:val="top"/>
          </w:tcPr>
          <w:p>
            <w:pPr>
              <w:spacing w:line="320" w:lineRule="exact"/>
              <w:rPr>
                <w:rFonts w:hint="eastAsia" w:ascii="宋体" w:eastAsia="宋体"/>
                <w:color w:val="0C0C0C"/>
                <w:sz w:val="24"/>
              </w:rPr>
            </w:pPr>
          </w:p>
        </w:tc>
        <w:tc>
          <w:tcPr>
            <w:tcW w:w="811" w:type="dxa"/>
            <w:vAlign w:val="top"/>
          </w:tcPr>
          <w:p>
            <w:pPr>
              <w:spacing w:line="320" w:lineRule="exact"/>
              <w:rPr>
                <w:rFonts w:hint="eastAsia" w:ascii="宋体" w:eastAsia="宋体"/>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2" w:type="dxa"/>
            <w:vAlign w:val="top"/>
          </w:tcPr>
          <w:p>
            <w:pPr>
              <w:spacing w:line="320" w:lineRule="exact"/>
              <w:jc w:val="center"/>
              <w:rPr>
                <w:rFonts w:hint="eastAsia" w:ascii="宋体" w:eastAsia="宋体"/>
                <w:color w:val="0C0C0C"/>
                <w:sz w:val="24"/>
              </w:rPr>
            </w:pPr>
          </w:p>
        </w:tc>
        <w:tc>
          <w:tcPr>
            <w:tcW w:w="977" w:type="dxa"/>
            <w:vAlign w:val="top"/>
          </w:tcPr>
          <w:p>
            <w:pPr>
              <w:spacing w:line="320" w:lineRule="exact"/>
              <w:jc w:val="center"/>
              <w:rPr>
                <w:rFonts w:hint="eastAsia" w:ascii="宋体" w:eastAsia="宋体"/>
                <w:color w:val="0C0C0C"/>
                <w:sz w:val="24"/>
              </w:rPr>
            </w:pPr>
          </w:p>
        </w:tc>
        <w:tc>
          <w:tcPr>
            <w:tcW w:w="788" w:type="dxa"/>
            <w:vAlign w:val="top"/>
          </w:tcPr>
          <w:p>
            <w:pPr>
              <w:spacing w:line="320" w:lineRule="exact"/>
              <w:rPr>
                <w:rFonts w:hint="eastAsia" w:ascii="宋体" w:eastAsia="宋体"/>
                <w:color w:val="0C0C0C"/>
                <w:sz w:val="24"/>
              </w:rPr>
            </w:pPr>
          </w:p>
        </w:tc>
        <w:tc>
          <w:tcPr>
            <w:tcW w:w="691" w:type="dxa"/>
            <w:vAlign w:val="top"/>
          </w:tcPr>
          <w:p>
            <w:pPr>
              <w:spacing w:line="320" w:lineRule="exact"/>
              <w:rPr>
                <w:rFonts w:hint="eastAsia" w:ascii="宋体" w:eastAsia="宋体"/>
                <w:color w:val="0C0C0C"/>
                <w:sz w:val="24"/>
              </w:rPr>
            </w:pPr>
          </w:p>
        </w:tc>
        <w:tc>
          <w:tcPr>
            <w:tcW w:w="780" w:type="dxa"/>
            <w:vAlign w:val="top"/>
          </w:tcPr>
          <w:p>
            <w:pPr>
              <w:spacing w:line="320" w:lineRule="exact"/>
              <w:rPr>
                <w:rFonts w:hint="eastAsia" w:ascii="宋体" w:eastAsia="宋体"/>
                <w:color w:val="0C0C0C"/>
                <w:sz w:val="24"/>
              </w:rPr>
            </w:pPr>
          </w:p>
        </w:tc>
        <w:tc>
          <w:tcPr>
            <w:tcW w:w="631" w:type="dxa"/>
            <w:vAlign w:val="top"/>
          </w:tcPr>
          <w:p>
            <w:pPr>
              <w:spacing w:line="320" w:lineRule="exact"/>
              <w:rPr>
                <w:rFonts w:hint="eastAsia" w:ascii="宋体" w:eastAsia="宋体"/>
                <w:color w:val="0C0C0C"/>
                <w:sz w:val="24"/>
              </w:rPr>
            </w:pPr>
          </w:p>
        </w:tc>
        <w:tc>
          <w:tcPr>
            <w:tcW w:w="666" w:type="dxa"/>
            <w:vAlign w:val="top"/>
          </w:tcPr>
          <w:p>
            <w:pPr>
              <w:spacing w:line="320" w:lineRule="exact"/>
              <w:rPr>
                <w:rFonts w:hint="eastAsia" w:ascii="宋体" w:eastAsia="宋体"/>
                <w:color w:val="0C0C0C"/>
                <w:sz w:val="24"/>
              </w:rPr>
            </w:pPr>
          </w:p>
        </w:tc>
        <w:tc>
          <w:tcPr>
            <w:tcW w:w="706" w:type="dxa"/>
            <w:vAlign w:val="top"/>
          </w:tcPr>
          <w:p>
            <w:pPr>
              <w:spacing w:line="320" w:lineRule="exact"/>
              <w:rPr>
                <w:rFonts w:hint="eastAsia" w:ascii="宋体" w:eastAsia="宋体"/>
                <w:color w:val="0C0C0C"/>
                <w:sz w:val="24"/>
              </w:rPr>
            </w:pPr>
          </w:p>
        </w:tc>
        <w:tc>
          <w:tcPr>
            <w:tcW w:w="656" w:type="dxa"/>
            <w:vAlign w:val="top"/>
          </w:tcPr>
          <w:p>
            <w:pPr>
              <w:spacing w:line="320" w:lineRule="exact"/>
              <w:rPr>
                <w:rFonts w:hint="eastAsia" w:ascii="宋体" w:eastAsia="宋体"/>
                <w:color w:val="0C0C0C"/>
                <w:sz w:val="24"/>
              </w:rPr>
            </w:pPr>
          </w:p>
        </w:tc>
        <w:tc>
          <w:tcPr>
            <w:tcW w:w="882"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820"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983" w:type="dxa"/>
            <w:vAlign w:val="top"/>
          </w:tcPr>
          <w:p>
            <w:pPr>
              <w:spacing w:line="320" w:lineRule="exact"/>
              <w:rPr>
                <w:rFonts w:hint="eastAsia" w:ascii="宋体" w:eastAsia="宋体"/>
                <w:color w:val="0C0C0C"/>
                <w:sz w:val="24"/>
              </w:rPr>
            </w:pPr>
          </w:p>
        </w:tc>
        <w:tc>
          <w:tcPr>
            <w:tcW w:w="811" w:type="dxa"/>
            <w:vAlign w:val="top"/>
          </w:tcPr>
          <w:p>
            <w:pPr>
              <w:spacing w:line="320" w:lineRule="exact"/>
              <w:rPr>
                <w:rFonts w:hint="eastAsia" w:ascii="宋体" w:eastAsia="宋体"/>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2" w:type="dxa"/>
            <w:vAlign w:val="top"/>
          </w:tcPr>
          <w:p>
            <w:pPr>
              <w:spacing w:line="320" w:lineRule="exact"/>
              <w:jc w:val="center"/>
              <w:rPr>
                <w:rFonts w:hint="eastAsia" w:ascii="宋体" w:eastAsia="宋体"/>
                <w:color w:val="0C0C0C"/>
                <w:sz w:val="24"/>
              </w:rPr>
            </w:pPr>
          </w:p>
        </w:tc>
        <w:tc>
          <w:tcPr>
            <w:tcW w:w="977" w:type="dxa"/>
            <w:vAlign w:val="top"/>
          </w:tcPr>
          <w:p>
            <w:pPr>
              <w:spacing w:line="320" w:lineRule="exact"/>
              <w:jc w:val="center"/>
              <w:rPr>
                <w:rFonts w:hint="eastAsia" w:ascii="宋体" w:eastAsia="宋体"/>
                <w:color w:val="0C0C0C"/>
                <w:sz w:val="24"/>
              </w:rPr>
            </w:pPr>
          </w:p>
        </w:tc>
        <w:tc>
          <w:tcPr>
            <w:tcW w:w="788" w:type="dxa"/>
            <w:vAlign w:val="top"/>
          </w:tcPr>
          <w:p>
            <w:pPr>
              <w:spacing w:line="320" w:lineRule="exact"/>
              <w:rPr>
                <w:rFonts w:hint="eastAsia" w:ascii="宋体" w:eastAsia="宋体"/>
                <w:color w:val="0C0C0C"/>
                <w:sz w:val="24"/>
              </w:rPr>
            </w:pPr>
          </w:p>
        </w:tc>
        <w:tc>
          <w:tcPr>
            <w:tcW w:w="691" w:type="dxa"/>
            <w:vAlign w:val="top"/>
          </w:tcPr>
          <w:p>
            <w:pPr>
              <w:spacing w:line="320" w:lineRule="exact"/>
              <w:rPr>
                <w:rFonts w:hint="eastAsia" w:ascii="宋体" w:eastAsia="宋体"/>
                <w:color w:val="0C0C0C"/>
                <w:sz w:val="24"/>
              </w:rPr>
            </w:pPr>
          </w:p>
        </w:tc>
        <w:tc>
          <w:tcPr>
            <w:tcW w:w="780" w:type="dxa"/>
            <w:vAlign w:val="top"/>
          </w:tcPr>
          <w:p>
            <w:pPr>
              <w:spacing w:line="320" w:lineRule="exact"/>
              <w:rPr>
                <w:rFonts w:hint="eastAsia" w:ascii="宋体" w:eastAsia="宋体"/>
                <w:color w:val="0C0C0C"/>
                <w:sz w:val="24"/>
              </w:rPr>
            </w:pPr>
          </w:p>
        </w:tc>
        <w:tc>
          <w:tcPr>
            <w:tcW w:w="631" w:type="dxa"/>
            <w:vAlign w:val="top"/>
          </w:tcPr>
          <w:p>
            <w:pPr>
              <w:spacing w:line="320" w:lineRule="exact"/>
              <w:rPr>
                <w:rFonts w:hint="eastAsia" w:ascii="宋体" w:eastAsia="宋体"/>
                <w:color w:val="0C0C0C"/>
                <w:sz w:val="24"/>
              </w:rPr>
            </w:pPr>
          </w:p>
        </w:tc>
        <w:tc>
          <w:tcPr>
            <w:tcW w:w="666" w:type="dxa"/>
            <w:vAlign w:val="top"/>
          </w:tcPr>
          <w:p>
            <w:pPr>
              <w:spacing w:line="320" w:lineRule="exact"/>
              <w:rPr>
                <w:rFonts w:hint="eastAsia" w:ascii="宋体" w:eastAsia="宋体"/>
                <w:color w:val="0C0C0C"/>
                <w:sz w:val="24"/>
              </w:rPr>
            </w:pPr>
          </w:p>
        </w:tc>
        <w:tc>
          <w:tcPr>
            <w:tcW w:w="706" w:type="dxa"/>
            <w:vAlign w:val="top"/>
          </w:tcPr>
          <w:p>
            <w:pPr>
              <w:spacing w:line="320" w:lineRule="exact"/>
              <w:rPr>
                <w:rFonts w:hint="eastAsia" w:ascii="宋体" w:eastAsia="宋体"/>
                <w:color w:val="0C0C0C"/>
                <w:sz w:val="24"/>
              </w:rPr>
            </w:pPr>
          </w:p>
        </w:tc>
        <w:tc>
          <w:tcPr>
            <w:tcW w:w="656" w:type="dxa"/>
            <w:vAlign w:val="top"/>
          </w:tcPr>
          <w:p>
            <w:pPr>
              <w:spacing w:line="320" w:lineRule="exact"/>
              <w:rPr>
                <w:rFonts w:hint="eastAsia" w:ascii="宋体" w:eastAsia="宋体"/>
                <w:color w:val="0C0C0C"/>
                <w:sz w:val="24"/>
              </w:rPr>
            </w:pPr>
          </w:p>
        </w:tc>
        <w:tc>
          <w:tcPr>
            <w:tcW w:w="882"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820"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983" w:type="dxa"/>
            <w:vAlign w:val="top"/>
          </w:tcPr>
          <w:p>
            <w:pPr>
              <w:spacing w:line="320" w:lineRule="exact"/>
              <w:rPr>
                <w:rFonts w:hint="eastAsia" w:ascii="宋体" w:eastAsia="宋体"/>
                <w:color w:val="0C0C0C"/>
                <w:sz w:val="24"/>
              </w:rPr>
            </w:pPr>
          </w:p>
        </w:tc>
        <w:tc>
          <w:tcPr>
            <w:tcW w:w="811" w:type="dxa"/>
            <w:vAlign w:val="top"/>
          </w:tcPr>
          <w:p>
            <w:pPr>
              <w:spacing w:line="320" w:lineRule="exact"/>
              <w:rPr>
                <w:rFonts w:hint="eastAsia" w:ascii="宋体" w:eastAsia="宋体"/>
                <w:color w:val="0C0C0C"/>
                <w:sz w:val="24"/>
              </w:rPr>
            </w:pPr>
          </w:p>
        </w:tc>
      </w:tr>
    </w:tbl>
    <w:p>
      <w:pPr>
        <w:spacing w:line="360" w:lineRule="auto"/>
        <w:rPr>
          <w:rFonts w:hint="eastAsia" w:ascii="仿宋_GB2312"/>
          <w:color w:val="0C0C0C"/>
          <w:sz w:val="24"/>
        </w:rPr>
      </w:pPr>
      <w:r>
        <w:rPr>
          <w:rFonts w:hint="eastAsia" w:ascii="仿宋_GB2312"/>
          <w:color w:val="0C0C0C"/>
          <w:sz w:val="24"/>
        </w:rPr>
        <w:t>数据管理员：       日期：         质控员：         日期：       调查员：       日期：</w:t>
      </w:r>
    </w:p>
    <w:p>
      <w:pPr>
        <w:spacing w:line="320" w:lineRule="exact"/>
        <w:rPr>
          <w:rFonts w:hint="eastAsia" w:ascii="仿宋_GB2312"/>
          <w:b/>
          <w:color w:val="0C0C0C"/>
          <w:sz w:val="24"/>
        </w:rPr>
      </w:pPr>
      <w:r>
        <w:rPr>
          <w:rFonts w:hint="eastAsia" w:ascii="仿宋_GB2312"/>
          <w:b/>
          <w:color w:val="0C0C0C"/>
          <w:sz w:val="24"/>
        </w:rPr>
        <w:t>备注：</w:t>
      </w:r>
    </w:p>
    <w:p>
      <w:pPr>
        <w:spacing w:line="320" w:lineRule="exact"/>
        <w:rPr>
          <w:rFonts w:hint="eastAsia" w:ascii="仿宋_GB2312"/>
          <w:color w:val="0C0C0C"/>
          <w:sz w:val="24"/>
        </w:rPr>
      </w:pPr>
      <w:r>
        <w:rPr>
          <w:rFonts w:hint="eastAsia" w:ascii="仿宋_GB2312"/>
          <w:color w:val="0C0C0C"/>
          <w:sz w:val="24"/>
        </w:rPr>
        <w:t>1.家庭户地址根据省级健康教育专业机构抽样结果填写。问卷编码根据编码规则由数据管理员填写。</w:t>
      </w:r>
    </w:p>
    <w:p>
      <w:pPr>
        <w:spacing w:line="320" w:lineRule="exact"/>
        <w:ind w:left="240" w:hanging="240" w:hangingChars="100"/>
        <w:jc w:val="left"/>
        <w:rPr>
          <w:rFonts w:hint="eastAsia" w:ascii="仿宋_GB2312"/>
          <w:color w:val="0C0C0C"/>
          <w:sz w:val="24"/>
        </w:rPr>
      </w:pPr>
      <w:r>
        <w:rPr>
          <w:rFonts w:hint="eastAsia" w:ascii="仿宋_GB2312"/>
          <w:color w:val="0C0C0C"/>
          <w:sz w:val="24"/>
        </w:rPr>
        <w:t>2.家庭完成情况代码：11.完成；12.拒绝；13.无能力回答；14.不在家；15.无符合条件调查对象；16.无人居住/空房/已无此家庭/不是家庭； 17.其他。</w:t>
      </w:r>
    </w:p>
    <w:p>
      <w:pPr>
        <w:spacing w:line="320" w:lineRule="exact"/>
        <w:jc w:val="left"/>
        <w:rPr>
          <w:rFonts w:hint="eastAsia" w:ascii="仿宋_GB2312"/>
          <w:color w:val="0C0C0C"/>
          <w:sz w:val="24"/>
        </w:rPr>
      </w:pPr>
      <w:r>
        <w:rPr>
          <w:rFonts w:hint="eastAsia" w:ascii="仿宋_GB2312"/>
          <w:color w:val="0C0C0C"/>
          <w:sz w:val="24"/>
        </w:rPr>
        <w:t>3.个人完成情况代码：21.完成；22.部分完成；23.拒绝；24.无能力回答；25.不在家；26.其他。</w:t>
      </w:r>
    </w:p>
    <w:p>
      <w:pPr>
        <w:spacing w:line="560" w:lineRule="exact"/>
        <w:ind w:right="1280"/>
        <w:rPr>
          <w:rFonts w:hint="default" w:ascii="黑体" w:eastAsia="黑体" w:cs="仿宋_GB2312"/>
          <w:color w:val="0C0C0C"/>
          <w:szCs w:val="32"/>
          <w:lang w:val="en-US" w:eastAsia="zh-CN"/>
        </w:rPr>
      </w:pPr>
      <w:r>
        <w:rPr>
          <w:rFonts w:hint="eastAsia" w:ascii="仿宋_GB2312"/>
          <w:color w:val="0C0C0C"/>
          <w:sz w:val="24"/>
        </w:rPr>
        <w:t>4.最终完成情况代码：以家庭或个人最后一次完成情况代码为最终完成情况代码。</w:t>
      </w:r>
      <w:r>
        <w:rPr>
          <w:rFonts w:hint="eastAsia" w:ascii="仿宋_GB2312"/>
          <w:color w:val="0C0C0C"/>
          <w:sz w:val="24"/>
        </w:rPr>
        <w:br w:type="page"/>
      </w:r>
      <w:r>
        <w:rPr>
          <w:rFonts w:hint="eastAsia" w:ascii="黑体" w:eastAsia="黑体" w:cs="仿宋_GB2312"/>
          <w:color w:val="0C0C0C"/>
          <w:sz w:val="30"/>
          <w:szCs w:val="30"/>
        </w:rPr>
        <w:t>附件</w:t>
      </w:r>
      <w:r>
        <w:rPr>
          <w:rFonts w:hint="eastAsia" w:ascii="黑体" w:eastAsia="黑体" w:cs="仿宋_GB2312"/>
          <w:color w:val="0C0C0C"/>
          <w:sz w:val="30"/>
          <w:szCs w:val="30"/>
          <w:lang w:val="en-US" w:eastAsia="zh-CN"/>
        </w:rPr>
        <w:t>9</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健康素养监测复核调查表</w:t>
      </w:r>
    </w:p>
    <w:p>
      <w:pPr>
        <w:spacing w:line="440" w:lineRule="exact"/>
        <w:jc w:val="left"/>
        <w:rPr>
          <w:rFonts w:hint="eastAsia" w:ascii="仿宋_GB2312"/>
          <w:b/>
          <w:color w:val="0C0C0C"/>
          <w:sz w:val="24"/>
        </w:rPr>
      </w:pPr>
      <w:r>
        <w:rPr>
          <w:rFonts w:hint="eastAsia" w:ascii="仿宋_GB2312"/>
          <w:b/>
          <w:color w:val="0C0C0C"/>
          <w:sz w:val="24"/>
        </w:rPr>
        <w:t>县（市、区）：                  乡镇（街道）：                        村（居委会）：</w:t>
      </w:r>
    </w:p>
    <w:p>
      <w:pPr>
        <w:spacing w:line="440" w:lineRule="exact"/>
        <w:jc w:val="left"/>
        <w:rPr>
          <w:rFonts w:hint="eastAsia" w:ascii="仿宋_GB2312"/>
          <w:b/>
          <w:color w:val="0C0C0C"/>
          <w:sz w:val="24"/>
        </w:rPr>
      </w:pPr>
      <w:r>
        <w:rPr>
          <w:rFonts w:hint="eastAsia" w:ascii="仿宋_GB2312"/>
          <w:b/>
          <w:color w:val="0C0C0C"/>
          <w:sz w:val="24"/>
        </w:rPr>
        <w:t>复核单位（盖章）：                  复核人：                            复核时间：      年   月   日-    月   日</w:t>
      </w:r>
    </w:p>
    <w:tbl>
      <w:tblPr>
        <w:tblStyle w:val="6"/>
        <w:tblpPr w:leftFromText="180" w:rightFromText="180" w:vertAnchor="text" w:horzAnchor="margin" w:tblpXSpec="center" w:tblpY="160"/>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275"/>
        <w:gridCol w:w="885"/>
        <w:gridCol w:w="564"/>
        <w:gridCol w:w="1134"/>
        <w:gridCol w:w="850"/>
        <w:gridCol w:w="993"/>
        <w:gridCol w:w="1103"/>
        <w:gridCol w:w="1275"/>
        <w:gridCol w:w="851"/>
        <w:gridCol w:w="567"/>
        <w:gridCol w:w="1134"/>
        <w:gridCol w:w="709"/>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75" w:type="dxa"/>
            <w:vMerge w:val="restart"/>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序号</w:t>
            </w:r>
          </w:p>
        </w:tc>
        <w:tc>
          <w:tcPr>
            <w:tcW w:w="993" w:type="dxa"/>
            <w:vMerge w:val="restart"/>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家庭户编码</w:t>
            </w:r>
          </w:p>
        </w:tc>
        <w:tc>
          <w:tcPr>
            <w:tcW w:w="5701" w:type="dxa"/>
            <w:gridSpan w:val="6"/>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原始问卷</w:t>
            </w:r>
          </w:p>
        </w:tc>
        <w:tc>
          <w:tcPr>
            <w:tcW w:w="6489" w:type="dxa"/>
            <w:gridSpan w:val="7"/>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复核</w:t>
            </w:r>
          </w:p>
        </w:tc>
        <w:tc>
          <w:tcPr>
            <w:tcW w:w="709" w:type="dxa"/>
            <w:vMerge w:val="restart"/>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Merge w:val="continue"/>
            <w:vAlign w:val="center"/>
          </w:tcPr>
          <w:p/>
        </w:tc>
        <w:tc>
          <w:tcPr>
            <w:tcW w:w="993" w:type="dxa"/>
            <w:vMerge w:val="continue"/>
            <w:vAlign w:val="center"/>
          </w:tcPr>
          <w:p/>
        </w:tc>
        <w:tc>
          <w:tcPr>
            <w:tcW w:w="12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15-69岁家庭常住成员数（人）</w:t>
            </w:r>
          </w:p>
        </w:tc>
        <w:tc>
          <w:tcPr>
            <w:tcW w:w="88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调查对象姓名</w:t>
            </w:r>
          </w:p>
        </w:tc>
        <w:tc>
          <w:tcPr>
            <w:tcW w:w="564"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性别</w:t>
            </w:r>
          </w:p>
        </w:tc>
        <w:tc>
          <w:tcPr>
            <w:tcW w:w="1134"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出生年月时间</w:t>
            </w:r>
          </w:p>
        </w:tc>
        <w:tc>
          <w:tcPr>
            <w:tcW w:w="850"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文化</w:t>
            </w:r>
          </w:p>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程度</w:t>
            </w:r>
          </w:p>
        </w:tc>
        <w:tc>
          <w:tcPr>
            <w:tcW w:w="993"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职业</w:t>
            </w:r>
          </w:p>
        </w:tc>
        <w:tc>
          <w:tcPr>
            <w:tcW w:w="1103"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是否调查对象本人答题</w:t>
            </w:r>
          </w:p>
        </w:tc>
        <w:tc>
          <w:tcPr>
            <w:tcW w:w="12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15-69岁家庭常住成员数（人）</w:t>
            </w:r>
          </w:p>
        </w:tc>
        <w:tc>
          <w:tcPr>
            <w:tcW w:w="851"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调查对象姓名</w:t>
            </w:r>
          </w:p>
        </w:tc>
        <w:tc>
          <w:tcPr>
            <w:tcW w:w="567"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性别</w:t>
            </w:r>
          </w:p>
        </w:tc>
        <w:tc>
          <w:tcPr>
            <w:tcW w:w="1134"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出生年月时间</w:t>
            </w:r>
          </w:p>
        </w:tc>
        <w:tc>
          <w:tcPr>
            <w:tcW w:w="709"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文化</w:t>
            </w:r>
          </w:p>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程度</w:t>
            </w:r>
          </w:p>
        </w:tc>
        <w:tc>
          <w:tcPr>
            <w:tcW w:w="850"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职业</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1</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spacing w:line="240" w:lineRule="exact"/>
              <w:rPr>
                <w:rFonts w:hint="eastAsia" w:ascii="仿宋_GB2312"/>
                <w:color w:val="0C0C0C"/>
                <w:szCs w:val="21"/>
              </w:rPr>
            </w:pPr>
          </w:p>
        </w:tc>
        <w:tc>
          <w:tcPr>
            <w:tcW w:w="885" w:type="dxa"/>
            <w:vAlign w:val="center"/>
          </w:tcPr>
          <w:p>
            <w:pPr>
              <w:tabs>
                <w:tab w:val="center" w:pos="4153"/>
                <w:tab w:val="right" w:pos="8306"/>
              </w:tabs>
              <w:snapToGrid w:val="0"/>
              <w:spacing w:line="240" w:lineRule="exact"/>
              <w:rPr>
                <w:rFonts w:hint="eastAsia" w:ascii="仿宋_GB2312"/>
                <w:color w:val="0C0C0C"/>
                <w:szCs w:val="21"/>
              </w:rPr>
            </w:pPr>
          </w:p>
        </w:tc>
        <w:tc>
          <w:tcPr>
            <w:tcW w:w="564" w:type="dxa"/>
            <w:vAlign w:val="center"/>
          </w:tcPr>
          <w:p>
            <w:pPr>
              <w:tabs>
                <w:tab w:val="center" w:pos="4153"/>
                <w:tab w:val="right" w:pos="8306"/>
              </w:tabs>
              <w:snapToGrid w:val="0"/>
              <w:spacing w:line="240" w:lineRule="exact"/>
              <w:rPr>
                <w:rFonts w:hint="eastAsia" w:ascii="仿宋_GB2312"/>
                <w:color w:val="0C0C0C"/>
                <w:szCs w:val="21"/>
              </w:rPr>
            </w:pPr>
          </w:p>
        </w:tc>
        <w:tc>
          <w:tcPr>
            <w:tcW w:w="1134" w:type="dxa"/>
            <w:vAlign w:val="center"/>
          </w:tcPr>
          <w:p>
            <w:pPr>
              <w:tabs>
                <w:tab w:val="center" w:pos="4153"/>
                <w:tab w:val="right" w:pos="8306"/>
              </w:tabs>
              <w:snapToGrid w:val="0"/>
              <w:spacing w:line="240" w:lineRule="exact"/>
              <w:rPr>
                <w:rFonts w:hint="eastAsia" w:ascii="仿宋_GB2312"/>
                <w:color w:val="0C0C0C"/>
                <w:szCs w:val="21"/>
              </w:rPr>
            </w:pPr>
          </w:p>
        </w:tc>
        <w:tc>
          <w:tcPr>
            <w:tcW w:w="850" w:type="dxa"/>
            <w:vAlign w:val="center"/>
          </w:tcPr>
          <w:p>
            <w:pPr>
              <w:tabs>
                <w:tab w:val="center" w:pos="4153"/>
                <w:tab w:val="right" w:pos="8306"/>
              </w:tabs>
              <w:snapToGrid w:val="0"/>
              <w:spacing w:line="240" w:lineRule="exact"/>
              <w:rPr>
                <w:rFonts w:hint="eastAsia" w:ascii="仿宋_GB2312"/>
                <w:color w:val="0C0C0C"/>
                <w:szCs w:val="21"/>
              </w:rPr>
            </w:pPr>
          </w:p>
        </w:tc>
        <w:tc>
          <w:tcPr>
            <w:tcW w:w="993" w:type="dxa"/>
            <w:vAlign w:val="center"/>
          </w:tcPr>
          <w:p>
            <w:pPr>
              <w:tabs>
                <w:tab w:val="center" w:pos="4153"/>
                <w:tab w:val="right" w:pos="8306"/>
              </w:tabs>
              <w:snapToGrid w:val="0"/>
              <w:spacing w:line="240" w:lineRule="exact"/>
              <w:rPr>
                <w:rFonts w:hint="eastAsia" w:ascii="仿宋_GB2312"/>
                <w:color w:val="0C0C0C"/>
                <w:szCs w:val="21"/>
              </w:rPr>
            </w:pPr>
          </w:p>
        </w:tc>
        <w:tc>
          <w:tcPr>
            <w:tcW w:w="1103" w:type="dxa"/>
            <w:vAlign w:val="center"/>
          </w:tcPr>
          <w:p>
            <w:pPr>
              <w:tabs>
                <w:tab w:val="center" w:pos="4153"/>
                <w:tab w:val="right" w:pos="8306"/>
              </w:tabs>
              <w:snapToGrid w:val="0"/>
              <w:spacing w:line="240" w:lineRule="exact"/>
              <w:rPr>
                <w:rFonts w:hint="eastAsia" w:ascii="仿宋_GB2312"/>
                <w:color w:val="0C0C0C"/>
                <w:szCs w:val="21"/>
              </w:rPr>
            </w:pPr>
          </w:p>
        </w:tc>
        <w:tc>
          <w:tcPr>
            <w:tcW w:w="1275" w:type="dxa"/>
            <w:vAlign w:val="center"/>
          </w:tcPr>
          <w:p>
            <w:pPr>
              <w:tabs>
                <w:tab w:val="center" w:pos="4153"/>
                <w:tab w:val="right" w:pos="8306"/>
              </w:tabs>
              <w:snapToGrid w:val="0"/>
              <w:spacing w:line="240" w:lineRule="exact"/>
              <w:rPr>
                <w:rFonts w:hint="eastAsia" w:ascii="仿宋_GB2312"/>
                <w:color w:val="0C0C0C"/>
                <w:szCs w:val="21"/>
              </w:rPr>
            </w:pPr>
          </w:p>
        </w:tc>
        <w:tc>
          <w:tcPr>
            <w:tcW w:w="851" w:type="dxa"/>
            <w:vAlign w:val="center"/>
          </w:tcPr>
          <w:p>
            <w:pPr>
              <w:tabs>
                <w:tab w:val="center" w:pos="4153"/>
                <w:tab w:val="right" w:pos="8306"/>
              </w:tabs>
              <w:snapToGrid w:val="0"/>
              <w:spacing w:line="240" w:lineRule="exact"/>
              <w:rPr>
                <w:rFonts w:hint="eastAsia" w:ascii="仿宋_GB2312"/>
                <w:color w:val="0C0C0C"/>
                <w:szCs w:val="21"/>
              </w:rPr>
            </w:pPr>
          </w:p>
        </w:tc>
        <w:tc>
          <w:tcPr>
            <w:tcW w:w="567" w:type="dxa"/>
            <w:vAlign w:val="center"/>
          </w:tcPr>
          <w:p>
            <w:pPr>
              <w:tabs>
                <w:tab w:val="center" w:pos="4153"/>
                <w:tab w:val="right" w:pos="8306"/>
              </w:tabs>
              <w:snapToGrid w:val="0"/>
              <w:spacing w:line="240" w:lineRule="exact"/>
              <w:rPr>
                <w:rFonts w:hint="eastAsia" w:ascii="仿宋_GB2312"/>
                <w:color w:val="0C0C0C"/>
                <w:szCs w:val="21"/>
              </w:rPr>
            </w:pPr>
          </w:p>
        </w:tc>
        <w:tc>
          <w:tcPr>
            <w:tcW w:w="1134" w:type="dxa"/>
            <w:vAlign w:val="center"/>
          </w:tcPr>
          <w:p>
            <w:pPr>
              <w:tabs>
                <w:tab w:val="center" w:pos="4153"/>
                <w:tab w:val="right" w:pos="8306"/>
              </w:tabs>
              <w:snapToGrid w:val="0"/>
              <w:spacing w:line="240" w:lineRule="exact"/>
              <w:rPr>
                <w:rFonts w:hint="eastAsia" w:ascii="仿宋_GB2312"/>
                <w:color w:val="0C0C0C"/>
                <w:szCs w:val="21"/>
              </w:rPr>
            </w:pPr>
          </w:p>
        </w:tc>
        <w:tc>
          <w:tcPr>
            <w:tcW w:w="709" w:type="dxa"/>
            <w:vAlign w:val="center"/>
          </w:tcPr>
          <w:p>
            <w:pPr>
              <w:tabs>
                <w:tab w:val="center" w:pos="4153"/>
                <w:tab w:val="right" w:pos="8306"/>
              </w:tabs>
              <w:snapToGrid w:val="0"/>
              <w:spacing w:line="240" w:lineRule="exact"/>
              <w:rPr>
                <w:rFonts w:hint="eastAsia" w:ascii="仿宋_GB2312"/>
                <w:color w:val="0C0C0C"/>
                <w:szCs w:val="21"/>
              </w:rPr>
            </w:pPr>
          </w:p>
        </w:tc>
        <w:tc>
          <w:tcPr>
            <w:tcW w:w="850" w:type="dxa"/>
            <w:vAlign w:val="center"/>
          </w:tcPr>
          <w:p>
            <w:pPr>
              <w:tabs>
                <w:tab w:val="center" w:pos="4153"/>
                <w:tab w:val="right" w:pos="8306"/>
              </w:tabs>
              <w:snapToGrid w:val="0"/>
              <w:spacing w:line="240" w:lineRule="exact"/>
              <w:rPr>
                <w:rFonts w:hint="eastAsia" w:ascii="仿宋_GB2312"/>
                <w:color w:val="0C0C0C"/>
                <w:szCs w:val="21"/>
              </w:rPr>
            </w:pPr>
          </w:p>
        </w:tc>
        <w:tc>
          <w:tcPr>
            <w:tcW w:w="709" w:type="dxa"/>
            <w:vAlign w:val="center"/>
          </w:tcPr>
          <w:p>
            <w:pPr>
              <w:tabs>
                <w:tab w:val="center" w:pos="4153"/>
                <w:tab w:val="right" w:pos="8306"/>
              </w:tabs>
              <w:snapToGrid w:val="0"/>
              <w:spacing w:line="240" w:lineRule="exact"/>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2</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spacing w:line="240" w:lineRule="exact"/>
              <w:jc w:val="center"/>
              <w:rPr>
                <w:rFonts w:hint="eastAsia" w:ascii="黑体" w:eastAsia="黑体"/>
                <w:color w:val="0C0C0C"/>
                <w:szCs w:val="21"/>
              </w:rPr>
            </w:pPr>
          </w:p>
        </w:tc>
        <w:tc>
          <w:tcPr>
            <w:tcW w:w="885" w:type="dxa"/>
            <w:vAlign w:val="center"/>
          </w:tcPr>
          <w:p>
            <w:pPr>
              <w:tabs>
                <w:tab w:val="center" w:pos="4153"/>
                <w:tab w:val="right" w:pos="8306"/>
              </w:tabs>
              <w:snapToGrid w:val="0"/>
              <w:spacing w:line="240" w:lineRule="exact"/>
              <w:jc w:val="center"/>
              <w:rPr>
                <w:rFonts w:hint="eastAsia" w:ascii="黑体" w:eastAsia="黑体"/>
                <w:color w:val="0C0C0C"/>
                <w:szCs w:val="21"/>
              </w:rPr>
            </w:pPr>
          </w:p>
        </w:tc>
        <w:tc>
          <w:tcPr>
            <w:tcW w:w="564" w:type="dxa"/>
            <w:vAlign w:val="center"/>
          </w:tcPr>
          <w:p>
            <w:pPr>
              <w:tabs>
                <w:tab w:val="center" w:pos="4153"/>
                <w:tab w:val="right" w:pos="8306"/>
              </w:tabs>
              <w:snapToGrid w:val="0"/>
              <w:spacing w:line="240" w:lineRule="exact"/>
              <w:rPr>
                <w:rFonts w:hint="eastAsia" w:ascii="仿宋_GB2312"/>
                <w:color w:val="0C0C0C"/>
                <w:szCs w:val="21"/>
              </w:rPr>
            </w:pPr>
          </w:p>
        </w:tc>
        <w:tc>
          <w:tcPr>
            <w:tcW w:w="1134" w:type="dxa"/>
            <w:vAlign w:val="center"/>
          </w:tcPr>
          <w:p>
            <w:pPr>
              <w:tabs>
                <w:tab w:val="center" w:pos="4153"/>
                <w:tab w:val="right" w:pos="8306"/>
              </w:tabs>
              <w:snapToGrid w:val="0"/>
              <w:spacing w:line="240" w:lineRule="exact"/>
              <w:rPr>
                <w:rFonts w:hint="eastAsia" w:ascii="仿宋_GB2312"/>
                <w:color w:val="0C0C0C"/>
                <w:szCs w:val="21"/>
              </w:rPr>
            </w:pPr>
          </w:p>
        </w:tc>
        <w:tc>
          <w:tcPr>
            <w:tcW w:w="850" w:type="dxa"/>
            <w:vAlign w:val="center"/>
          </w:tcPr>
          <w:p>
            <w:pPr>
              <w:tabs>
                <w:tab w:val="center" w:pos="4153"/>
                <w:tab w:val="right" w:pos="8306"/>
              </w:tabs>
              <w:snapToGrid w:val="0"/>
              <w:spacing w:line="240" w:lineRule="exact"/>
              <w:rPr>
                <w:rFonts w:hint="eastAsia" w:ascii="仿宋_GB2312"/>
                <w:color w:val="0C0C0C"/>
                <w:szCs w:val="21"/>
              </w:rPr>
            </w:pPr>
          </w:p>
        </w:tc>
        <w:tc>
          <w:tcPr>
            <w:tcW w:w="993" w:type="dxa"/>
            <w:vAlign w:val="center"/>
          </w:tcPr>
          <w:p>
            <w:pPr>
              <w:tabs>
                <w:tab w:val="center" w:pos="4153"/>
                <w:tab w:val="right" w:pos="8306"/>
              </w:tabs>
              <w:snapToGrid w:val="0"/>
              <w:spacing w:line="240" w:lineRule="exact"/>
              <w:rPr>
                <w:rFonts w:hint="eastAsia" w:ascii="仿宋_GB2312"/>
                <w:color w:val="0C0C0C"/>
                <w:szCs w:val="21"/>
              </w:rPr>
            </w:pPr>
          </w:p>
        </w:tc>
        <w:tc>
          <w:tcPr>
            <w:tcW w:w="1103" w:type="dxa"/>
            <w:vAlign w:val="center"/>
          </w:tcPr>
          <w:p>
            <w:pPr>
              <w:tabs>
                <w:tab w:val="center" w:pos="4153"/>
                <w:tab w:val="right" w:pos="8306"/>
              </w:tabs>
              <w:snapToGrid w:val="0"/>
              <w:spacing w:line="240" w:lineRule="exact"/>
              <w:rPr>
                <w:rFonts w:hint="eastAsia" w:ascii="仿宋_GB2312"/>
                <w:color w:val="0C0C0C"/>
                <w:szCs w:val="21"/>
              </w:rPr>
            </w:pPr>
          </w:p>
        </w:tc>
        <w:tc>
          <w:tcPr>
            <w:tcW w:w="1275" w:type="dxa"/>
            <w:vAlign w:val="center"/>
          </w:tcPr>
          <w:p>
            <w:pPr>
              <w:tabs>
                <w:tab w:val="center" w:pos="4153"/>
                <w:tab w:val="right" w:pos="8306"/>
              </w:tabs>
              <w:snapToGrid w:val="0"/>
              <w:spacing w:line="240" w:lineRule="exact"/>
              <w:rPr>
                <w:rFonts w:hint="eastAsia" w:ascii="仿宋_GB2312"/>
                <w:color w:val="0C0C0C"/>
                <w:szCs w:val="21"/>
              </w:rPr>
            </w:pPr>
          </w:p>
        </w:tc>
        <w:tc>
          <w:tcPr>
            <w:tcW w:w="851" w:type="dxa"/>
            <w:vAlign w:val="center"/>
          </w:tcPr>
          <w:p>
            <w:pPr>
              <w:tabs>
                <w:tab w:val="center" w:pos="4153"/>
                <w:tab w:val="right" w:pos="8306"/>
              </w:tabs>
              <w:snapToGrid w:val="0"/>
              <w:spacing w:line="240" w:lineRule="exact"/>
              <w:rPr>
                <w:rFonts w:hint="eastAsia" w:ascii="仿宋_GB2312"/>
                <w:color w:val="0C0C0C"/>
                <w:szCs w:val="21"/>
              </w:rPr>
            </w:pPr>
          </w:p>
        </w:tc>
        <w:tc>
          <w:tcPr>
            <w:tcW w:w="567" w:type="dxa"/>
            <w:vAlign w:val="center"/>
          </w:tcPr>
          <w:p>
            <w:pPr>
              <w:tabs>
                <w:tab w:val="center" w:pos="4153"/>
                <w:tab w:val="right" w:pos="8306"/>
              </w:tabs>
              <w:snapToGrid w:val="0"/>
              <w:spacing w:line="240" w:lineRule="exact"/>
              <w:rPr>
                <w:rFonts w:hint="eastAsia" w:ascii="仿宋_GB2312"/>
                <w:color w:val="0C0C0C"/>
                <w:szCs w:val="21"/>
              </w:rPr>
            </w:pPr>
          </w:p>
        </w:tc>
        <w:tc>
          <w:tcPr>
            <w:tcW w:w="1134" w:type="dxa"/>
            <w:vAlign w:val="center"/>
          </w:tcPr>
          <w:p>
            <w:pPr>
              <w:tabs>
                <w:tab w:val="center" w:pos="4153"/>
                <w:tab w:val="right" w:pos="8306"/>
              </w:tabs>
              <w:snapToGrid w:val="0"/>
              <w:spacing w:line="240" w:lineRule="exact"/>
              <w:rPr>
                <w:rFonts w:hint="eastAsia" w:ascii="仿宋_GB2312"/>
                <w:color w:val="0C0C0C"/>
                <w:szCs w:val="21"/>
              </w:rPr>
            </w:pPr>
          </w:p>
        </w:tc>
        <w:tc>
          <w:tcPr>
            <w:tcW w:w="709" w:type="dxa"/>
            <w:vAlign w:val="center"/>
          </w:tcPr>
          <w:p>
            <w:pPr>
              <w:tabs>
                <w:tab w:val="center" w:pos="4153"/>
                <w:tab w:val="right" w:pos="8306"/>
              </w:tabs>
              <w:snapToGrid w:val="0"/>
              <w:spacing w:line="240" w:lineRule="exact"/>
              <w:rPr>
                <w:rFonts w:hint="eastAsia" w:ascii="仿宋_GB2312"/>
                <w:color w:val="0C0C0C"/>
                <w:szCs w:val="21"/>
              </w:rPr>
            </w:pPr>
          </w:p>
        </w:tc>
        <w:tc>
          <w:tcPr>
            <w:tcW w:w="850" w:type="dxa"/>
            <w:vAlign w:val="center"/>
          </w:tcPr>
          <w:p>
            <w:pPr>
              <w:tabs>
                <w:tab w:val="center" w:pos="4153"/>
                <w:tab w:val="right" w:pos="8306"/>
              </w:tabs>
              <w:snapToGrid w:val="0"/>
              <w:spacing w:line="240" w:lineRule="exact"/>
              <w:rPr>
                <w:rFonts w:hint="eastAsia" w:ascii="仿宋_GB2312"/>
                <w:color w:val="0C0C0C"/>
                <w:szCs w:val="21"/>
              </w:rPr>
            </w:pPr>
          </w:p>
        </w:tc>
        <w:tc>
          <w:tcPr>
            <w:tcW w:w="709" w:type="dxa"/>
            <w:vAlign w:val="center"/>
          </w:tcPr>
          <w:p>
            <w:pPr>
              <w:tabs>
                <w:tab w:val="center" w:pos="4153"/>
                <w:tab w:val="right" w:pos="8306"/>
              </w:tabs>
              <w:snapToGrid w:val="0"/>
              <w:spacing w:line="240" w:lineRule="exact"/>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3</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jc w:val="center"/>
              <w:rPr>
                <w:rFonts w:hint="eastAsia" w:ascii="黑体" w:eastAsia="黑体"/>
                <w:color w:val="0C0C0C"/>
                <w:szCs w:val="21"/>
              </w:rPr>
            </w:pPr>
          </w:p>
        </w:tc>
        <w:tc>
          <w:tcPr>
            <w:tcW w:w="885" w:type="dxa"/>
            <w:vAlign w:val="center"/>
          </w:tcPr>
          <w:p>
            <w:pPr>
              <w:tabs>
                <w:tab w:val="center" w:pos="4153"/>
                <w:tab w:val="right" w:pos="8306"/>
              </w:tabs>
              <w:snapToGrid w:val="0"/>
              <w:jc w:val="center"/>
              <w:rPr>
                <w:rFonts w:hint="eastAsia" w:ascii="黑体" w:eastAsia="黑体"/>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4</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5</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6</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7</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8</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9</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bl>
    <w:p>
      <w:pPr>
        <w:spacing w:line="320" w:lineRule="exact"/>
        <w:rPr>
          <w:rFonts w:hint="eastAsia" w:ascii="仿宋_GB2312"/>
          <w:color w:val="0C0C0C"/>
          <w:sz w:val="24"/>
        </w:rPr>
      </w:pPr>
      <w:r>
        <w:rPr>
          <w:rFonts w:hint="eastAsia" w:ascii="仿宋_GB2312"/>
          <w:color w:val="0C0C0C"/>
          <w:sz w:val="24"/>
        </w:rPr>
        <w:t>总体建议（    ）：</w:t>
      </w:r>
      <w:r>
        <w:rPr>
          <w:rFonts w:hint="eastAsia" w:ascii="仿宋_GB2312"/>
          <w:color w:val="0C0C0C"/>
          <w:sz w:val="24"/>
        </w:rPr>
        <w:fldChar w:fldCharType="begin"/>
      </w:r>
      <w:r>
        <w:rPr>
          <w:rFonts w:hint="eastAsia" w:ascii="仿宋_GB2312"/>
          <w:color w:val="0C0C0C"/>
          <w:sz w:val="24"/>
        </w:rPr>
        <w:instrText xml:space="preserve">= 1 \* GB3</w:instrText>
      </w:r>
      <w:r>
        <w:rPr>
          <w:rFonts w:hint="eastAsia" w:ascii="仿宋_GB2312"/>
          <w:color w:val="0C0C0C"/>
          <w:sz w:val="24"/>
        </w:rPr>
        <w:fldChar w:fldCharType="separate"/>
      </w:r>
      <w:r>
        <w:rPr>
          <w:rFonts w:hint="eastAsia" w:ascii="仿宋_GB2312"/>
          <w:color w:val="0C0C0C"/>
          <w:sz w:val="24"/>
        </w:rPr>
        <w:t>①</w:t>
      </w:r>
      <w:r>
        <w:rPr>
          <w:rFonts w:hint="eastAsia" w:ascii="仿宋_GB2312"/>
          <w:color w:val="0C0C0C"/>
          <w:sz w:val="24"/>
        </w:rPr>
        <w:fldChar w:fldCharType="end"/>
      </w:r>
      <w:r>
        <w:rPr>
          <w:rFonts w:hint="eastAsia" w:ascii="仿宋_GB2312"/>
          <w:color w:val="0C0C0C"/>
          <w:sz w:val="24"/>
        </w:rPr>
        <w:t xml:space="preserve">合格     </w:t>
      </w:r>
      <w:r>
        <w:rPr>
          <w:rFonts w:hint="eastAsia" w:ascii="仿宋_GB2312"/>
          <w:color w:val="0C0C0C"/>
          <w:sz w:val="24"/>
        </w:rPr>
        <w:fldChar w:fldCharType="begin"/>
      </w:r>
      <w:r>
        <w:rPr>
          <w:rFonts w:hint="eastAsia" w:ascii="仿宋_GB2312"/>
          <w:color w:val="0C0C0C"/>
          <w:sz w:val="24"/>
        </w:rPr>
        <w:instrText xml:space="preserve">= 2 \* GB3</w:instrText>
      </w:r>
      <w:r>
        <w:rPr>
          <w:rFonts w:hint="eastAsia" w:ascii="仿宋_GB2312"/>
          <w:color w:val="0C0C0C"/>
          <w:sz w:val="24"/>
        </w:rPr>
        <w:fldChar w:fldCharType="separate"/>
      </w:r>
      <w:r>
        <w:rPr>
          <w:rFonts w:hint="eastAsia" w:ascii="仿宋_GB2312"/>
          <w:color w:val="0C0C0C"/>
          <w:sz w:val="24"/>
        </w:rPr>
        <w:t>②</w:t>
      </w:r>
      <w:r>
        <w:rPr>
          <w:rFonts w:hint="eastAsia" w:ascii="仿宋_GB2312"/>
          <w:color w:val="0C0C0C"/>
          <w:sz w:val="24"/>
        </w:rPr>
        <w:fldChar w:fldCharType="end"/>
      </w:r>
      <w:r>
        <w:rPr>
          <w:rFonts w:hint="eastAsia" w:ascii="仿宋_GB2312"/>
          <w:color w:val="0C0C0C"/>
          <w:sz w:val="24"/>
        </w:rPr>
        <w:t>不合格（复核7项指标中有1项与原始问卷、调查情况不符则视为不一致。复核县（市、区）有3份及以上问卷不一致则视为现场调查全部不合格）</w:t>
      </w:r>
    </w:p>
    <w:p>
      <w:pPr>
        <w:spacing w:line="320" w:lineRule="exact"/>
        <w:rPr>
          <w:rFonts w:hint="eastAsia" w:ascii="仿宋_GB2312"/>
          <w:color w:val="0C0C0C"/>
          <w:sz w:val="24"/>
        </w:rPr>
      </w:pPr>
    </w:p>
    <w:p>
      <w:pPr>
        <w:spacing w:line="320" w:lineRule="exact"/>
        <w:rPr>
          <w:rFonts w:hint="eastAsia" w:ascii="仿宋_GB2312"/>
          <w:color w:val="0C0C0C"/>
          <w:sz w:val="24"/>
        </w:rPr>
      </w:pPr>
      <w:r>
        <w:rPr>
          <w:rFonts w:hint="eastAsia" w:ascii="仿宋_GB2312"/>
          <w:color w:val="0C0C0C"/>
          <w:sz w:val="24"/>
        </w:rPr>
        <w:t>注：每个调查乡镇（街道）至少抽查</w:t>
      </w:r>
      <w:r>
        <w:rPr>
          <w:rFonts w:hint="eastAsia" w:ascii="仿宋_GB2312"/>
          <w:color w:val="0C0C0C"/>
          <w:sz w:val="24"/>
          <w:lang w:val="en-US" w:eastAsia="zh-CN"/>
        </w:rPr>
        <w:t>6</w:t>
      </w:r>
      <w:r>
        <w:rPr>
          <w:rFonts w:hint="eastAsia" w:ascii="仿宋_GB2312"/>
          <w:color w:val="0C0C0C"/>
          <w:sz w:val="24"/>
        </w:rPr>
        <w:t>份调查问卷，</w:t>
      </w:r>
      <w:r>
        <w:rPr>
          <w:rFonts w:hint="eastAsia" w:ascii="仿宋_GB2312"/>
          <w:color w:val="0C0C0C"/>
          <w:sz w:val="24"/>
          <w:lang w:val="en-US" w:eastAsia="zh-CN"/>
        </w:rPr>
        <w:t>6</w:t>
      </w:r>
      <w:r>
        <w:rPr>
          <w:rFonts w:hint="eastAsia" w:ascii="仿宋_GB2312"/>
          <w:color w:val="0C0C0C"/>
          <w:sz w:val="24"/>
        </w:rPr>
        <w:t>个乡镇（街道）共抽查不少于</w:t>
      </w:r>
      <w:r>
        <w:rPr>
          <w:rFonts w:hint="eastAsia" w:ascii="仿宋_GB2312"/>
          <w:color w:val="0C0C0C"/>
          <w:sz w:val="24"/>
          <w:lang w:val="en-US" w:eastAsia="zh-CN"/>
        </w:rPr>
        <w:t>38</w:t>
      </w:r>
      <w:r>
        <w:rPr>
          <w:rFonts w:hint="eastAsia" w:ascii="仿宋_GB2312"/>
          <w:color w:val="0C0C0C"/>
          <w:sz w:val="24"/>
        </w:rPr>
        <w:t>份调查问卷。如</w:t>
      </w:r>
      <w:r>
        <w:rPr>
          <w:rFonts w:hint="eastAsia" w:ascii="仿宋_GB2312"/>
          <w:color w:val="0C0C0C"/>
          <w:sz w:val="24"/>
          <w:lang w:val="en-US" w:eastAsia="zh-CN"/>
        </w:rPr>
        <w:t>38</w:t>
      </w:r>
      <w:r>
        <w:rPr>
          <w:rFonts w:hint="eastAsia" w:ascii="仿宋_GB2312"/>
          <w:color w:val="0C0C0C"/>
          <w:sz w:val="24"/>
        </w:rPr>
        <w:t>份调查问卷中有</w:t>
      </w:r>
      <w:r>
        <w:rPr>
          <w:rFonts w:hint="eastAsia" w:ascii="仿宋_GB2312"/>
          <w:color w:val="0C0C0C"/>
          <w:sz w:val="24"/>
          <w:lang w:val="en-US" w:eastAsia="zh-CN"/>
        </w:rPr>
        <w:t>8</w:t>
      </w:r>
      <w:r>
        <w:rPr>
          <w:rFonts w:hint="eastAsia" w:ascii="仿宋_GB2312"/>
          <w:color w:val="0C0C0C"/>
          <w:sz w:val="24"/>
        </w:rPr>
        <w:t>份及以上存在问题的，则视为不合格。</w:t>
      </w:r>
    </w:p>
    <w:p>
      <w:pPr>
        <w:adjustRightInd w:val="0"/>
        <w:snapToGrid w:val="0"/>
        <w:spacing w:line="320" w:lineRule="exact"/>
        <w:rPr>
          <w:rFonts w:hint="eastAsia" w:ascii="仿宋_GB2312" w:cs="仿宋_GB2312"/>
          <w:color w:val="0C0C0C"/>
          <w:szCs w:val="32"/>
        </w:rPr>
        <w:sectPr>
          <w:pgSz w:w="16840" w:h="11907" w:orient="landscape"/>
          <w:pgMar w:top="1701" w:right="1418" w:bottom="1417" w:left="1418" w:header="851" w:footer="992" w:gutter="0"/>
          <w:pgNumType w:fmt="numberInDash"/>
          <w:cols w:space="720" w:num="1"/>
          <w:rtlGutter w:val="0"/>
          <w:docGrid w:type="linesAndChars" w:linePitch="312" w:charSpace="0"/>
        </w:sectPr>
      </w:pPr>
    </w:p>
    <w:p>
      <w:pPr>
        <w:adjustRightInd w:val="0"/>
        <w:snapToGrid w:val="0"/>
        <w:spacing w:line="520" w:lineRule="exact"/>
        <w:rPr>
          <w:rFonts w:hint="eastAsia" w:ascii="黑体" w:eastAsia="黑体" w:cs="仿宋_GB2312"/>
          <w:color w:val="0C0C0C"/>
          <w:sz w:val="30"/>
          <w:szCs w:val="30"/>
          <w:lang w:val="en-US" w:eastAsia="zh-CN"/>
        </w:rPr>
      </w:pPr>
      <w:r>
        <w:rPr>
          <w:rFonts w:hint="eastAsia" w:ascii="黑体" w:eastAsia="黑体" w:cs="仿宋_GB2312"/>
          <w:color w:val="0C0C0C"/>
          <w:sz w:val="30"/>
          <w:szCs w:val="30"/>
        </w:rPr>
        <w:t>附件1</w:t>
      </w:r>
      <w:r>
        <w:rPr>
          <w:rFonts w:hint="eastAsia" w:ascii="黑体" w:eastAsia="黑体" w:cs="仿宋_GB2312"/>
          <w:color w:val="0C0C0C"/>
          <w:sz w:val="30"/>
          <w:szCs w:val="30"/>
          <w:lang w:val="en-US" w:eastAsia="zh-CN"/>
        </w:rPr>
        <w:t>0</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健康素养监测完成情况报告</w:t>
      </w:r>
    </w:p>
    <w:p>
      <w:pPr>
        <w:spacing w:line="560" w:lineRule="exact"/>
        <w:jc w:val="center"/>
        <w:rPr>
          <w:rFonts w:hint="eastAsia" w:ascii="仿宋_GB2312"/>
          <w:color w:val="0C0C0C"/>
          <w:szCs w:val="32"/>
        </w:rPr>
      </w:pPr>
      <w:r>
        <w:rPr>
          <w:rFonts w:hint="eastAsia" w:ascii="仿宋_GB2312"/>
          <w:color w:val="0C0C0C"/>
          <w:szCs w:val="32"/>
        </w:rPr>
        <w:t>（参考格式）</w:t>
      </w:r>
    </w:p>
    <w:p>
      <w:pPr>
        <w:spacing w:line="560" w:lineRule="exact"/>
        <w:jc w:val="center"/>
        <w:rPr>
          <w:rFonts w:hint="eastAsia" w:ascii="仿宋_GB2312"/>
          <w:color w:val="0C0C0C"/>
          <w:szCs w:val="32"/>
        </w:rPr>
      </w:pPr>
    </w:p>
    <w:p>
      <w:pPr>
        <w:spacing w:line="560" w:lineRule="exact"/>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自治区/市疾病预防控制中心：</w:t>
      </w:r>
    </w:p>
    <w:p>
      <w:pPr>
        <w:spacing w:line="560" w:lineRule="exact"/>
        <w:ind w:firstLine="600" w:firstLineChars="200"/>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我市/县（市、区）已经完成……年社区居民和在校学生健康素养监测现场调查工作，现上报各街道（乡镇）调查问卷共×××份，学生问卷×××份，请审核。</w:t>
      </w:r>
    </w:p>
    <w:p>
      <w:pPr>
        <w:spacing w:line="560" w:lineRule="exact"/>
        <w:ind w:firstLine="600" w:firstLineChars="200"/>
        <w:rPr>
          <w:rFonts w:hint="eastAsia" w:ascii="仿宋_GB2312" w:hAnsi="仿宋_GB2312" w:eastAsia="仿宋_GB2312" w:cs="仿宋_GB2312"/>
          <w:color w:val="0C0C0C"/>
          <w:sz w:val="30"/>
          <w:szCs w:val="30"/>
        </w:rPr>
      </w:pPr>
    </w:p>
    <w:p>
      <w:pPr>
        <w:spacing w:line="560" w:lineRule="exact"/>
        <w:ind w:firstLine="600" w:firstLineChars="200"/>
        <w:rPr>
          <w:rFonts w:hint="eastAsia" w:ascii="仿宋_GB2312" w:hAnsi="仿宋_GB2312" w:eastAsia="仿宋_GB2312" w:cs="仿宋_GB2312"/>
          <w:color w:val="0C0C0C"/>
          <w:spacing w:val="-8"/>
          <w:sz w:val="30"/>
          <w:szCs w:val="30"/>
        </w:rPr>
      </w:pPr>
      <w:r>
        <w:rPr>
          <w:rFonts w:hint="eastAsia" w:ascii="仿宋_GB2312" w:hAnsi="仿宋_GB2312" w:eastAsia="仿宋_GB2312" w:cs="仿宋_GB2312"/>
          <w:color w:val="0C0C0C"/>
          <w:sz w:val="30"/>
          <w:szCs w:val="30"/>
        </w:rPr>
        <w:t>附件：1.</w:t>
      </w:r>
      <w:r>
        <w:rPr>
          <w:rFonts w:hint="eastAsia" w:ascii="仿宋_GB2312" w:hAnsi="仿宋_GB2312" w:eastAsia="仿宋_GB2312" w:cs="仿宋_GB2312"/>
          <w:color w:val="0C0C0C"/>
          <w:spacing w:val="-8"/>
          <w:sz w:val="30"/>
          <w:szCs w:val="30"/>
        </w:rPr>
        <w:t>居民健康素养监测完成情况汇总表</w:t>
      </w:r>
    </w:p>
    <w:p>
      <w:pPr>
        <w:spacing w:line="560" w:lineRule="exact"/>
        <w:ind w:firstLine="1500" w:firstLineChars="500"/>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2.居民健康素养调查完成情况登记表</w:t>
      </w:r>
    </w:p>
    <w:p>
      <w:pPr>
        <w:spacing w:line="560" w:lineRule="exact"/>
        <w:ind w:firstLine="1500" w:firstLineChars="500"/>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lang w:val="en-US" w:eastAsia="zh-CN"/>
        </w:rPr>
        <w:t>3</w:t>
      </w:r>
      <w:r>
        <w:rPr>
          <w:rFonts w:hint="eastAsia" w:ascii="仿宋_GB2312" w:hAnsi="仿宋_GB2312" w:eastAsia="仿宋_GB2312" w:cs="仿宋_GB2312"/>
          <w:color w:val="0C0C0C"/>
          <w:sz w:val="30"/>
          <w:szCs w:val="30"/>
        </w:rPr>
        <w:t>.居民监测数据库（电子邮件加密发送）</w:t>
      </w:r>
    </w:p>
    <w:p>
      <w:pPr>
        <w:spacing w:line="560" w:lineRule="exact"/>
        <w:ind w:left="1350" w:leftChars="500" w:hanging="300" w:hangingChars="100"/>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lang w:val="en-US" w:eastAsia="zh-CN"/>
        </w:rPr>
        <w:t xml:space="preserve">   4</w:t>
      </w:r>
      <w:r>
        <w:rPr>
          <w:rFonts w:hint="eastAsia" w:ascii="仿宋_GB2312" w:hAnsi="仿宋_GB2312" w:eastAsia="仿宋_GB2312" w:cs="仿宋_GB2312"/>
          <w:color w:val="0C0C0C"/>
          <w:sz w:val="30"/>
          <w:szCs w:val="30"/>
        </w:rPr>
        <w:t>.市级复核报告及</w:t>
      </w:r>
      <w:r>
        <w:rPr>
          <w:rFonts w:hint="eastAsia" w:ascii="仿宋_GB2312" w:hAnsi="仿宋_GB2312" w:eastAsia="仿宋_GB2312" w:cs="仿宋_GB2312"/>
          <w:color w:val="0C0C0C"/>
          <w:sz w:val="30"/>
          <w:szCs w:val="30"/>
          <w:lang w:eastAsia="zh-CN"/>
        </w:rPr>
        <w:t>国家监测点</w:t>
      </w:r>
      <w:r>
        <w:rPr>
          <w:rFonts w:hint="eastAsia" w:ascii="仿宋_GB2312" w:hAnsi="仿宋_GB2312" w:eastAsia="仿宋_GB2312" w:cs="仿宋_GB2312"/>
          <w:color w:val="0C0C0C"/>
          <w:sz w:val="30"/>
          <w:szCs w:val="30"/>
        </w:rPr>
        <w:t>复核表（纸质盖章版或扫</w:t>
      </w:r>
    </w:p>
    <w:p>
      <w:pPr>
        <w:pStyle w:val="2"/>
        <w:rPr>
          <w:rFonts w:hint="eastAsia" w:eastAsia="仿宋_GB2312"/>
          <w:lang w:val="en-US" w:eastAsia="zh-CN"/>
        </w:rPr>
      </w:pPr>
      <w:r>
        <w:rPr>
          <w:rFonts w:hint="eastAsia" w:ascii="仿宋_GB2312" w:hAnsi="仿宋_GB2312" w:eastAsia="仿宋_GB2312" w:cs="仿宋_GB2312"/>
          <w:color w:val="0C0C0C"/>
          <w:sz w:val="30"/>
          <w:szCs w:val="30"/>
          <w:lang w:val="en-US" w:eastAsia="zh-CN"/>
        </w:rPr>
        <w:t xml:space="preserve">          </w:t>
      </w:r>
      <w:r>
        <w:rPr>
          <w:rFonts w:hint="eastAsia" w:ascii="仿宋_GB2312" w:hAnsi="仿宋_GB2312" w:eastAsia="仿宋_GB2312" w:cs="仿宋_GB2312"/>
          <w:b w:val="0"/>
          <w:color w:val="0C0C0C"/>
          <w:kern w:val="2"/>
          <w:sz w:val="30"/>
          <w:szCs w:val="30"/>
          <w:lang w:val="en-US" w:eastAsia="zh-CN" w:bidi="ar-SA"/>
        </w:rPr>
        <w:t>描盖章版，县级无需提交）</w:t>
      </w:r>
    </w:p>
    <w:p>
      <w:pPr>
        <w:pStyle w:val="2"/>
        <w:rPr>
          <w:rFonts w:hint="eastAsia"/>
          <w:lang w:val="en-US" w:eastAsia="zh-CN"/>
        </w:rPr>
      </w:pPr>
      <w:r>
        <w:rPr>
          <w:rFonts w:hint="eastAsia" w:ascii="仿宋_GB2312" w:hAnsi="仿宋_GB2312" w:eastAsia="仿宋_GB2312" w:cs="仿宋_GB2312"/>
          <w:color w:val="0C0C0C"/>
          <w:sz w:val="30"/>
          <w:szCs w:val="30"/>
          <w:lang w:val="en-US" w:eastAsia="zh-CN"/>
        </w:rPr>
        <w:t xml:space="preserve">  </w:t>
      </w:r>
    </w:p>
    <w:p>
      <w:pPr>
        <w:spacing w:line="560" w:lineRule="exact"/>
        <w:ind w:left="1350" w:leftChars="500" w:hanging="300" w:hangingChars="100"/>
        <w:rPr>
          <w:rFonts w:hint="eastAsia" w:ascii="仿宋_GB2312" w:hAnsi="仿宋_GB2312" w:eastAsia="仿宋_GB2312" w:cs="仿宋_GB2312"/>
          <w:color w:val="0C0C0C"/>
          <w:sz w:val="30"/>
          <w:szCs w:val="30"/>
        </w:rPr>
      </w:pPr>
    </w:p>
    <w:p>
      <w:pPr>
        <w:spacing w:line="560" w:lineRule="exact"/>
        <w:rPr>
          <w:rFonts w:hint="eastAsia" w:ascii="仿宋_GB2312" w:hAnsi="仿宋_GB2312" w:eastAsia="仿宋_GB2312" w:cs="仿宋_GB2312"/>
          <w:color w:val="0C0C0C"/>
          <w:sz w:val="30"/>
          <w:szCs w:val="30"/>
        </w:rPr>
      </w:pPr>
    </w:p>
    <w:p>
      <w:pPr>
        <w:spacing w:line="560" w:lineRule="exact"/>
        <w:rPr>
          <w:rFonts w:hint="eastAsia" w:ascii="仿宋_GB2312" w:hAnsi="仿宋_GB2312" w:eastAsia="仿宋_GB2312" w:cs="仿宋_GB2312"/>
          <w:color w:val="0C0C0C"/>
          <w:sz w:val="30"/>
          <w:szCs w:val="30"/>
        </w:rPr>
      </w:pPr>
    </w:p>
    <w:p>
      <w:pPr>
        <w:spacing w:line="560" w:lineRule="exact"/>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 xml:space="preserve">          上报单位 （市级</w:t>
      </w:r>
      <w:r>
        <w:rPr>
          <w:rFonts w:hint="eastAsia" w:ascii="仿宋_GB2312" w:hAnsi="仿宋_GB2312" w:eastAsia="仿宋_GB2312" w:cs="仿宋_GB2312"/>
          <w:color w:val="0C0C0C"/>
          <w:sz w:val="30"/>
          <w:szCs w:val="30"/>
          <w:lang w:eastAsia="zh-CN"/>
        </w:rPr>
        <w:t>卫生健康委员会</w:t>
      </w:r>
      <w:r>
        <w:rPr>
          <w:rFonts w:hint="eastAsia" w:ascii="仿宋_GB2312" w:hAnsi="仿宋_GB2312" w:eastAsia="仿宋_GB2312" w:cs="仿宋_GB2312"/>
          <w:color w:val="0C0C0C"/>
          <w:sz w:val="30"/>
          <w:szCs w:val="30"/>
        </w:rPr>
        <w:t>/县级卫生健康局盖章）：</w:t>
      </w:r>
    </w:p>
    <w:p>
      <w:pPr>
        <w:spacing w:line="560" w:lineRule="exact"/>
        <w:ind w:firstLine="4800" w:firstLineChars="1600"/>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 xml:space="preserve">  年      月     日</w:t>
      </w:r>
      <w:bookmarkStart w:id="1" w:name="_GoBack"/>
      <w:bookmarkEnd w:id="1"/>
    </w:p>
    <w:p>
      <w:pPr>
        <w:widowControl/>
        <w:spacing w:line="560" w:lineRule="exact"/>
        <w:jc w:val="left"/>
        <w:rPr>
          <w:rFonts w:hint="eastAsia" w:ascii="黑体" w:eastAsia="黑体"/>
          <w:color w:val="0C0C0C"/>
          <w:szCs w:val="32"/>
          <w:lang w:val="en-US" w:eastAsia="zh-CN"/>
        </w:rPr>
      </w:pPr>
      <w:r>
        <w:rPr>
          <w:rFonts w:hint="eastAsia" w:ascii="仿宋_GB2312" w:hAnsi="仿宋_GB2312" w:eastAsia="仿宋_GB2312" w:cs="仿宋_GB2312"/>
          <w:color w:val="0C0C0C"/>
          <w:sz w:val="30"/>
          <w:szCs w:val="30"/>
        </w:rPr>
        <w:br w:type="page"/>
      </w:r>
      <w:r>
        <w:rPr>
          <w:rFonts w:hint="eastAsia" w:ascii="黑体" w:eastAsia="黑体"/>
          <w:color w:val="0C0C0C"/>
          <w:sz w:val="30"/>
          <w:szCs w:val="30"/>
        </w:rPr>
        <w:t>附件1</w:t>
      </w:r>
      <w:r>
        <w:rPr>
          <w:rFonts w:hint="eastAsia" w:ascii="黑体" w:eastAsia="黑体"/>
          <w:color w:val="0C0C0C"/>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居民健康素养监测完成情况汇总表</w:t>
      </w:r>
    </w:p>
    <w:p>
      <w:pPr>
        <w:jc w:val="left"/>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填表单位：                    填表人：</w:t>
      </w:r>
    </w:p>
    <w:p>
      <w:pPr>
        <w:jc w:val="left"/>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监测负责人：                  日期：</w:t>
      </w:r>
    </w:p>
    <w:tbl>
      <w:tblPr>
        <w:tblStyle w:val="6"/>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196"/>
        <w:gridCol w:w="2254"/>
        <w:gridCol w:w="17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06"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序号</w:t>
            </w:r>
          </w:p>
        </w:tc>
        <w:tc>
          <w:tcPr>
            <w:tcW w:w="2196"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街道（乡镇）</w:t>
            </w:r>
          </w:p>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名称</w:t>
            </w:r>
          </w:p>
        </w:tc>
        <w:tc>
          <w:tcPr>
            <w:tcW w:w="2254"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居委会（村）</w:t>
            </w:r>
          </w:p>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名称</w:t>
            </w:r>
          </w:p>
        </w:tc>
        <w:tc>
          <w:tcPr>
            <w:tcW w:w="1719"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实际调查</w:t>
            </w:r>
          </w:p>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户数（户）</w:t>
            </w:r>
          </w:p>
        </w:tc>
        <w:tc>
          <w:tcPr>
            <w:tcW w:w="1621"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完成问卷数（份）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1</w:t>
            </w: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2</w:t>
            </w: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3</w:t>
            </w: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4</w:t>
            </w: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5</w:t>
            </w: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6</w:t>
            </w: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合计</w:t>
            </w:r>
          </w:p>
        </w:tc>
        <w:tc>
          <w:tcPr>
            <w:tcW w:w="219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w:t>
            </w:r>
          </w:p>
        </w:tc>
        <w:tc>
          <w:tcPr>
            <w:tcW w:w="2254"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w:t>
            </w: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bl>
    <w:p>
      <w:pPr>
        <w:spacing w:before="156" w:beforeLines="50" w:line="400" w:lineRule="exact"/>
        <w:ind w:left="720" w:hanging="720" w:hangingChars="300"/>
        <w:rPr>
          <w:rFonts w:hint="eastAsia" w:ascii="仿宋_GB2312" w:hAnsi="仿宋_GB2312" w:eastAsia="仿宋_GB2312" w:cs="仿宋_GB2312"/>
          <w:color w:val="0C0C0C"/>
          <w:sz w:val="24"/>
        </w:rPr>
      </w:pPr>
      <w:r>
        <w:rPr>
          <w:rFonts w:hint="eastAsia" w:ascii="仿宋_GB2312" w:hAnsi="仿宋_GB2312" w:eastAsia="仿宋_GB2312" w:cs="仿宋_GB2312"/>
          <w:color w:val="0C0C0C"/>
          <w:sz w:val="24"/>
        </w:rPr>
        <w:t>注：1.本表由县级数据管理员根据《调查完成情况登记表》汇总填写，每个县（市、区）填写一张表。</w:t>
      </w:r>
    </w:p>
    <w:p>
      <w:pPr>
        <w:spacing w:line="400" w:lineRule="exact"/>
        <w:ind w:left="559" w:leftChars="134" w:hanging="278" w:hangingChars="116"/>
        <w:rPr>
          <w:rFonts w:hint="eastAsia" w:ascii="仿宋_GB2312" w:hAnsi="仿宋_GB2312" w:eastAsia="仿宋_GB2312" w:cs="仿宋_GB2312"/>
          <w:color w:val="0C0C0C"/>
          <w:szCs w:val="32"/>
        </w:rPr>
        <w:sectPr>
          <w:pgSz w:w="11907" w:h="16840"/>
          <w:pgMar w:top="1701" w:right="1418" w:bottom="1418" w:left="1701" w:header="851" w:footer="992" w:gutter="0"/>
          <w:pgNumType w:fmt="numberInDash"/>
          <w:cols w:space="720" w:num="1"/>
          <w:docGrid w:type="lines" w:linePitch="312" w:charSpace="0"/>
        </w:sectPr>
      </w:pPr>
      <w:r>
        <w:rPr>
          <w:rFonts w:hint="eastAsia" w:ascii="仿宋_GB2312" w:hAnsi="仿宋_GB2312" w:eastAsia="仿宋_GB2312" w:cs="仿宋_GB2312"/>
          <w:color w:val="0C0C0C"/>
          <w:sz w:val="24"/>
        </w:rPr>
        <w:t>2.实际调查户数指实际入户开展调查的家庭总户数。</w:t>
      </w:r>
    </w:p>
    <w:p>
      <w:pPr>
        <w:widowControl/>
        <w:spacing w:line="560" w:lineRule="exact"/>
        <w:jc w:val="left"/>
        <w:rPr>
          <w:rFonts w:hint="eastAsia" w:ascii="黑体" w:eastAsia="黑体"/>
          <w:color w:val="0C0C0C"/>
          <w:sz w:val="30"/>
          <w:szCs w:val="30"/>
          <w:lang w:val="en-US" w:eastAsia="zh-CN"/>
        </w:rPr>
      </w:pPr>
      <w:r>
        <w:rPr>
          <w:rFonts w:hint="eastAsia" w:ascii="黑体" w:eastAsia="黑体"/>
          <w:color w:val="0C0C0C"/>
          <w:sz w:val="30"/>
          <w:szCs w:val="30"/>
        </w:rPr>
        <w:t>附件1</w:t>
      </w:r>
      <w:r>
        <w:rPr>
          <w:rFonts w:hint="eastAsia" w:ascii="黑体" w:eastAsia="黑体"/>
          <w:color w:val="0C0C0C"/>
          <w:sz w:val="30"/>
          <w:szCs w:val="30"/>
          <w:lang w:val="en-US" w:eastAsia="zh-CN"/>
        </w:rPr>
        <w:t>2</w:t>
      </w:r>
    </w:p>
    <w:p>
      <w:pPr>
        <w:pStyle w:val="2"/>
        <w:keepNext/>
        <w:keepLines/>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b w:val="0"/>
          <w:kern w:val="2"/>
          <w:sz w:val="44"/>
          <w:szCs w:val="44"/>
          <w:lang w:val="en-US" w:eastAsia="zh-CN" w:bidi="ar-SA"/>
        </w:rPr>
      </w:pPr>
      <w:r>
        <w:rPr>
          <w:rFonts w:hint="eastAsia" w:ascii="方正小标宋_GBK" w:hAnsi="方正小标宋_GBK" w:eastAsia="方正小标宋_GBK" w:cs="方正小标宋_GBK"/>
          <w:b w:val="0"/>
          <w:kern w:val="2"/>
          <w:sz w:val="44"/>
          <w:szCs w:val="44"/>
          <w:lang w:val="en-US" w:eastAsia="zh-CN" w:bidi="ar-SA"/>
        </w:rPr>
        <w:t>居民健康素养调查宣传标语</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1.健康调查你我他，健康和谐千万家。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2.参与全民健康调查，需要你的一“臂”之力。</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.等风等雨我等你，健康调查需要你。</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.人人提供健康信息，家家参与健康调查。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.健康调查齐参与，健康生活你我他。</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.健康调查齐参与，用心守护你我健康。</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7.调查利万家，提供信息靠大家。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8.健康问题关系国计民生，健康调查需要你的支持。</w:t>
      </w:r>
    </w:p>
    <w:p>
      <w:pPr>
        <w:pStyle w:val="2"/>
        <w:pageBreakBefore w:val="0"/>
        <w:widowControl w:val="0"/>
        <w:kinsoku/>
        <w:wordWrap/>
        <w:overflowPunct/>
        <w:topLinePunct w:val="0"/>
        <w:autoSpaceDE/>
        <w:autoSpaceDN/>
        <w:bidi w:val="0"/>
        <w:adjustRightInd/>
        <w:snapToGrid/>
        <w:spacing w:line="586" w:lineRule="exact"/>
        <w:ind w:left="0" w:leftChars="0" w:right="0" w:rightChars="0" w:firstLine="643" w:firstLineChars="200"/>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t>- 1 -</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t>- 1 -</w:t>
                    </w:r>
                    <w:r>
                      <w:rPr>
                        <w:rFonts w:hint="eastAsia"/>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A09A8"/>
    <w:rsid w:val="003350D5"/>
    <w:rsid w:val="005A78DA"/>
    <w:rsid w:val="0070508C"/>
    <w:rsid w:val="008E3B43"/>
    <w:rsid w:val="00B303F9"/>
    <w:rsid w:val="00BD7C52"/>
    <w:rsid w:val="00C2636C"/>
    <w:rsid w:val="00C52717"/>
    <w:rsid w:val="00D01F38"/>
    <w:rsid w:val="00D355BA"/>
    <w:rsid w:val="00F71BE0"/>
    <w:rsid w:val="00FF3E57"/>
    <w:rsid w:val="01097539"/>
    <w:rsid w:val="012A7E13"/>
    <w:rsid w:val="017D3338"/>
    <w:rsid w:val="01C438C3"/>
    <w:rsid w:val="01D80BA6"/>
    <w:rsid w:val="024F114D"/>
    <w:rsid w:val="0288768B"/>
    <w:rsid w:val="02A15698"/>
    <w:rsid w:val="02E83497"/>
    <w:rsid w:val="037139F2"/>
    <w:rsid w:val="03E60070"/>
    <w:rsid w:val="045D785E"/>
    <w:rsid w:val="046A4DF8"/>
    <w:rsid w:val="04AF0507"/>
    <w:rsid w:val="04FF16C0"/>
    <w:rsid w:val="05333CDD"/>
    <w:rsid w:val="05576B39"/>
    <w:rsid w:val="060248AE"/>
    <w:rsid w:val="0622514E"/>
    <w:rsid w:val="06BD180C"/>
    <w:rsid w:val="07117522"/>
    <w:rsid w:val="073857CC"/>
    <w:rsid w:val="07492AF8"/>
    <w:rsid w:val="07506096"/>
    <w:rsid w:val="07901AA0"/>
    <w:rsid w:val="07BE4328"/>
    <w:rsid w:val="07CE66FA"/>
    <w:rsid w:val="07DC5FFB"/>
    <w:rsid w:val="07DC7E5D"/>
    <w:rsid w:val="07E70E16"/>
    <w:rsid w:val="08D61A56"/>
    <w:rsid w:val="08E94DC8"/>
    <w:rsid w:val="091F6CCC"/>
    <w:rsid w:val="0929301A"/>
    <w:rsid w:val="09A16A91"/>
    <w:rsid w:val="09FC4F23"/>
    <w:rsid w:val="0A2265F7"/>
    <w:rsid w:val="0A5C5D04"/>
    <w:rsid w:val="0A8F264F"/>
    <w:rsid w:val="0B4F2D0A"/>
    <w:rsid w:val="0C0B0696"/>
    <w:rsid w:val="0C3155AE"/>
    <w:rsid w:val="0C68236A"/>
    <w:rsid w:val="0CEC6345"/>
    <w:rsid w:val="0D200434"/>
    <w:rsid w:val="0D387A9B"/>
    <w:rsid w:val="0D6F4E57"/>
    <w:rsid w:val="0DF0484B"/>
    <w:rsid w:val="0E030307"/>
    <w:rsid w:val="0E057355"/>
    <w:rsid w:val="0EF07ED8"/>
    <w:rsid w:val="0F2D70E8"/>
    <w:rsid w:val="100A4B4B"/>
    <w:rsid w:val="102D1588"/>
    <w:rsid w:val="104032CF"/>
    <w:rsid w:val="10EE47EC"/>
    <w:rsid w:val="11677418"/>
    <w:rsid w:val="11691271"/>
    <w:rsid w:val="117529C3"/>
    <w:rsid w:val="119D205C"/>
    <w:rsid w:val="11BB615E"/>
    <w:rsid w:val="11CF2EF8"/>
    <w:rsid w:val="11F2036F"/>
    <w:rsid w:val="120B6A3B"/>
    <w:rsid w:val="126925C0"/>
    <w:rsid w:val="126E26E6"/>
    <w:rsid w:val="12882D1F"/>
    <w:rsid w:val="12986BA1"/>
    <w:rsid w:val="12A14D41"/>
    <w:rsid w:val="13513E83"/>
    <w:rsid w:val="13743B4D"/>
    <w:rsid w:val="138A6DB5"/>
    <w:rsid w:val="13F44126"/>
    <w:rsid w:val="13F530F8"/>
    <w:rsid w:val="1412236E"/>
    <w:rsid w:val="143D100E"/>
    <w:rsid w:val="144E1E9A"/>
    <w:rsid w:val="14586DEE"/>
    <w:rsid w:val="14FA5B6D"/>
    <w:rsid w:val="153F1B6A"/>
    <w:rsid w:val="15505BD6"/>
    <w:rsid w:val="15611359"/>
    <w:rsid w:val="15667CCE"/>
    <w:rsid w:val="157E3510"/>
    <w:rsid w:val="1617585E"/>
    <w:rsid w:val="16DF2F0A"/>
    <w:rsid w:val="17DB597F"/>
    <w:rsid w:val="17EA5DBD"/>
    <w:rsid w:val="18297C07"/>
    <w:rsid w:val="185718FD"/>
    <w:rsid w:val="18AF3473"/>
    <w:rsid w:val="19445106"/>
    <w:rsid w:val="195F6624"/>
    <w:rsid w:val="19630AB4"/>
    <w:rsid w:val="19703FF3"/>
    <w:rsid w:val="19A75637"/>
    <w:rsid w:val="19D272C1"/>
    <w:rsid w:val="19F356B5"/>
    <w:rsid w:val="1AD56140"/>
    <w:rsid w:val="1AEB3F4D"/>
    <w:rsid w:val="1B5E6AE5"/>
    <w:rsid w:val="1B8351B4"/>
    <w:rsid w:val="1C234FC3"/>
    <w:rsid w:val="1C3D7895"/>
    <w:rsid w:val="1C5636EE"/>
    <w:rsid w:val="1C5D702C"/>
    <w:rsid w:val="1D12043D"/>
    <w:rsid w:val="1E60720E"/>
    <w:rsid w:val="1F0E7D1C"/>
    <w:rsid w:val="1F4A796E"/>
    <w:rsid w:val="1FAF0E4D"/>
    <w:rsid w:val="20051715"/>
    <w:rsid w:val="200870FE"/>
    <w:rsid w:val="20615329"/>
    <w:rsid w:val="20724FF2"/>
    <w:rsid w:val="20982A99"/>
    <w:rsid w:val="21515A9E"/>
    <w:rsid w:val="21A56B04"/>
    <w:rsid w:val="220871E6"/>
    <w:rsid w:val="220F1BC5"/>
    <w:rsid w:val="223665BA"/>
    <w:rsid w:val="227122AE"/>
    <w:rsid w:val="227779E0"/>
    <w:rsid w:val="22BB7C77"/>
    <w:rsid w:val="22C8568D"/>
    <w:rsid w:val="22D513BA"/>
    <w:rsid w:val="22E17590"/>
    <w:rsid w:val="231B46EA"/>
    <w:rsid w:val="2363250C"/>
    <w:rsid w:val="236F4074"/>
    <w:rsid w:val="2376279B"/>
    <w:rsid w:val="23855E74"/>
    <w:rsid w:val="24750732"/>
    <w:rsid w:val="24BD7D36"/>
    <w:rsid w:val="24E877EA"/>
    <w:rsid w:val="25460F06"/>
    <w:rsid w:val="25495245"/>
    <w:rsid w:val="26147992"/>
    <w:rsid w:val="26652DA8"/>
    <w:rsid w:val="26770A73"/>
    <w:rsid w:val="26907DE0"/>
    <w:rsid w:val="272D6D16"/>
    <w:rsid w:val="2732074A"/>
    <w:rsid w:val="2797471A"/>
    <w:rsid w:val="27FF74C3"/>
    <w:rsid w:val="2817250A"/>
    <w:rsid w:val="283521CA"/>
    <w:rsid w:val="283D7BFE"/>
    <w:rsid w:val="28D35A7F"/>
    <w:rsid w:val="28DF3252"/>
    <w:rsid w:val="28F9506D"/>
    <w:rsid w:val="294720F6"/>
    <w:rsid w:val="299D2E6E"/>
    <w:rsid w:val="2A590B87"/>
    <w:rsid w:val="2A6E32A2"/>
    <w:rsid w:val="2A8F1062"/>
    <w:rsid w:val="2AC27E90"/>
    <w:rsid w:val="2B374ACA"/>
    <w:rsid w:val="2B4476C6"/>
    <w:rsid w:val="2B6F3D49"/>
    <w:rsid w:val="2BBD59D1"/>
    <w:rsid w:val="2C0847BD"/>
    <w:rsid w:val="2C3C6FC5"/>
    <w:rsid w:val="2CB7474C"/>
    <w:rsid w:val="2CFA09A8"/>
    <w:rsid w:val="2D267DB2"/>
    <w:rsid w:val="2D2C6B17"/>
    <w:rsid w:val="2D5F2C85"/>
    <w:rsid w:val="2DA0142E"/>
    <w:rsid w:val="2DCA6414"/>
    <w:rsid w:val="2DE1102B"/>
    <w:rsid w:val="2E351799"/>
    <w:rsid w:val="2E835E13"/>
    <w:rsid w:val="2F3178A5"/>
    <w:rsid w:val="2F687320"/>
    <w:rsid w:val="2F7E1154"/>
    <w:rsid w:val="30532A5F"/>
    <w:rsid w:val="30644B28"/>
    <w:rsid w:val="30D33282"/>
    <w:rsid w:val="30F454B6"/>
    <w:rsid w:val="31254DC7"/>
    <w:rsid w:val="315A1C75"/>
    <w:rsid w:val="31A747E5"/>
    <w:rsid w:val="31CE602B"/>
    <w:rsid w:val="32030593"/>
    <w:rsid w:val="3213481E"/>
    <w:rsid w:val="32360B36"/>
    <w:rsid w:val="326844FE"/>
    <w:rsid w:val="32710BB2"/>
    <w:rsid w:val="328221F6"/>
    <w:rsid w:val="32973751"/>
    <w:rsid w:val="330274C0"/>
    <w:rsid w:val="33D31741"/>
    <w:rsid w:val="342D025C"/>
    <w:rsid w:val="345352BC"/>
    <w:rsid w:val="34682A31"/>
    <w:rsid w:val="34A16988"/>
    <w:rsid w:val="34AE02F6"/>
    <w:rsid w:val="3554034A"/>
    <w:rsid w:val="356C0FB9"/>
    <w:rsid w:val="357279E1"/>
    <w:rsid w:val="35896DD6"/>
    <w:rsid w:val="36080FAA"/>
    <w:rsid w:val="36B62F29"/>
    <w:rsid w:val="36BB6E63"/>
    <w:rsid w:val="36E27658"/>
    <w:rsid w:val="374F009C"/>
    <w:rsid w:val="3781333B"/>
    <w:rsid w:val="37833014"/>
    <w:rsid w:val="37AD39F7"/>
    <w:rsid w:val="383205AC"/>
    <w:rsid w:val="38CF43ED"/>
    <w:rsid w:val="391A42DB"/>
    <w:rsid w:val="392D3D3B"/>
    <w:rsid w:val="39753C7E"/>
    <w:rsid w:val="3A304E72"/>
    <w:rsid w:val="3A60788E"/>
    <w:rsid w:val="3A665535"/>
    <w:rsid w:val="3AAD786B"/>
    <w:rsid w:val="3B280DF4"/>
    <w:rsid w:val="3B425D74"/>
    <w:rsid w:val="3B432477"/>
    <w:rsid w:val="3BC84B3C"/>
    <w:rsid w:val="3C166A79"/>
    <w:rsid w:val="3C2B62FB"/>
    <w:rsid w:val="3C48248A"/>
    <w:rsid w:val="3C4E72AD"/>
    <w:rsid w:val="3C62160F"/>
    <w:rsid w:val="3D3734F8"/>
    <w:rsid w:val="3DBD4409"/>
    <w:rsid w:val="3DC23750"/>
    <w:rsid w:val="3E117E09"/>
    <w:rsid w:val="3E132BF6"/>
    <w:rsid w:val="3EDE4FCA"/>
    <w:rsid w:val="3EE14DEC"/>
    <w:rsid w:val="3F2F722E"/>
    <w:rsid w:val="3F555FEF"/>
    <w:rsid w:val="3FD365CC"/>
    <w:rsid w:val="3FE53E8C"/>
    <w:rsid w:val="40055EC2"/>
    <w:rsid w:val="40A814B0"/>
    <w:rsid w:val="40AC7DFF"/>
    <w:rsid w:val="414F0888"/>
    <w:rsid w:val="417C20AC"/>
    <w:rsid w:val="419401B3"/>
    <w:rsid w:val="419B4F73"/>
    <w:rsid w:val="41CB12D2"/>
    <w:rsid w:val="41EF0DA0"/>
    <w:rsid w:val="423A0089"/>
    <w:rsid w:val="42A73202"/>
    <w:rsid w:val="42E5279F"/>
    <w:rsid w:val="436B62FE"/>
    <w:rsid w:val="438667CE"/>
    <w:rsid w:val="43983392"/>
    <w:rsid w:val="43BB5DD1"/>
    <w:rsid w:val="43C3311C"/>
    <w:rsid w:val="43F009FA"/>
    <w:rsid w:val="44254BE9"/>
    <w:rsid w:val="446268F1"/>
    <w:rsid w:val="44E335F1"/>
    <w:rsid w:val="450476C4"/>
    <w:rsid w:val="45796BE2"/>
    <w:rsid w:val="458D021D"/>
    <w:rsid w:val="45E21881"/>
    <w:rsid w:val="46011506"/>
    <w:rsid w:val="465142BC"/>
    <w:rsid w:val="46B50F60"/>
    <w:rsid w:val="470E2AEC"/>
    <w:rsid w:val="47264805"/>
    <w:rsid w:val="48D13EE4"/>
    <w:rsid w:val="48D40B40"/>
    <w:rsid w:val="48DA0646"/>
    <w:rsid w:val="492A7976"/>
    <w:rsid w:val="493D7402"/>
    <w:rsid w:val="494E04DB"/>
    <w:rsid w:val="499251E6"/>
    <w:rsid w:val="4A08546B"/>
    <w:rsid w:val="4A0A2616"/>
    <w:rsid w:val="4A8457AA"/>
    <w:rsid w:val="4AB624E1"/>
    <w:rsid w:val="4AE51966"/>
    <w:rsid w:val="4B9B7813"/>
    <w:rsid w:val="4BDE0315"/>
    <w:rsid w:val="4BFB5978"/>
    <w:rsid w:val="4C9846EC"/>
    <w:rsid w:val="4CFB0DD8"/>
    <w:rsid w:val="4D3C12D5"/>
    <w:rsid w:val="4D594FB3"/>
    <w:rsid w:val="4E0C3FC2"/>
    <w:rsid w:val="4E7229C3"/>
    <w:rsid w:val="4E761217"/>
    <w:rsid w:val="4EB77790"/>
    <w:rsid w:val="4EDD397A"/>
    <w:rsid w:val="4EF23E26"/>
    <w:rsid w:val="4EFE056A"/>
    <w:rsid w:val="4F4656B6"/>
    <w:rsid w:val="4FAF1D90"/>
    <w:rsid w:val="4FB96534"/>
    <w:rsid w:val="4FDB6791"/>
    <w:rsid w:val="50267AD1"/>
    <w:rsid w:val="502766F1"/>
    <w:rsid w:val="50A03553"/>
    <w:rsid w:val="516238DF"/>
    <w:rsid w:val="517430A6"/>
    <w:rsid w:val="5185004E"/>
    <w:rsid w:val="51B30CDE"/>
    <w:rsid w:val="52413DAE"/>
    <w:rsid w:val="52424EAB"/>
    <w:rsid w:val="531D3084"/>
    <w:rsid w:val="533D5E1F"/>
    <w:rsid w:val="53443F97"/>
    <w:rsid w:val="5416121E"/>
    <w:rsid w:val="543E7CEF"/>
    <w:rsid w:val="54604660"/>
    <w:rsid w:val="54A171C0"/>
    <w:rsid w:val="54DA0B6F"/>
    <w:rsid w:val="54E25C23"/>
    <w:rsid w:val="55105D07"/>
    <w:rsid w:val="563F176B"/>
    <w:rsid w:val="570723E3"/>
    <w:rsid w:val="571D4C91"/>
    <w:rsid w:val="5750625F"/>
    <w:rsid w:val="575268AF"/>
    <w:rsid w:val="581E63A4"/>
    <w:rsid w:val="58C14C81"/>
    <w:rsid w:val="58F24164"/>
    <w:rsid w:val="59893A24"/>
    <w:rsid w:val="59BF2655"/>
    <w:rsid w:val="59C23672"/>
    <w:rsid w:val="59F32E2B"/>
    <w:rsid w:val="5A215E9C"/>
    <w:rsid w:val="5A4475E7"/>
    <w:rsid w:val="5A457C2B"/>
    <w:rsid w:val="5A6355B2"/>
    <w:rsid w:val="5A7329B0"/>
    <w:rsid w:val="5A78201F"/>
    <w:rsid w:val="5AA20B75"/>
    <w:rsid w:val="5AF732A0"/>
    <w:rsid w:val="5AF82398"/>
    <w:rsid w:val="5B017A50"/>
    <w:rsid w:val="5B304E2B"/>
    <w:rsid w:val="5B535C60"/>
    <w:rsid w:val="5B584506"/>
    <w:rsid w:val="5B701AB9"/>
    <w:rsid w:val="5BBC3064"/>
    <w:rsid w:val="5C32493B"/>
    <w:rsid w:val="5C462516"/>
    <w:rsid w:val="5C632D6F"/>
    <w:rsid w:val="5C861091"/>
    <w:rsid w:val="5CA20990"/>
    <w:rsid w:val="5CAC22EA"/>
    <w:rsid w:val="5DD17768"/>
    <w:rsid w:val="5DDA0FF3"/>
    <w:rsid w:val="5E2F3245"/>
    <w:rsid w:val="5E56612B"/>
    <w:rsid w:val="5E5B14FE"/>
    <w:rsid w:val="5E606FF4"/>
    <w:rsid w:val="5E6B0181"/>
    <w:rsid w:val="5EF962A0"/>
    <w:rsid w:val="5F051B0E"/>
    <w:rsid w:val="5F25546A"/>
    <w:rsid w:val="5FB47B45"/>
    <w:rsid w:val="5FB65D4B"/>
    <w:rsid w:val="604406FD"/>
    <w:rsid w:val="60693904"/>
    <w:rsid w:val="609009B5"/>
    <w:rsid w:val="60C1559B"/>
    <w:rsid w:val="60E27F52"/>
    <w:rsid w:val="611B39AB"/>
    <w:rsid w:val="61A4588A"/>
    <w:rsid w:val="625F7F65"/>
    <w:rsid w:val="62816353"/>
    <w:rsid w:val="62D97046"/>
    <w:rsid w:val="63371766"/>
    <w:rsid w:val="633F7BA9"/>
    <w:rsid w:val="6342280A"/>
    <w:rsid w:val="636F4F38"/>
    <w:rsid w:val="640B5CD8"/>
    <w:rsid w:val="64462D6A"/>
    <w:rsid w:val="644660ED"/>
    <w:rsid w:val="64857459"/>
    <w:rsid w:val="656F7BE1"/>
    <w:rsid w:val="658C0B9B"/>
    <w:rsid w:val="66001866"/>
    <w:rsid w:val="66116B3F"/>
    <w:rsid w:val="66486B93"/>
    <w:rsid w:val="667E09C8"/>
    <w:rsid w:val="66824140"/>
    <w:rsid w:val="668D2262"/>
    <w:rsid w:val="669C0C25"/>
    <w:rsid w:val="66CC57A1"/>
    <w:rsid w:val="67710CFF"/>
    <w:rsid w:val="68277380"/>
    <w:rsid w:val="685E4F54"/>
    <w:rsid w:val="68FD66DC"/>
    <w:rsid w:val="690416BB"/>
    <w:rsid w:val="69053A96"/>
    <w:rsid w:val="6927181B"/>
    <w:rsid w:val="69B86DF0"/>
    <w:rsid w:val="69C9373C"/>
    <w:rsid w:val="69E96394"/>
    <w:rsid w:val="6A2638ED"/>
    <w:rsid w:val="6A4A4305"/>
    <w:rsid w:val="6A786FC7"/>
    <w:rsid w:val="6A79198A"/>
    <w:rsid w:val="6A973CB3"/>
    <w:rsid w:val="6A9F350C"/>
    <w:rsid w:val="6AB66B81"/>
    <w:rsid w:val="6AEE3603"/>
    <w:rsid w:val="6B2C250D"/>
    <w:rsid w:val="6B55210D"/>
    <w:rsid w:val="6B645385"/>
    <w:rsid w:val="6BE04B81"/>
    <w:rsid w:val="6C2E468C"/>
    <w:rsid w:val="6CB410E6"/>
    <w:rsid w:val="6CB621BB"/>
    <w:rsid w:val="6CB74D7C"/>
    <w:rsid w:val="6D316627"/>
    <w:rsid w:val="6E3917BC"/>
    <w:rsid w:val="6E8D04D4"/>
    <w:rsid w:val="6F166721"/>
    <w:rsid w:val="6F2E7AF5"/>
    <w:rsid w:val="6F5976DC"/>
    <w:rsid w:val="6F88201F"/>
    <w:rsid w:val="6FAC5FB4"/>
    <w:rsid w:val="700B3C89"/>
    <w:rsid w:val="702979C6"/>
    <w:rsid w:val="703625B9"/>
    <w:rsid w:val="70366332"/>
    <w:rsid w:val="707828BA"/>
    <w:rsid w:val="70B22558"/>
    <w:rsid w:val="70B732AD"/>
    <w:rsid w:val="70D3433D"/>
    <w:rsid w:val="70F4639C"/>
    <w:rsid w:val="72073C0F"/>
    <w:rsid w:val="72365311"/>
    <w:rsid w:val="725923D7"/>
    <w:rsid w:val="728155DC"/>
    <w:rsid w:val="72B92396"/>
    <w:rsid w:val="73165A04"/>
    <w:rsid w:val="73240C7D"/>
    <w:rsid w:val="73691F34"/>
    <w:rsid w:val="73AE243C"/>
    <w:rsid w:val="74D26040"/>
    <w:rsid w:val="75533DB8"/>
    <w:rsid w:val="75A576C5"/>
    <w:rsid w:val="76097838"/>
    <w:rsid w:val="761D59C9"/>
    <w:rsid w:val="764249B6"/>
    <w:rsid w:val="76507F42"/>
    <w:rsid w:val="76D05C5A"/>
    <w:rsid w:val="775C111F"/>
    <w:rsid w:val="777E4F32"/>
    <w:rsid w:val="778032B1"/>
    <w:rsid w:val="77A21AA7"/>
    <w:rsid w:val="78196362"/>
    <w:rsid w:val="78226C63"/>
    <w:rsid w:val="7893055F"/>
    <w:rsid w:val="78945A0B"/>
    <w:rsid w:val="78DF2648"/>
    <w:rsid w:val="78E26C62"/>
    <w:rsid w:val="791016AA"/>
    <w:rsid w:val="795A3500"/>
    <w:rsid w:val="799C2F8B"/>
    <w:rsid w:val="79B80E44"/>
    <w:rsid w:val="7A0F7EC7"/>
    <w:rsid w:val="7A430CCE"/>
    <w:rsid w:val="7A4A39FF"/>
    <w:rsid w:val="7A754DB0"/>
    <w:rsid w:val="7A910CA0"/>
    <w:rsid w:val="7ABE5269"/>
    <w:rsid w:val="7ADF5DB6"/>
    <w:rsid w:val="7B4057DA"/>
    <w:rsid w:val="7C0B1510"/>
    <w:rsid w:val="7C0F772C"/>
    <w:rsid w:val="7C7F3C73"/>
    <w:rsid w:val="7D353CE0"/>
    <w:rsid w:val="7D6363D6"/>
    <w:rsid w:val="7DC24267"/>
    <w:rsid w:val="7E320D9C"/>
    <w:rsid w:val="7E703E78"/>
    <w:rsid w:val="7E7B34D7"/>
    <w:rsid w:val="7EBE323B"/>
    <w:rsid w:val="7F251385"/>
    <w:rsid w:val="7F621269"/>
    <w:rsid w:val="7F993F97"/>
    <w:rsid w:val="7FA76B20"/>
    <w:rsid w:val="7FC45E97"/>
    <w:rsid w:val="7FD34D28"/>
    <w:rsid w:val="7FF63E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ascii="黑体" w:eastAsia="黑体" w:cs="Times New Roman"/>
      <w:color w:val="000000"/>
      <w:kern w:val="0"/>
      <w:sz w:val="24"/>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永福县</Company>
  <Pages>24</Pages>
  <Words>8037</Words>
  <Characters>8307</Characters>
  <Lines>56</Lines>
  <Paragraphs>15</Paragraphs>
  <TotalTime>3</TotalTime>
  <ScaleCrop>false</ScaleCrop>
  <LinksUpToDate>false</LinksUpToDate>
  <CharactersWithSpaces>10151</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2018-09-05T07:27:00Z</dcterms:created>
  <dc:creator>伍宝林</dc:creator>
  <cp:lastModifiedBy>Administrator</cp:lastModifiedBy>
  <cp:lastPrinted>2020-06-19T03:38:00Z</cp:lastPrinted>
  <dcterms:modified xsi:type="dcterms:W3CDTF">2024-01-04T08:34:28Z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CF03C4C0DD9E49B89F33502DD3A24248</vt:lpwstr>
  </property>
</Properties>
</file>