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8" w:tblpY="175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FFFF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82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大标宋_GBK" w:cs="Times New Roman"/>
                <w:color w:val="FF0000"/>
                <w:spacing w:val="0"/>
                <w:w w:val="100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永福县农业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  <w:lang w:eastAsia="zh-CN"/>
              </w:rPr>
              <w:t>农村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局文件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27" w:type="dxa"/>
            <w:tcBorders>
              <w:bottom w:val="single" w:color="FF0000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FF0000"/>
                <w:spacing w:val="0"/>
                <w:w w:val="100"/>
                <w:sz w:val="112"/>
                <w:szCs w:val="11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永农字〔20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号</w:t>
            </w:r>
          </w:p>
        </w:tc>
      </w:tr>
    </w:tbl>
    <w:p>
      <w:pPr>
        <w:spacing w:line="700" w:lineRule="exact"/>
        <w:jc w:val="center"/>
        <w:rPr>
          <w:rFonts w:hint="eastAsia" w:ascii="方正小标宋简体" w:hAnsi="Times New Roman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永福县农业农村局关于印发《2025年永福县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“虫口夺粮”保丰收行动方案》的通知</w:t>
      </w:r>
    </w:p>
    <w:p>
      <w:pPr>
        <w:spacing w:line="70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乡镇人民政府，局属各有关部门：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为深入贯彻党中央、国务院决策部署，全面落实中央农村工作会议精神和2025年中央一号文件要求，切实发挥植物保护在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保障粮食安全、提升农产品供给能力和促进种植业高质量发展中的重要作用，我局将组织实施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永福县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“虫口夺粮”保丰收行动。现将《2025年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“虫口夺粮”保丰收行动方案》印发给你们，请结合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当地生产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实际，细化实施方案，明确目标任务，强化属地责任，抓好措施落实，确保行动取得实效，奋力夺取全年粮食丰收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right="1785" w:rightChars="85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2025年永福县“虫口夺粮”保丰收行动方案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农作物病虫害是影响农作物稳产增产的重要因素，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科学有效防控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是保单产、稳总量的关键举措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为科学有效防控农作物病虫灾害，切实保障粮食和重要农产品稳定供给，扎实推进农药科学施用增效，按照自治区农业农村厅办公室《2025年广西“虫口夺粮”保丰收行动方案》（桂农厅办发〔2025〕41号）、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桂林市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办公室关于印发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桂林市“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虫口夺粮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保丰收行动方案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市农业办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要求，结合我县实际，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一、趋势分析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据植保部门监测及分析预测，预计202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粮食作物病虫总体发生程度为中等偏重。其中，稻飞虱中等偏重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全</w:t>
      </w:r>
      <w:r>
        <w:rPr>
          <w:rFonts w:hint="eastAsia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普遍发生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；稻纵卷叶螟中等偏重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全</w:t>
      </w:r>
      <w:r>
        <w:rPr>
          <w:rFonts w:hint="eastAsia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普遍发生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；二化螟为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全</w:t>
      </w:r>
      <w:r>
        <w:rPr>
          <w:rFonts w:hint="eastAsia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普遍发生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；水稻纹枯病中等偏重发生，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全</w:t>
      </w:r>
      <w:r>
        <w:rPr>
          <w:rFonts w:hint="eastAsia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普遍发生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；稻瘟病中等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主要发生区域为种植感病品种较多的稻区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；草地贪夜蛾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中等、局部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偏重发生，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全</w:t>
      </w:r>
      <w:r>
        <w:rPr>
          <w:rFonts w:hint="eastAsia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玉米种植区普遍发生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en-US"/>
        </w:rPr>
        <w:t>同时，南方水稻黑条矮缩病、稻曲病、稻秆潜蝇、稻蓟马、害鼠、福寿螺和农田杂草等有害生物潜在流行的几率较大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焦重点作物主产区和重大病虫疫情，以技术创新为引领，以信息化建设为支撑，全面加强病虫害监测预警与防控基础设施建设，大力推进病虫害统防统治与绿色防控融合发展，深入实施科学施药增效行动，强化重点地区、重点对象植物检疫监管，全力实现“虫口夺粮”保丰收，切实保障粮食和重要农产品稳定安全供给。力争到2025年底，实现统防统治覆盖率达到48%以上，绿色防控覆盖率达到58%以上，病虫害危害损失率控制在5%以内，科学防病治虫和安全用药水平不断提高</w:t>
      </w:r>
      <w:r>
        <w:rPr>
          <w:rFonts w:hint="eastAsia" w:ascii="仿宋_GB2312" w:hAnsi="Times New Roman" w:eastAsia="仿宋_GB2312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三、技术路线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“预防为主、综合防治”方针，强化源头管控和早期干预，聚焦重点作物、重大病虫及高风险区域，实施精准防控策略。按照“分类指导、区域联防、协同治理”原则，推进病虫害防治关口前移，确保防控措施及时、精准、高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水稻重大病虫害防控。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水稻“两迁”害虫在推广生态控制、理化诱控、生物防治等绿色防控措施基础上，加强统防统治、</w:t>
      </w:r>
      <w:bookmarkStart w:id="0" w:name="br4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防联控，有效减轻当地危害并减少北迁虫源基数。水稻螟虫因地制宜采取灌水灭蛹、放蜂治螟等绿色防控措施，重点把握卵孵盛期至低龄幼虫期实施科学用药。稻瘟病重在预防、严控流行，在药剂浸（拌）种、带药移栽的基础上，狠抓破口抽穗期预防工作，严防穗瘟流行危害。水稻纹枯病重点把握分蘖期和拔节期开展防控。稻曲病严格把握破口抽穗前7—10天进行施药预防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南方水稻黑条矮缩病突出中稻及晚稻前期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治虫防病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推广应用药剂浸（拌）种、防虫网或无纺布阻隔育秧和“送嫁药”技术，严防暴发流行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同时，密切监测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稻蝗、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粘虫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等局部突发性、暴发性、灾害性病虫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发生发展动态，及早采取预防和控制措施，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科学预防和适时应急防治。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（二）玉米重大病虫害防控。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草地贪夜蛾综合运用灯诱、性诱等成虫诱杀技术，结合生物防治控制卵及低龄幼虫，科学用药控制危害，有效遏制当地虫源滋生繁殖，减少迁出虫源基数。玉米螟主推农业防治、放蜂治螟、性诱和食诱等绿色防控技术，重点抓好大喇叭口期关键阶段的药剂防治。粘虫做好日常监测调查，抓好突发点片应急防治。玉米蚜在重发区推行种子包衣处理或拌种，在玉米抽雄期、蚜虫盛发初期适时施药防治。玉米南方锈病加强监测预警，一旦发现流行势头，要立即组织喷药控制。玉米大小斑病注重科学肥水管理，在大喇叭口期结合其他病害防控喷施药剂预防，有效降低后期重发风险。玉米纹枯病实行种子处理剂拌种或包衣，合理密植，在发病初期及时喷药防治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其他病虫疫情防控</w:t>
      </w: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油菜菌核病重点落实花期药剂预防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豆根腐病重点落实种子包衣或药剂拌种措施。柑橘黄龙病重点把好健康种苗关，清除染疫植株，强化梢期木虱统一防治。红火蚁重点抓好检疫监管，落实春秋两季统防统治。番茄褐色皱果病毒病做好种子种苗检疫监管，严禁带病种子种苗跨区调运。农区鼠害重点推广毒饵站、围栏+陷阱捕鼠器等技术。果菜茶蔗病虫害立足生态区域特点，围绕作物全生育期，集成推广一批经济实用、操作简便、农民易接受的绿色防控技术模式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四、重点任务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（一）强化病虫监测预警。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《农作物病虫害监测与预报管理办法》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切实加强病虫监测调查、信息报送工作，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严格执行重大病虫周报、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天天调查、五天一报，重大病虫灾害实时汇报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等工作制度，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准确发布农作物病虫情报，为科学防控提供精准指导。要进一步完善监测网络布局，增设田间监测站点，推广应用智能化病虫监测设备，提升病虫监测预报能力和应急响应速度。同时，要加快检疫性病虫害快速检测技术的推广应用，强化病虫害抗药性监测与治理，科学推行对症精准选药、合理轮换用药、适期适量用药的防控策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推进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病虫疫情防控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制定农作物重大病虫害防控技术方案，分作物、分病虫、分农时大力推行联防联控、协同治理。紧盯水稻“两迁”害虫、草地贪夜蛾、稻瘟病等重大病虫，结合落实粮油作物单产提升、绿色高产高效、水稻增密增穗等行动，实现防病虫提单产优品质有机统一。同时，要加强专业化防治组织的培育和管理，重点扶持发展一批装备现代化、技术标准化、管理规范化的专业化防治服务组织，充分发挥其在病虫害防控中</w:t>
      </w:r>
      <w:bookmarkStart w:id="1" w:name="br6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的主力军作用和示范引领效应，全面提升我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农作物病虫害应急防控能力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加强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科学施药增效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作物以统防统治为主，经济作物以绿色防控为主，大力推行统防统治和绿色防控融合。依托绿色防控技术示范区，加快集成推广一批区域性绿色防控、农药科学施药增效技术模式。针对重点作物开展专项培训，强化豇豆、韭菜、芹菜等特色作物的科学安全用药指导，着力提高病虫害防治技术水平，促进减药控残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楷体_GB2312" w:hAnsi="仿宋_GB2312" w:eastAsia="楷体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position w:val="0"/>
          <w:sz w:val="32"/>
          <w:szCs w:val="32"/>
          <w:lang w:val="en-US" w:eastAsia="zh-CN" w:bidi="ar-SA"/>
        </w:rPr>
        <w:t>植物检疫监管。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种苗繁育基地、种苗生产经营企业、主要种苗集散地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为重点，加强农作物种苗生产、调运、销售等全链条检疫监管和联合巡检。严格落实染疫种子苗木溯源管理制度，依法查处无证调运、伪造检疫证书、货证不符等违法行为，切实维护种苗市场秩序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《中华人民共和国粮食安全保障法》《中华人民共和国生物安全法》《农作物病虫害防治条例》《植物检疫条例》等法律法规要求，加强植保防灾减灾能力建设，落实属地防控责任，加强工作统筹，及早安排部署，跟踪掌握农作物重大病虫害发生动态和防控进度。多渠道筹措农作物病虫疫情防控资金，稳定基层植保技术队伍，开展相关监测和防控工作，提早做好应急防控物资准备。要加强农药科学安全使用指导，规范喷防作业行为，强化植保专业技术人员和专业化防治服务人员培训，推进防控措施落实落细。同时，及时解决各地反映病虫害防控工作中存在的主要问题，确保“虫口夺粮”保丰收行动顺利开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六、行动安排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（一）制定行动方案。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制定行动方案，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科学研判发生趋势，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明确目标任务、技术路线和工作要求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于4月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旬前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细化制定具体实施方案分别报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农业农村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种植业管理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植保站。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（二）及时动员部署。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9月，适时召开全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虫口夺粮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丰收行动落实推进现场会，举办全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草地贪夜蛾、水稻（早稻、晚稻中后期）病虫害防治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暨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绿色防控技术培训班，对防控工作进行动员、部署和安排，推动面上工作开展。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信息报送。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11</w:t>
      </w:r>
      <w:r>
        <w:rPr>
          <w:rFonts w:hint="default" w:ascii="Nimbus Roman No9 L" w:hAnsi="Nimbus Roman No9 L" w:eastAsia="仿宋_GB2312" w:cs="Nimbus Roman No9 L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月对粮食作物重大病虫发生动态实行“五天一报”制度；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10</w:t>
      </w:r>
      <w:r>
        <w:rPr>
          <w:rFonts w:hint="default" w:ascii="Nimbus Roman No9 L" w:hAnsi="Nimbus Roman No9 L" w:eastAsia="仿宋_GB2312" w:cs="Nimbus Roman No9 L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月重点调度水稻、玉米重大病虫发生防控情况；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8</w:t>
      </w:r>
      <w:r>
        <w:rPr>
          <w:rFonts w:hint="default" w:ascii="Nimbus Roman No9 L" w:hAnsi="Nimbus Roman No9 L" w:eastAsia="仿宋_GB2312" w:cs="Nimbus Roman No9 L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月加强蝗虫监测报告；全年（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position w:val="0"/>
          <w:sz w:val="32"/>
          <w:szCs w:val="32"/>
        </w:rPr>
        <w:t>12</w:t>
      </w:r>
      <w:r>
        <w:rPr>
          <w:rFonts w:hint="default" w:ascii="Nimbus Roman No9 L" w:hAnsi="Nimbus Roman No9 L" w:eastAsia="仿宋_GB2312" w:cs="Nimbus Roman No9 L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月）持续跟踪草地贪夜蛾发生动态。同时，严格执行新发突发重大病虫疫情即时报告制度，确保第一时间掌握防控动态，切实提高应急响应和处置效能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）加强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在重大病虫害防控关键时期组派防控指导组，采取日常联系和实地指导相结合的形式开展服务指导，加强农药使用风险隐患排查，确保病虫害防控和农药安全使用技术落到实处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粮食作物重大病虫害统防统治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分解表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jc w:val="left"/>
        <w:textAlignment w:val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jc w:val="left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jc w:val="left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jc w:val="left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6" w:lineRule="exact"/>
        <w:jc w:val="left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粮食作物重大病虫害统防统治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分解表</w:t>
      </w:r>
    </w:p>
    <w:p>
      <w:pPr>
        <w:widowControl/>
        <w:jc w:val="lef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方正小标宋简体" w:hAnsi="Times New Roman" w:eastAsia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单位：万亩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次</w:t>
      </w:r>
    </w:p>
    <w:tbl>
      <w:tblPr>
        <w:tblStyle w:val="3"/>
        <w:tblW w:w="90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40"/>
        <w:gridCol w:w="2680"/>
        <w:gridCol w:w="268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水稻重大病虫统防统治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玉米重大病虫统防统治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永福镇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广福乡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堡里镇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罗锦镇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苏桥镇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百寿镇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三皇镇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永安乡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龙江乡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F1DF0"/>
    <w:rsid w:val="098D675C"/>
    <w:rsid w:val="39CF1DF0"/>
    <w:rsid w:val="3A707B5E"/>
    <w:rsid w:val="6B5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2025-04-28T02:54:00Z</dcterms:created>
  <dc:creator>Lenovo</dc:creator>
  <cp:lastModifiedBy>张连华</cp:lastModifiedBy>
  <dcterms:modified xsi:type="dcterms:W3CDTF">2025-04-29T02:25:26Z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F0FE7D85E81F4123B340834F341817AB</vt:lpwstr>
  </property>
</Properties>
</file>