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附件2</w:t>
      </w:r>
    </w:p>
    <w:p>
      <w:pPr>
        <w:adjustRightInd w:val="0"/>
        <w:snapToGrid w:val="0"/>
        <w:spacing w:line="580" w:lineRule="exact"/>
        <w:ind w:firstLine="640" w:firstLineChars="200"/>
        <w:outlineLvl w:val="2"/>
        <w:rPr>
          <w:rFonts w:hint="eastAsia" w:eastAsia="方正仿宋_GBK" w:cs="方正仿宋_GBK"/>
          <w:snapToGrid w:val="0"/>
          <w:kern w:val="21"/>
          <w:sz w:val="32"/>
          <w:szCs w:val="32"/>
        </w:rPr>
      </w:pPr>
    </w:p>
    <w:p>
      <w:pPr>
        <w:adjustRightInd w:val="0"/>
        <w:snapToGrid w:val="0"/>
        <w:spacing w:line="580" w:lineRule="exact"/>
        <w:jc w:val="center"/>
        <w:outlineLvl w:val="2"/>
        <w:rPr>
          <w:rFonts w:hint="eastAsia" w:ascii="方正小标宋_GBK" w:hAnsi="方正小标宋_GBK" w:eastAsia="方正小标宋_GBK" w:cs="方正小标宋_GBK"/>
          <w:snapToGrid w:val="0"/>
          <w:kern w:val="21"/>
          <w:sz w:val="44"/>
          <w:szCs w:val="44"/>
        </w:rPr>
      </w:pPr>
      <w:bookmarkStart w:id="0" w:name="OLE_LINK1"/>
      <w:bookmarkStart w:id="1" w:name="OLE_LINK2"/>
      <w:r>
        <w:rPr>
          <w:rFonts w:hint="eastAsia" w:ascii="方正小标宋_GBK" w:hAnsi="方正小标宋_GBK" w:eastAsia="方正小标宋_GBK" w:cs="方正小标宋_GBK"/>
          <w:snapToGrid w:val="0"/>
          <w:kern w:val="21"/>
          <w:sz w:val="44"/>
          <w:szCs w:val="44"/>
        </w:rPr>
        <w:t>社会组织年检审查标准</w:t>
      </w:r>
    </w:p>
    <w:bookmarkEnd w:id="0"/>
    <w:bookmarkEnd w:id="1"/>
    <w:p>
      <w:pPr>
        <w:adjustRightInd w:val="0"/>
        <w:snapToGrid w:val="0"/>
        <w:spacing w:line="580" w:lineRule="exact"/>
        <w:ind w:firstLine="643" w:firstLineChars="200"/>
        <w:rPr>
          <w:rFonts w:hint="default" w:ascii="Times New Roman" w:hAnsi="Times New Roman" w:eastAsia="仿宋_GB2312" w:cs="Times New Roman"/>
          <w:b/>
          <w:bCs/>
          <w:snapToGrid w:val="0"/>
          <w:kern w:val="21"/>
          <w:sz w:val="32"/>
          <w:szCs w:val="32"/>
        </w:rPr>
      </w:pPr>
    </w:p>
    <w:p>
      <w:pPr>
        <w:adjustRightInd w:val="0"/>
        <w:snapToGrid w:val="0"/>
        <w:spacing w:line="580" w:lineRule="exact"/>
        <w:ind w:firstLine="640" w:firstLineChars="200"/>
        <w:rPr>
          <w:rFonts w:hint="eastAsia" w:ascii="黑体" w:hAnsi="黑体" w:eastAsia="黑体" w:cs="黑体"/>
          <w:snapToGrid w:val="0"/>
          <w:kern w:val="21"/>
          <w:sz w:val="32"/>
          <w:szCs w:val="32"/>
        </w:rPr>
      </w:pPr>
      <w:r>
        <w:rPr>
          <w:rFonts w:hint="eastAsia" w:ascii="黑体" w:hAnsi="黑体" w:eastAsia="黑体" w:cs="黑体"/>
          <w:snapToGrid w:val="0"/>
          <w:kern w:val="21"/>
          <w:sz w:val="32"/>
          <w:szCs w:val="32"/>
        </w:rPr>
        <w:t>一、社会团体年检审查标准</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年检结论分为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基本合格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和</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不合格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（一）社会团体内部管理规范，严格按照章程进行内部治理和开展活动，未发现存在违反社会团体登记管理有关法规政策规定的行为，年检结论确定为合格。</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（二）社会团体有下列情形之一的，登记管理机关视情节轻重，分别作出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基本合格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不合格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的年检结论：</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1.未按规定建立党组织或开展党建工作的；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2.未将党的建设和社会主义核心价值观写入章程的；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3.不符合条例规定的法人成立条件的（如：个人会员和单位会员数量不符合要求、年末净资产低于注册资金、无与业务活动相适应的专职工作人员、无固定住所等）；</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4.未按规定办理变更登记、章程核准的（如：法定代表人、住所、注册资金、业务活动范围变更等）；</w:t>
      </w:r>
      <w:bookmarkStart w:id="2" w:name="_GoBack"/>
      <w:bookmarkEnd w:id="2"/>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5.超出章程规定的宗旨和业务范围开展活动的（如：违反规定开展评比达标表彰或创建示范活动、牵头成立非法社会组织或者与非法社会组织开展活动等）；</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6.未按章程规定换届的（如：超期未换届，未经批准提前、延期换届等）；</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7.未按章程规定召开会员（代表）大会、理事会的；</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8.负责人管理违反有关规定的（如：负责人调整未完成备案、未经批准负责人超龄超届任职、负责人不符合相关任职条件等）；</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9.设立或者管理分支机构、代表机构违反有关规定的；</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10.财务管理或者资金来源、资产使用违反有关规定的（如：违反社会组织管理规定收取费用、未使用民间非营利组织会计制度、未按规定制定修改会费标准等）；</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11.因内部管理混乱以致不能正常开展活动，或者开展活动造成不良社会影响的；</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12.其他违反社会团体登记管理有关法律法规和国家政策规定的（如：不按规定接受或配合登记管理机关监督检查、未按规定完成整改等）。</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（三）社会团体存在下列情形之一的，年检结论确定为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不合格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1.年检材料隐瞒真实情况、弄虚作假的（如：未通过</w:t>
      </w:r>
      <w:r>
        <w:rPr>
          <w:rFonts w:hint="eastAsia" w:eastAsia="仿宋_GB2312" w:cs="Times New Roman"/>
          <w:kern w:val="21"/>
          <w:sz w:val="32"/>
          <w:szCs w:val="32"/>
          <w:lang w:eastAsia="zh-CN"/>
        </w:rPr>
        <w:t>“</w:t>
      </w:r>
      <w:r>
        <w:rPr>
          <w:rFonts w:hint="default" w:ascii="Times New Roman" w:hAnsi="Times New Roman" w:eastAsia="仿宋_GB2312" w:cs="Times New Roman"/>
          <w:kern w:val="21"/>
          <w:sz w:val="32"/>
          <w:szCs w:val="32"/>
        </w:rPr>
        <w:t>网上年检系统</w:t>
      </w:r>
      <w:r>
        <w:rPr>
          <w:rFonts w:hint="eastAsia" w:eastAsia="仿宋_GB2312" w:cs="Times New Roman"/>
          <w:kern w:val="21"/>
          <w:sz w:val="32"/>
          <w:szCs w:val="32"/>
          <w:lang w:eastAsia="zh-CN"/>
        </w:rPr>
        <w:t>”</w:t>
      </w:r>
      <w:r>
        <w:rPr>
          <w:rFonts w:hint="default" w:ascii="Times New Roman" w:hAnsi="Times New Roman" w:eastAsia="仿宋_GB2312" w:cs="Times New Roman"/>
          <w:kern w:val="21"/>
          <w:sz w:val="32"/>
          <w:szCs w:val="32"/>
        </w:rPr>
        <w:t>打印提交</w:t>
      </w:r>
      <w:r>
        <w:rPr>
          <w:rFonts w:hint="default" w:ascii="Times New Roman" w:hAnsi="Times New Roman" w:eastAsia="仿宋_GB2312" w:cs="Times New Roman"/>
          <w:snapToGrid w:val="0"/>
          <w:kern w:val="21"/>
          <w:sz w:val="32"/>
          <w:szCs w:val="32"/>
        </w:rPr>
        <w:t>《2025年度检查报告书》，《2025年度检查报告书》内容与实际不符等）；</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2.上年度未开展任何业务活动的；</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3.违背非营利宗旨开展活动的；</w:t>
      </w:r>
    </w:p>
    <w:p>
      <w:pPr>
        <w:adjustRightInd w:val="0"/>
        <w:snapToGrid w:val="0"/>
        <w:spacing w:line="55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4.开展活动危害国家安全的。</w:t>
      </w:r>
    </w:p>
    <w:p>
      <w:pPr>
        <w:adjustRightInd w:val="0"/>
        <w:snapToGrid w:val="0"/>
        <w:spacing w:line="580" w:lineRule="exact"/>
        <w:ind w:firstLine="640" w:firstLineChars="200"/>
        <w:rPr>
          <w:rFonts w:hint="default" w:ascii="黑体" w:hAnsi="黑体" w:eastAsia="黑体" w:cs="黑体"/>
          <w:snapToGrid w:val="0"/>
          <w:kern w:val="21"/>
          <w:sz w:val="32"/>
          <w:szCs w:val="32"/>
        </w:rPr>
      </w:pPr>
      <w:r>
        <w:rPr>
          <w:rFonts w:hint="default" w:ascii="黑体" w:hAnsi="黑体" w:eastAsia="黑体" w:cs="黑体"/>
          <w:snapToGrid w:val="0"/>
          <w:kern w:val="21"/>
          <w:sz w:val="32"/>
          <w:szCs w:val="32"/>
        </w:rPr>
        <w:t>二、民办非企业单位年检审查标准</w:t>
      </w:r>
    </w:p>
    <w:p>
      <w:pPr>
        <w:adjustRightInd w:val="0"/>
        <w:snapToGrid w:val="0"/>
        <w:spacing w:line="580" w:lineRule="exact"/>
        <w:ind w:firstLine="596" w:firstLineChars="200"/>
        <w:rPr>
          <w:rFonts w:hint="default" w:ascii="Times New Roman" w:hAnsi="Times New Roman" w:eastAsia="仿宋_GB2312" w:cs="Times New Roman"/>
          <w:snapToGrid w:val="0"/>
          <w:spacing w:val="-11"/>
          <w:kern w:val="21"/>
          <w:sz w:val="32"/>
          <w:szCs w:val="32"/>
        </w:rPr>
      </w:pPr>
      <w:r>
        <w:rPr>
          <w:rFonts w:hint="default" w:ascii="Times New Roman" w:hAnsi="Times New Roman" w:eastAsia="仿宋_GB2312" w:cs="Times New Roman"/>
          <w:snapToGrid w:val="0"/>
          <w:spacing w:val="-11"/>
          <w:kern w:val="21"/>
          <w:sz w:val="32"/>
          <w:szCs w:val="32"/>
        </w:rPr>
        <w:t>民办非企业单位年检结论分为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基本合格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和</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不合格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spacing w:val="-11"/>
          <w:kern w:val="21"/>
          <w:sz w:val="32"/>
          <w:szCs w:val="32"/>
        </w:rPr>
        <w:t>。</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（一）民办非企业单位内部管理规范，严格按照章程进行内部治理和开展活动，未发现存在违反民办非企业单位登记管理有关法规政策规定的行为，年检结论确定为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（二）发现民办非企业单位在2025年度存在下列情形，情节较轻的，年检结论确定为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基本合格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；情节严重、影响恶劣的，年检结论确定为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不合格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1.应建未建党组织的；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2.未按要求将党的建设和社会主义核心价值观写入章程的；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3.不具备法律规定民办非企业单位法人基本条件的，包括没有与其业务活动相适应的从业人员、年末净资产为负数等情形；</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4.未遵守非营利活动准则的；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5.违反规定使用登记证书、印章或者财务凭证的；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6.未开展业务活动的；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7.不按照章程规定进行活动的，包括超出章程规定的宗旨和业务范围开展活动、未按照章程规定召开理事会或未按期进行理事、监事换届等情形；</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8.无固定住所或必要活动场所的；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9.内部管理混乱，不能正常开展活动的；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10.拒不接受或者不按照规定接受登记管理机关监督检查或年检的；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11.不按照规定办理变更登记，修改章程未按规定核准备案的；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12.设立分支机构的；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13.财务制度不健全，资金来源和使用违反有关规定的；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14.净资产低于国家有关行业主管部门规定的最低标准的；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15.侵占、私分、挪用民办非企业单位的资产或者所接受的捐赠、资助的；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16.违反国家有关规定收取费用、筹集资金或者接受使用捐赠、资助的；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17.年检中隐瞒真实情况，弄虚作假的；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18.未按时报送符合要求的年检材料，或者未按照登记管理机关要求对问题进行整改的；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19.负责人未经登记管理机关批准超龄、超届任职的，或者未按照规定办理负责人备案的；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20.其他违反国家法律法规政策规定和民办非企业单位章程行为的。</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民办非企业单位在提交年检材料前，对存在的违规事项已经自查自纠、主动先行整改或经业务主管单位来函说明存在的问题确有特殊情况的，年检时可视情从轻或免予处理。</w:t>
      </w:r>
    </w:p>
    <w:p>
      <w:pPr>
        <w:adjustRightInd w:val="0"/>
        <w:snapToGrid w:val="0"/>
        <w:spacing w:line="580" w:lineRule="exact"/>
        <w:ind w:firstLine="640" w:firstLineChars="200"/>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三）民办非企业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不合格</w:t>
      </w:r>
      <w:r>
        <w:rPr>
          <w:rFonts w:hint="eastAsia"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rPr>
        <w:t>，并依法给予行政处罚；构成犯罪的，依法追究刑事责任。</w:t>
      </w:r>
    </w:p>
    <w:sectPr>
      <w:footerReference r:id="rId3" w:type="default"/>
      <w:pgSz w:w="11906" w:h="16838"/>
      <w:pgMar w:top="1985" w:right="1418" w:bottom="198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altName w:val="黑体"/>
    <w:panose1 w:val="03000509000000000000"/>
    <w:charset w:val="86"/>
    <w:family w:val="script"/>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3"/>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10C1"/>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09D5"/>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31D3"/>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31EB"/>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0E01"/>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 w:val="09471C30"/>
    <w:rsid w:val="1B442713"/>
    <w:rsid w:val="2AB54190"/>
    <w:rsid w:val="2B6E034B"/>
    <w:rsid w:val="40553F0A"/>
    <w:rsid w:val="51BC3D10"/>
    <w:rsid w:val="7105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9781-473c-4966-951c-ad078e2aa5d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1786</Words>
  <Characters>1845</Characters>
  <Lines>13</Lines>
  <Paragraphs>3</Paragraphs>
  <TotalTime>2</TotalTime>
  <ScaleCrop>false</ScaleCrop>
  <LinksUpToDate>false</LinksUpToDate>
  <CharactersWithSpaces>1845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2026-01-20T03:05:00Z</dcterms:created>
  <dc:creator>陈云川</dc:creator>
  <cp:lastModifiedBy>Administrator民政局</cp:lastModifiedBy>
  <dcterms:modified xsi:type="dcterms:W3CDTF">2026-01-29T08:17:31Z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eyJoZGlkIjoiMDI2N2MzZjk4Y2Q1MGNiMTdjZGYyZWVmYTNmMTAwOWQiLCJ1c2VySWQiOiIyODIwODQ3NzgifQ==</vt:lpwstr>
  </property>
  <property fmtid="{D5CDD505-2E9C-101B-9397-08002B2CF9AE}" pid="3" name="KSOProductBuildVer">
    <vt:lpwstr>2052-11.8.2.8506</vt:lpwstr>
  </property>
  <property fmtid="{D5CDD505-2E9C-101B-9397-08002B2CF9AE}" pid="4" name="ICV">
    <vt:lpwstr>1147AAF1675049A7822F5A98F4CAD5E1_12</vt:lpwstr>
  </property>
</Properties>
</file>