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附件2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永福县202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bCs/>
          <w:sz w:val="36"/>
          <w:szCs w:val="36"/>
        </w:rPr>
        <w:t>年初中学业水平考试及普通高中招生工作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日  程  表</w:t>
      </w:r>
    </w:p>
    <w:p>
      <w:pPr>
        <w:spacing w:line="44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Style w:val="4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790"/>
        <w:gridCol w:w="3260"/>
        <w:gridCol w:w="170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工作内容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负责单位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二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下</w:t>
            </w:r>
            <w:r>
              <w:rPr>
                <w:rFonts w:hint="eastAsia" w:ascii="宋体" w:hAnsi="宋体"/>
              </w:rPr>
              <w:t>午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:00</w:t>
            </w:r>
            <w:r>
              <w:rPr>
                <w:rFonts w:hint="eastAsia" w:ascii="宋体" w:hAnsi="宋体"/>
                <w:lang w:eastAsia="zh-CN"/>
              </w:rPr>
              <w:t>时</w:t>
            </w:r>
            <w:r>
              <w:rPr>
                <w:rFonts w:hint="eastAsia" w:ascii="宋体" w:hAnsi="宋体"/>
              </w:rPr>
              <w:t>召开永福县202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年中考报名工作培训会。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招生办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县教育局二楼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</w:rPr>
              <w:t>4月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一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宋体" w:hAnsi="宋体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学校组织考生在网上报名，审验考生户籍、收集有关材料、确认考生信息、收费。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各初中学校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互联网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农村计划生育家庭独生子女考生和双女结扎户考生向村、镇计生部门提交相关审核材料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各初中学校、乡镇卫生健康部门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村、乡镇相关部门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4月</w:t>
            </w:r>
            <w:r>
              <w:rPr>
                <w:rFonts w:hint="eastAsia" w:ascii="宋体" w:hAnsi="宋体"/>
                <w:lang w:val="en-US" w:eastAsia="zh-CN"/>
              </w:rPr>
              <w:t>26</w:t>
            </w:r>
            <w:r>
              <w:rPr>
                <w:rFonts w:hint="eastAsia" w:ascii="宋体" w:hAnsi="宋体"/>
              </w:rPr>
              <w:t>日前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各初中学校审验材料，完成信息填报与材料提交，组织考生照相并导入电子相片，审验考生户籍、</w:t>
            </w:r>
            <w:r>
              <w:rPr>
                <w:rFonts w:hint="eastAsia" w:ascii="宋体" w:hAnsi="宋体"/>
                <w:lang w:eastAsia="zh-CN"/>
              </w:rPr>
              <w:t>学籍。</w:t>
            </w:r>
          </w:p>
          <w:p>
            <w:pPr>
              <w:spacing w:line="280" w:lineRule="exact"/>
              <w:rPr>
                <w:rFonts w:hint="eastAsia" w:ascii="宋体" w:hAnsi="宋体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各初中学校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各初中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日～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五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 w:ascii="宋体" w:hAnsi="宋体"/>
                <w:lang w:eastAsia="zh-CN"/>
              </w:rPr>
              <w:t>二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县招生办接受个体考生报名，审验有关材料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招生办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县招生办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前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一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仿宋_GB2312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完成流入人员与加分材料审核；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各学校及县招办完成报名资格审核、报名人数统计、安排考场，上报订卷表、考务资料预订数。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基础教育股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教育局网络传送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制定并印发2024年本县初中学业水平考试与高中阶段招生工作方案；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上报2024年本县初中学业水平考试与高中阶段招生工作领导小组名单；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完成体育与健康考试。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完成各考点设置及保密室建设专项督导检查。</w:t>
            </w:r>
          </w:p>
          <w:p>
            <w:pPr>
              <w:numPr>
                <w:numId w:val="0"/>
              </w:numPr>
              <w:spacing w:line="300" w:lineRule="exact"/>
              <w:ind w:leftChars="0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各校完成物理、化学、生物实验技能测试工作并将测试结果加盖公章上报教研室及招生办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，将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测试结果导入报名系统。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县中考领导小组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基础教育股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教育局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、互联网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前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一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完成学生综合素质评价工作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2.各初中学校完成学区生资格审核、公示工作，并将《永福县 202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年示范性普通高中学区生资格名册》报县中考办（基教股）；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由招生办将基教股审核通过的学区生名单导入网络管理系统；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.各普通高中报送特长生招生计划表到县教育局基础教育股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审核并完成特长生报名、初审工作。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基础教育股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招生办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各学校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县教育局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互联网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一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完成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中考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体育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与健康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考试成绩统计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上报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工作。</w:t>
            </w:r>
          </w:p>
          <w:p>
            <w:pPr>
              <w:numPr>
                <w:ilvl w:val="0"/>
                <w:numId w:val="2"/>
              </w:numPr>
              <w:spacing w:line="300" w:lineRule="exac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参加桂林市中考工作会议，领取初中学业水平考试材料。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基教股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县教育局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市考试院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14日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spacing w:line="30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完成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综合素质评价评审工作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督导检查并导入报名系统，纸质材料上报。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ind w:leftChars="0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基础教育股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教研室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日前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一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各有关高中完成特长生初审名单上报基础教育股，基教股审核确定并公示，上报市中考办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召开全县主考、副主考、巡考员及相关考务人员培训会。</w:t>
            </w:r>
          </w:p>
          <w:p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打印准考证及相关材料。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基教股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招生办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县教育局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6月19日前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三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落实领卷车辆，上报考区有关材料。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考试院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6月21日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1.各考点做好考前准备工作；</w:t>
            </w:r>
          </w:p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2.各校对考生进行考风考纪及安全教育；</w:t>
            </w:r>
          </w:p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3.各考点培训监考员和考务人员。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6月22日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六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专人、专车到市考试院领取试卷。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县招办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市考试院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6月23日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日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1.上午，各考点主考、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副主考、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公安人员专人专车接202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年中考试卷至各考点保密室，县派巡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考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员随车下各考点；</w:t>
            </w:r>
          </w:p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2.县派巡考员检查各考点试卷保密、考试准备情况；</w:t>
            </w:r>
          </w:p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3.15:30～17:30各考点培训监考员及考务工作人员，布置考场，做好考试准备工作。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县招生办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各考点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县招生办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各考点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6月24日～2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～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四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全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区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统一考试。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县招生办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各考点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各考点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四</w:t>
            </w:r>
          </w:p>
        </w:tc>
        <w:tc>
          <w:tcPr>
            <w:tcW w:w="32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各学校再次向考生宣传我县高中招生录取办法，模拟填报志愿及强调注意事项。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招生办专车上送答题卡及有关材料。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28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招生办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市考试院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6月底前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由招生办领回考生密码信封并交由学校发至考生。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招生办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6月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下旬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至7月5日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各学校组织考生进行普通高中招生网上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志愿填报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培训。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公布永福县县普通高中招生计划。</w:t>
            </w:r>
          </w:p>
          <w:p>
            <w:pPr>
              <w:spacing w:line="280" w:lineRule="exact"/>
              <w:rPr>
                <w:rFonts w:hint="eastAsia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各学校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7月9日前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二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桂林市中考领导小组公布中考成绩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召开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我县各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高中、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中职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招生工作会议；</w:t>
            </w:r>
          </w:p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划定各高中最低录取资格线并报市中考领导小组。</w:t>
            </w:r>
          </w:p>
          <w:p>
            <w:pPr>
              <w:numPr>
                <w:ilvl w:val="0"/>
                <w:numId w:val="5"/>
              </w:numPr>
              <w:spacing w:line="280" w:lineRule="exac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市考试院网络公布全市202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年招生计划及招生时段。</w:t>
            </w:r>
          </w:p>
          <w:p>
            <w:pPr>
              <w:widowControl w:val="0"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280" w:lineRule="exact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各高中学校</w:t>
            </w:r>
          </w:p>
          <w:p>
            <w:pPr>
              <w:spacing w:line="280" w:lineRule="exact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县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中考领导小组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互联网、市（县）招生考试机构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日期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星期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工作内容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负责单位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地 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7月10日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三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210" w:firstLineChars="10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示范性高中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永福中学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第一时段统招生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网上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报名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县中考领导小组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五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ind w:firstLine="420" w:firstLineChars="200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示范性高中永福中学第二时段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招生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网上报名。</w:t>
            </w:r>
          </w:p>
          <w:p>
            <w:pPr>
              <w:spacing w:line="28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县中考领导小组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14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日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普通高中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永福二中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第三时段</w:t>
            </w:r>
          </w:p>
          <w:p>
            <w:pPr>
              <w:spacing w:line="280" w:lineRule="exact"/>
              <w:ind w:firstLine="105" w:firstLineChar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统招生网上报名。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县中考领导小组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二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各高中学校招生录取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  <w:t>，下载录取名单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。</w:t>
            </w:r>
          </w:p>
          <w:p>
            <w:pPr>
              <w:spacing w:line="300" w:lineRule="exact"/>
              <w:ind w:firstLine="420" w:firstLineChars="200"/>
              <w:rPr>
                <w:rFonts w:hint="eastAsia"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县中考领导小组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各高中学校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既定场所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仿宋_GB2312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  <w:t>18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日前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四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1.各高中学校上报新生录取名册到招生办（学校签字盖章）；</w:t>
            </w:r>
          </w:p>
          <w:p>
            <w:pPr>
              <w:spacing w:line="300" w:lineRule="exact"/>
              <w:ind w:firstLine="420" w:firstLineChars="200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2.各招生学校下载新生电子档案，发放录取通知书（录取通知书由各高中学校送达各初中学校，由初中学校统一发给学生）。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招生学校</w:t>
            </w:r>
          </w:p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招生学校</w:t>
            </w:r>
          </w:p>
          <w:p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各初中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7月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  <w:t>22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日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一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第四时段：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</w:rPr>
              <w:t>全市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未完成招生计划的普通高中学校招生网上报名。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市、县中考领导小组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互联网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7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8月底前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完成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2024年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初中学业水平考试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工作总结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并上报。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中考领导小组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市基教科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市考试院</w:t>
            </w:r>
          </w:p>
        </w:tc>
      </w:tr>
    </w:tbl>
    <w:p>
      <w:pPr>
        <w:spacing w:line="36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备注：</w:t>
      </w:r>
    </w:p>
    <w:p>
      <w:pPr>
        <w:numPr>
          <w:ilvl w:val="0"/>
          <w:numId w:val="6"/>
        </w:numPr>
        <w:spacing w:line="360" w:lineRule="exac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表内未注明具体时间的均按正常上班时间办公；</w:t>
      </w:r>
    </w:p>
    <w:p>
      <w:pPr>
        <w:numPr>
          <w:ilvl w:val="0"/>
          <w:numId w:val="6"/>
        </w:numPr>
        <w:spacing w:line="3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表内的安排时间、工作内容如有变动，将另行通知；</w:t>
      </w:r>
    </w:p>
    <w:p>
      <w:pPr>
        <w:numPr>
          <w:ilvl w:val="0"/>
          <w:numId w:val="6"/>
        </w:numPr>
        <w:spacing w:line="360" w:lineRule="exact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高中招生网上报名具体时间节点以</w:t>
      </w:r>
      <w:r>
        <w:rPr>
          <w:rFonts w:hint="eastAsia" w:ascii="仿宋" w:hAnsi="仿宋" w:eastAsia="仿宋" w:cs="宋体"/>
          <w:b/>
          <w:bCs/>
          <w:sz w:val="28"/>
          <w:szCs w:val="28"/>
        </w:rPr>
        <w:t>桂林市中考信息网</w:t>
      </w:r>
      <w:r>
        <w:rPr>
          <w:rFonts w:ascii="仿宋" w:hAnsi="仿宋" w:eastAsia="仿宋" w:cs="仿宋_GB2312"/>
          <w:b/>
          <w:bCs/>
          <w:sz w:val="28"/>
          <w:szCs w:val="28"/>
        </w:rPr>
        <w:t xml:space="preserve">www.glgzlq.com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发布的时间为准</w:t>
      </w:r>
      <w:r>
        <w:rPr>
          <w:rFonts w:ascii="仿宋" w:hAnsi="仿宋" w:eastAsia="仿宋"/>
          <w:b/>
          <w:bCs/>
          <w:sz w:val="28"/>
          <w:szCs w:val="28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88" w:right="1418" w:bottom="1588" w:left="1418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- 4 -</w:t>
    </w:r>
    <w:r>
      <w:rPr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6B48C"/>
    <w:multiLevelType w:val="singleLevel"/>
    <w:tmpl w:val="89F6B4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6F8720D"/>
    <w:multiLevelType w:val="singleLevel"/>
    <w:tmpl w:val="E6F8720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7391AF4"/>
    <w:multiLevelType w:val="singleLevel"/>
    <w:tmpl w:val="47391AF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4BFD505"/>
    <w:multiLevelType w:val="singleLevel"/>
    <w:tmpl w:val="64BFD5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C4F0980"/>
    <w:multiLevelType w:val="singleLevel"/>
    <w:tmpl w:val="7C4F09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D7B1887"/>
    <w:multiLevelType w:val="singleLevel"/>
    <w:tmpl w:val="7D7B188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333"/>
    <w:rsid w:val="00007CAC"/>
    <w:rsid w:val="000421BF"/>
    <w:rsid w:val="00063AD3"/>
    <w:rsid w:val="00065DD1"/>
    <w:rsid w:val="00066D0C"/>
    <w:rsid w:val="00075206"/>
    <w:rsid w:val="00084EEA"/>
    <w:rsid w:val="00091FE9"/>
    <w:rsid w:val="00097462"/>
    <w:rsid w:val="000E2858"/>
    <w:rsid w:val="000E2E4B"/>
    <w:rsid w:val="00103D96"/>
    <w:rsid w:val="00162887"/>
    <w:rsid w:val="00172303"/>
    <w:rsid w:val="00180931"/>
    <w:rsid w:val="00183802"/>
    <w:rsid w:val="001A387D"/>
    <w:rsid w:val="001B0FFA"/>
    <w:rsid w:val="001D6522"/>
    <w:rsid w:val="001F0537"/>
    <w:rsid w:val="00216CB4"/>
    <w:rsid w:val="002320B8"/>
    <w:rsid w:val="002352CE"/>
    <w:rsid w:val="00247A31"/>
    <w:rsid w:val="002557E1"/>
    <w:rsid w:val="00274D2B"/>
    <w:rsid w:val="0028032F"/>
    <w:rsid w:val="00297A00"/>
    <w:rsid w:val="002A378F"/>
    <w:rsid w:val="002A3A94"/>
    <w:rsid w:val="002A436F"/>
    <w:rsid w:val="002A4B0F"/>
    <w:rsid w:val="002A79C9"/>
    <w:rsid w:val="002C7222"/>
    <w:rsid w:val="002D76A4"/>
    <w:rsid w:val="002E6B20"/>
    <w:rsid w:val="002F4E05"/>
    <w:rsid w:val="00303C07"/>
    <w:rsid w:val="00307B61"/>
    <w:rsid w:val="0031089D"/>
    <w:rsid w:val="00312FC5"/>
    <w:rsid w:val="00337A69"/>
    <w:rsid w:val="00340AE1"/>
    <w:rsid w:val="003546FC"/>
    <w:rsid w:val="0037438D"/>
    <w:rsid w:val="00381A51"/>
    <w:rsid w:val="00383C06"/>
    <w:rsid w:val="003A305E"/>
    <w:rsid w:val="003E4727"/>
    <w:rsid w:val="00402AD8"/>
    <w:rsid w:val="00413911"/>
    <w:rsid w:val="00460B13"/>
    <w:rsid w:val="0047407D"/>
    <w:rsid w:val="004A7BB4"/>
    <w:rsid w:val="004B4A00"/>
    <w:rsid w:val="004C60BD"/>
    <w:rsid w:val="004D0064"/>
    <w:rsid w:val="004D0588"/>
    <w:rsid w:val="004D303E"/>
    <w:rsid w:val="004E2DA9"/>
    <w:rsid w:val="0051197A"/>
    <w:rsid w:val="00527E93"/>
    <w:rsid w:val="005363DD"/>
    <w:rsid w:val="005375AC"/>
    <w:rsid w:val="0054339A"/>
    <w:rsid w:val="005679CE"/>
    <w:rsid w:val="005924CD"/>
    <w:rsid w:val="005A3BD7"/>
    <w:rsid w:val="005B679F"/>
    <w:rsid w:val="005D70D8"/>
    <w:rsid w:val="005E6D0B"/>
    <w:rsid w:val="005F5129"/>
    <w:rsid w:val="0060409F"/>
    <w:rsid w:val="00610F75"/>
    <w:rsid w:val="0064438D"/>
    <w:rsid w:val="006465A3"/>
    <w:rsid w:val="00673A0E"/>
    <w:rsid w:val="00674507"/>
    <w:rsid w:val="00686FD7"/>
    <w:rsid w:val="00694056"/>
    <w:rsid w:val="006A18BF"/>
    <w:rsid w:val="006A1DE9"/>
    <w:rsid w:val="006D5B13"/>
    <w:rsid w:val="006D7208"/>
    <w:rsid w:val="006E5391"/>
    <w:rsid w:val="006F0BEB"/>
    <w:rsid w:val="006F19E7"/>
    <w:rsid w:val="00704C21"/>
    <w:rsid w:val="0070697E"/>
    <w:rsid w:val="00724227"/>
    <w:rsid w:val="00735B72"/>
    <w:rsid w:val="00743020"/>
    <w:rsid w:val="00744F5C"/>
    <w:rsid w:val="00753FE5"/>
    <w:rsid w:val="00755C2E"/>
    <w:rsid w:val="007873A7"/>
    <w:rsid w:val="007C3C26"/>
    <w:rsid w:val="007E3988"/>
    <w:rsid w:val="007E62F3"/>
    <w:rsid w:val="007F4BBE"/>
    <w:rsid w:val="008026DA"/>
    <w:rsid w:val="00804E69"/>
    <w:rsid w:val="00820E38"/>
    <w:rsid w:val="00836D09"/>
    <w:rsid w:val="00861C0E"/>
    <w:rsid w:val="00890CDC"/>
    <w:rsid w:val="00891D32"/>
    <w:rsid w:val="008C220D"/>
    <w:rsid w:val="008C347B"/>
    <w:rsid w:val="008C530B"/>
    <w:rsid w:val="008E0492"/>
    <w:rsid w:val="008E3352"/>
    <w:rsid w:val="009256C8"/>
    <w:rsid w:val="009612FA"/>
    <w:rsid w:val="009A5515"/>
    <w:rsid w:val="009C4EAF"/>
    <w:rsid w:val="009D5467"/>
    <w:rsid w:val="00A02F27"/>
    <w:rsid w:val="00A11F1D"/>
    <w:rsid w:val="00A13850"/>
    <w:rsid w:val="00A80E5B"/>
    <w:rsid w:val="00A80E68"/>
    <w:rsid w:val="00A91BDF"/>
    <w:rsid w:val="00AE6A23"/>
    <w:rsid w:val="00AF52A8"/>
    <w:rsid w:val="00B0248D"/>
    <w:rsid w:val="00B0463D"/>
    <w:rsid w:val="00B0666A"/>
    <w:rsid w:val="00B13D50"/>
    <w:rsid w:val="00B26A12"/>
    <w:rsid w:val="00B273EE"/>
    <w:rsid w:val="00B30875"/>
    <w:rsid w:val="00B36675"/>
    <w:rsid w:val="00B4779D"/>
    <w:rsid w:val="00B53E46"/>
    <w:rsid w:val="00B70825"/>
    <w:rsid w:val="00B71008"/>
    <w:rsid w:val="00B76DBF"/>
    <w:rsid w:val="00B77814"/>
    <w:rsid w:val="00B856AC"/>
    <w:rsid w:val="00B91864"/>
    <w:rsid w:val="00B9208B"/>
    <w:rsid w:val="00B9359C"/>
    <w:rsid w:val="00BA54EE"/>
    <w:rsid w:val="00BA6EAC"/>
    <w:rsid w:val="00BE1A42"/>
    <w:rsid w:val="00BE44F8"/>
    <w:rsid w:val="00BE4E10"/>
    <w:rsid w:val="00BE7515"/>
    <w:rsid w:val="00C12126"/>
    <w:rsid w:val="00C24193"/>
    <w:rsid w:val="00C4282D"/>
    <w:rsid w:val="00C95851"/>
    <w:rsid w:val="00CA4E0C"/>
    <w:rsid w:val="00CD0C11"/>
    <w:rsid w:val="00CE3E01"/>
    <w:rsid w:val="00D166DF"/>
    <w:rsid w:val="00D25FAA"/>
    <w:rsid w:val="00D51184"/>
    <w:rsid w:val="00D5139B"/>
    <w:rsid w:val="00D76681"/>
    <w:rsid w:val="00D768FA"/>
    <w:rsid w:val="00D9120B"/>
    <w:rsid w:val="00D9315F"/>
    <w:rsid w:val="00D9645D"/>
    <w:rsid w:val="00DA1052"/>
    <w:rsid w:val="00DE1623"/>
    <w:rsid w:val="00DE4570"/>
    <w:rsid w:val="00E03216"/>
    <w:rsid w:val="00E41D90"/>
    <w:rsid w:val="00E42787"/>
    <w:rsid w:val="00E46A17"/>
    <w:rsid w:val="00E80A43"/>
    <w:rsid w:val="00EC2B76"/>
    <w:rsid w:val="00ED44BD"/>
    <w:rsid w:val="00EF3190"/>
    <w:rsid w:val="00EF6333"/>
    <w:rsid w:val="00F82449"/>
    <w:rsid w:val="00F92B93"/>
    <w:rsid w:val="00FC1F84"/>
    <w:rsid w:val="00FD6431"/>
    <w:rsid w:val="02AA50E5"/>
    <w:rsid w:val="0FDA2901"/>
    <w:rsid w:val="1ADE32DE"/>
    <w:rsid w:val="233231D9"/>
    <w:rsid w:val="271D4D8D"/>
    <w:rsid w:val="3BD11DB8"/>
    <w:rsid w:val="47B332C0"/>
    <w:rsid w:val="4C545B71"/>
    <w:rsid w:val="52555B21"/>
    <w:rsid w:val="54AB7910"/>
    <w:rsid w:val="55191E17"/>
    <w:rsid w:val="5F911EF3"/>
    <w:rsid w:val="73861D97"/>
    <w:rsid w:val="7A30429C"/>
    <w:rsid w:val="7D885CD3"/>
    <w:rsid w:val="7E487175"/>
    <w:rsid w:val="7FE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locked/>
    <w:uiPriority w:val="0"/>
    <w:rPr>
      <w:rFonts w:eastAsia="宋体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0"/>
    <w:rPr>
      <w:rFonts w:eastAsia="宋体"/>
      <w:sz w:val="18"/>
      <w:szCs w:val="18"/>
    </w:rPr>
  </w:style>
  <w:style w:type="character" w:customStyle="1" w:styleId="9">
    <w:name w:val="页眉 Char1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_Style 2"/>
    <w:basedOn w:val="1"/>
    <w:qFormat/>
    <w:uiPriority w:val="0"/>
    <w:pPr>
      <w:ind w:firstLine="420" w:firstLineChars="200"/>
    </w:pPr>
    <w:rPr>
      <w:rFonts w:ascii="Calibri" w:hAnsi="Calibri" w:cs="Calibri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407</Words>
  <Characters>2325</Characters>
  <Lines>19</Lines>
  <Paragraphs>5</Paragraphs>
  <TotalTime>4</TotalTime>
  <ScaleCrop>false</ScaleCrop>
  <LinksUpToDate>false</LinksUpToDate>
  <CharactersWithSpaces>2727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2019-04-22T09:34:00Z</dcterms:created>
  <dc:creator>Administrator</dc:creator>
  <cp:lastModifiedBy>Administrator</cp:lastModifiedBy>
  <cp:lastPrinted>2023-05-30T01:06:00Z</cp:lastPrinted>
  <dcterms:modified xsi:type="dcterms:W3CDTF">2024-05-15T09:41:26Z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29193687045C43FD81F9B4633D0852CB</vt:lpwstr>
  </property>
</Properties>
</file>