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3083" w:type="dxa"/>
        <w:jc w:val="right"/>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
      <w:tblGrid>
        <w:gridCol w:w="1215"/>
        <w:gridCol w:w="1868"/>
      </w:tblGrid>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PrEx>
        <w:trPr>
          <w:trHeight w:val="464" w:hRule="atLeast"/>
          <w:jc w:val="right"/>
        </w:trPr>
        <w:tc>
          <w:tcPr>
            <w:tcW w:w="3083" w:type="dxa"/>
            <w:gridSpan w:val="2"/>
            <w:tcBorders>
              <w:tl2br w:val="nil"/>
              <w:tr2bl w:val="nil"/>
            </w:tcBorders>
          </w:tcPr>
          <w:p>
            <w:pPr>
              <w:keepNext w:val="0"/>
              <w:keepLines w:val="0"/>
              <w:suppressLineNumbers w:val="0"/>
              <w:spacing w:before="0" w:beforeAutospacing="0" w:after="0" w:afterAutospacing="0" w:line="400" w:lineRule="exact"/>
              <w:ind w:left="0" w:right="0"/>
              <w:jc w:val="distribute"/>
              <w:rPr>
                <w:rFonts w:hint="default"/>
                <w:b/>
                <w:color w:val="FF0000"/>
                <w:sz w:val="28"/>
                <w:szCs w:val="36"/>
              </w:rPr>
            </w:pPr>
            <w:r>
              <w:rPr>
                <w:rFonts w:hint="eastAsia"/>
                <w:b/>
                <w:color w:val="FF0000"/>
                <w:sz w:val="28"/>
                <w:szCs w:val="36"/>
              </w:rPr>
              <w:t>电子公文打印版</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jc w:val="right"/>
        </w:trPr>
        <w:tc>
          <w:tcPr>
            <w:tcW w:w="1215" w:type="dxa"/>
            <w:tcBorders>
              <w:tl2br w:val="nil"/>
              <w:tr2bl w:val="nil"/>
            </w:tcBorders>
          </w:tcPr>
          <w:p>
            <w:pPr>
              <w:keepNext w:val="0"/>
              <w:keepLines w:val="0"/>
              <w:suppressLineNumbers w:val="0"/>
              <w:spacing w:before="0" w:beforeAutospacing="0" w:after="0" w:afterAutospacing="0"/>
              <w:ind w:left="0" w:right="0"/>
              <w:rPr>
                <w:rFonts w:hint="default"/>
                <w:b/>
                <w:color w:val="FF0000"/>
                <w:sz w:val="24"/>
              </w:rPr>
            </w:pPr>
            <w:r>
              <w:rPr>
                <w:rFonts w:hint="eastAsia"/>
                <w:b/>
                <w:color w:val="FF0000"/>
                <w:sz w:val="24"/>
              </w:rPr>
              <w:t>打印单位</w:t>
            </w:r>
          </w:p>
        </w:tc>
        <w:tc>
          <w:tcPr>
            <w:tcW w:w="1868" w:type="dxa"/>
            <w:tcBorders>
              <w:tl2br w:val="nil"/>
              <w:tr2bl w:val="nil"/>
            </w:tcBorders>
          </w:tcPr>
          <w:p>
            <w:pPr>
              <w:keepNext w:val="0"/>
              <w:keepLines w:val="0"/>
              <w:suppressLineNumbers w:val="0"/>
              <w:spacing w:before="0" w:beforeAutospacing="0" w:after="0" w:afterAutospacing="0"/>
              <w:ind w:left="0" w:right="0"/>
              <w:rPr>
                <w:rFonts w:hint="default"/>
                <w:b/>
                <w:color w:val="FF0000"/>
                <w:sz w:val="24"/>
              </w:rPr>
            </w:pP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jc w:val="right"/>
        </w:trPr>
        <w:tc>
          <w:tcPr>
            <w:tcW w:w="1215" w:type="dxa"/>
            <w:tcBorders>
              <w:tl2br w:val="nil"/>
              <w:tr2bl w:val="nil"/>
            </w:tcBorders>
          </w:tcPr>
          <w:p>
            <w:pPr>
              <w:keepNext w:val="0"/>
              <w:keepLines w:val="0"/>
              <w:suppressLineNumbers w:val="0"/>
              <w:spacing w:before="0" w:beforeAutospacing="0" w:after="0" w:afterAutospacing="0"/>
              <w:ind w:left="0" w:right="0"/>
              <w:rPr>
                <w:rFonts w:hint="default"/>
                <w:b/>
                <w:color w:val="FF0000"/>
                <w:sz w:val="24"/>
              </w:rPr>
            </w:pPr>
            <w:r>
              <w:rPr>
                <w:rFonts w:hint="eastAsia"/>
                <w:b/>
                <w:color w:val="FF0000"/>
                <w:sz w:val="24"/>
              </w:rPr>
              <w:t>打 印 人</w:t>
            </w:r>
          </w:p>
        </w:tc>
        <w:tc>
          <w:tcPr>
            <w:tcW w:w="1868" w:type="dxa"/>
            <w:tcBorders>
              <w:tl2br w:val="nil"/>
              <w:tr2bl w:val="nil"/>
            </w:tcBorders>
          </w:tcPr>
          <w:p>
            <w:pPr>
              <w:keepNext w:val="0"/>
              <w:keepLines w:val="0"/>
              <w:suppressLineNumbers w:val="0"/>
              <w:spacing w:before="0" w:beforeAutospacing="0" w:after="0" w:afterAutospacing="0"/>
              <w:ind w:left="0" w:right="0"/>
              <w:rPr>
                <w:rFonts w:hint="default"/>
                <w:b/>
                <w:color w:val="FF0000"/>
                <w:sz w:val="24"/>
              </w:rPr>
            </w:pP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jc w:val="right"/>
        </w:trPr>
        <w:tc>
          <w:tcPr>
            <w:tcW w:w="3083" w:type="dxa"/>
            <w:gridSpan w:val="2"/>
            <w:tcBorders>
              <w:tl2br w:val="nil"/>
              <w:tr2bl w:val="nil"/>
            </w:tcBorders>
          </w:tcPr>
          <w:p>
            <w:pPr>
              <w:keepNext w:val="0"/>
              <w:keepLines w:val="0"/>
              <w:suppressLineNumbers w:val="0"/>
              <w:spacing w:before="0" w:beforeAutospacing="0" w:after="0" w:afterAutospacing="0"/>
              <w:ind w:left="0" w:right="0"/>
              <w:jc w:val="right"/>
              <w:rPr>
                <w:rFonts w:hint="default"/>
                <w:b/>
                <w:color w:val="FF0000"/>
                <w:sz w:val="24"/>
              </w:rPr>
            </w:pPr>
            <w:r>
              <w:rPr>
                <w:rFonts w:hint="eastAsia"/>
                <w:b/>
                <w:color w:val="FF0000"/>
                <w:sz w:val="24"/>
              </w:rPr>
              <w:t>年    月   日</w:t>
            </w:r>
          </w:p>
        </w:tc>
      </w:tr>
    </w:tbl>
    <w:p>
      <w:pPr>
        <w:jc w:val="center"/>
        <w:rPr>
          <w:rFonts w:ascii="华文中宋" w:hAnsi="华文中宋" w:eastAsia="华文中宋"/>
          <w:b/>
          <w:color w:val="FF0000"/>
          <w:spacing w:val="40"/>
          <w:sz w:val="44"/>
          <w:szCs w:val="44"/>
        </w:rPr>
      </w:pPr>
    </w:p>
    <w:p>
      <w:pPr>
        <w:spacing w:line="0" w:lineRule="atLeast"/>
        <w:jc w:val="center"/>
        <w:rPr>
          <w:rFonts w:ascii="方正小标宋_GBK" w:hAnsi="宋体" w:eastAsia="方正小标宋_GBK"/>
          <w:b/>
          <w:color w:val="FF0000"/>
          <w:spacing w:val="40"/>
          <w:sz w:val="78"/>
          <w:szCs w:val="78"/>
        </w:rPr>
      </w:pPr>
      <w:r>
        <w:rPr>
          <w:rFonts w:hint="eastAsia" w:ascii="方正小标宋_GBK" w:hAnsi="宋体" w:eastAsia="方正小标宋_GBK"/>
          <w:b/>
          <w:color w:val="FF0000"/>
          <w:spacing w:val="40"/>
          <w:sz w:val="78"/>
          <w:szCs w:val="78"/>
        </w:rPr>
        <w:t>桂林市交通运输局文件</w:t>
      </w:r>
    </w:p>
    <w:p>
      <w:pPr>
        <w:spacing w:line="240" w:lineRule="exact"/>
        <w:rPr>
          <w:rFonts w:ascii="华文中宋" w:hAnsi="华文中宋" w:eastAsia="华文中宋"/>
          <w:sz w:val="32"/>
          <w:szCs w:val="32"/>
        </w:rPr>
      </w:pPr>
    </w:p>
    <w:p>
      <w:pPr>
        <w:spacing w:line="240" w:lineRule="exact"/>
        <w:rPr>
          <w:rFonts w:ascii="华文中宋" w:hAnsi="华文中宋" w:eastAsia="华文中宋"/>
          <w:sz w:val="32"/>
          <w:szCs w:val="32"/>
        </w:rPr>
      </w:pPr>
    </w:p>
    <w:p>
      <w:pPr>
        <w:spacing w:line="700" w:lineRule="atLeast"/>
        <w:jc w:val="center"/>
        <w:rPr>
          <w:rFonts w:ascii="仿宋_GB2312" w:hAnsi="仿宋" w:eastAsia="仿宋_GB2312" w:cs="仿宋_GB2312"/>
          <w:bCs/>
          <w:sz w:val="32"/>
          <w:szCs w:val="44"/>
        </w:rPr>
      </w:pPr>
      <w:r>
        <w:rPr>
          <w:rFonts w:hint="eastAsia" w:ascii="仿宋_GB2312" w:hAnsi="仿宋" w:eastAsia="仿宋_GB2312" w:cs="仿宋_GB2312"/>
          <w:bCs/>
          <w:sz w:val="32"/>
          <w:szCs w:val="44"/>
        </w:rPr>
        <w:t>市交安〔2021〕</w:t>
      </w:r>
      <w:r>
        <w:rPr>
          <w:rFonts w:hint="eastAsia" w:ascii="仿宋_GB2312" w:hAnsi="仿宋" w:eastAsia="仿宋_GB2312" w:cs="仿宋_GB2312"/>
          <w:bCs/>
          <w:sz w:val="32"/>
          <w:szCs w:val="44"/>
          <w:lang w:val="en-US" w:eastAsia="zh-CN"/>
        </w:rPr>
        <w:t>4</w:t>
      </w:r>
      <w:r>
        <w:rPr>
          <w:rFonts w:hint="eastAsia" w:ascii="仿宋_GB2312" w:hAnsi="仿宋" w:eastAsia="仿宋_GB2312" w:cs="仿宋_GB2312"/>
          <w:bCs/>
          <w:sz w:val="32"/>
          <w:szCs w:val="44"/>
        </w:rPr>
        <w:t>号</w:t>
      </w:r>
    </w:p>
    <w:p>
      <w:pPr>
        <w:spacing w:line="240" w:lineRule="exact"/>
        <w:jc w:val="center"/>
        <w:rPr>
          <w:rFonts w:ascii="华文中宋" w:hAnsi="华文中宋" w:eastAsia="华文中宋"/>
          <w:sz w:val="44"/>
          <w:szCs w:val="44"/>
        </w:rPr>
      </w:pPr>
      <w:r>
        <w:rPr>
          <w:rFonts w:ascii="华文中宋" w:hAnsi="华文中宋" w:eastAsia="华文中宋"/>
          <w:sz w:val="32"/>
          <w:szCs w:val="32"/>
        </w:rPr>
        <w:pict>
          <v:line id="Line 2" o:spid="_x0000_s2050" o:spt="20" style="position:absolute;left:0pt;margin-left:0pt;margin-top:7.35pt;height:0pt;width:468pt;z-index:251659264;mso-width-relative:page;mso-height-relative:page;" stroked="t" coordsize="21600,21600">
            <v:path arrowok="t"/>
            <v:fill focussize="0,0"/>
            <v:stroke weight="3pt" color="#FF0000"/>
            <v:imagedata o:title=""/>
            <o:lock v:ext="edit"/>
          </v:line>
        </w:pict>
      </w:r>
    </w:p>
    <w:p>
      <w:pPr>
        <w:spacing w:line="520" w:lineRule="exact"/>
      </w:pPr>
    </w:p>
    <w:p>
      <w:pPr>
        <w:keepNext w:val="0"/>
        <w:keepLines w:val="0"/>
        <w:widowControl w:val="0"/>
        <w:suppressLineNumbers w:val="0"/>
        <w:spacing w:before="0" w:beforeAutospacing="0" w:after="0" w:afterAutospacing="0" w:line="640" w:lineRule="exact"/>
        <w:ind w:left="0" w:right="0"/>
        <w:jc w:val="center"/>
        <w:rPr>
          <w:rFonts w:hint="eastAsia" w:ascii="方正小标宋_GBK" w:hAnsi="宋体" w:eastAsia="方正小标宋_GBK" w:cs="宋体"/>
          <w:bCs/>
          <w:sz w:val="44"/>
          <w:szCs w:val="44"/>
          <w:lang w:val="en-US"/>
        </w:rPr>
      </w:pPr>
      <w:r>
        <w:rPr>
          <w:rFonts w:hint="eastAsia" w:ascii="方正小标宋_GBK" w:hAnsi="宋体" w:eastAsia="方正小标宋_GBK" w:cs="宋体"/>
          <w:bCs/>
          <w:kern w:val="2"/>
          <w:sz w:val="44"/>
          <w:szCs w:val="44"/>
          <w:lang w:val="en-US" w:eastAsia="zh-CN" w:bidi="ar"/>
        </w:rPr>
        <w:t>桂林市交通运输局关于印发2021年</w:t>
      </w:r>
    </w:p>
    <w:p>
      <w:pPr>
        <w:keepNext w:val="0"/>
        <w:keepLines w:val="0"/>
        <w:widowControl w:val="0"/>
        <w:suppressLineNumbers w:val="0"/>
        <w:spacing w:before="0" w:beforeAutospacing="0" w:after="0" w:afterAutospacing="0" w:line="640" w:lineRule="exact"/>
        <w:ind w:left="0" w:right="0"/>
        <w:jc w:val="center"/>
        <w:rPr>
          <w:rFonts w:hint="eastAsia" w:ascii="方正小标宋_GBK" w:hAnsi="宋体" w:eastAsia="方正小标宋_GBK" w:cs="宋体"/>
          <w:bCs/>
          <w:sz w:val="44"/>
          <w:szCs w:val="44"/>
          <w:lang w:val="en-US"/>
        </w:rPr>
      </w:pPr>
      <w:r>
        <w:rPr>
          <w:rFonts w:hint="eastAsia" w:ascii="方正小标宋_GBK" w:hAnsi="宋体" w:eastAsia="方正小标宋_GBK" w:cs="宋体"/>
          <w:bCs/>
          <w:kern w:val="2"/>
          <w:sz w:val="44"/>
          <w:szCs w:val="44"/>
          <w:lang w:val="en-US" w:eastAsia="zh-CN" w:bidi="ar"/>
        </w:rPr>
        <w:t>桂林市道路运输安全生产专项整治</w:t>
      </w:r>
    </w:p>
    <w:p>
      <w:pPr>
        <w:keepNext w:val="0"/>
        <w:keepLines w:val="0"/>
        <w:widowControl w:val="0"/>
        <w:suppressLineNumbers w:val="0"/>
        <w:spacing w:before="0" w:beforeAutospacing="0" w:after="0" w:afterAutospacing="0" w:line="640" w:lineRule="exact"/>
        <w:ind w:left="0" w:right="0"/>
        <w:jc w:val="center"/>
        <w:rPr>
          <w:rFonts w:hint="eastAsia" w:ascii="方正小标宋_GBK" w:hAnsi="宋体" w:eastAsia="方正小标宋_GBK" w:cs="宋体"/>
          <w:bCs/>
          <w:sz w:val="44"/>
          <w:szCs w:val="44"/>
          <w:lang w:val="en-US"/>
        </w:rPr>
      </w:pPr>
      <w:r>
        <w:rPr>
          <w:rFonts w:hint="eastAsia" w:ascii="方正小标宋_GBK" w:hAnsi="宋体" w:eastAsia="方正小标宋_GBK" w:cs="宋体"/>
          <w:bCs/>
          <w:kern w:val="2"/>
          <w:sz w:val="44"/>
          <w:szCs w:val="44"/>
          <w:lang w:val="en-US" w:eastAsia="zh-CN" w:bidi="ar"/>
        </w:rPr>
        <w:t>攻坚行动实施方案的通知</w:t>
      </w:r>
    </w:p>
    <w:p>
      <w:pPr>
        <w:pStyle w:val="8"/>
        <w:keepNext w:val="0"/>
        <w:keepLines w:val="0"/>
        <w:widowControl w:val="0"/>
        <w:suppressLineNumbers w:val="0"/>
        <w:spacing w:before="0" w:beforeAutospacing="0" w:after="0" w:afterAutospacing="0" w:line="480" w:lineRule="exact"/>
        <w:ind w:left="0" w:right="0"/>
        <w:jc w:val="both"/>
        <w:rPr>
          <w:rFonts w:hint="eastAsia" w:ascii="仿宋_GB2312" w:hAnsi="新宋体" w:eastAsia="仿宋_GB2312" w:cs="新宋体"/>
          <w:sz w:val="32"/>
          <w:szCs w:val="32"/>
          <w:lang w:val="en-US"/>
        </w:rPr>
      </w:pPr>
      <w:r>
        <w:rPr>
          <w:rFonts w:hint="eastAsia" w:ascii="仿宋_GB2312" w:hAnsi="新宋体" w:eastAsia="仿宋_GB2312" w:cs="新宋体"/>
          <w:kern w:val="2"/>
          <w:sz w:val="32"/>
          <w:szCs w:val="32"/>
          <w:lang w:val="en-US" w:eastAsia="zh-CN" w:bidi="ar"/>
        </w:rPr>
        <w:t xml:space="preserve"> </w:t>
      </w:r>
    </w:p>
    <w:p>
      <w:pPr>
        <w:pStyle w:val="8"/>
        <w:keepNext w:val="0"/>
        <w:keepLines w:val="0"/>
        <w:widowControl w:val="0"/>
        <w:suppressLineNumbers w:val="0"/>
        <w:spacing w:before="0" w:beforeAutospacing="0" w:after="0" w:afterAutospacing="0" w:line="480" w:lineRule="exact"/>
        <w:ind w:left="0" w:right="0"/>
        <w:jc w:val="both"/>
        <w:rPr>
          <w:rFonts w:hint="eastAsia" w:ascii="仿宋_GB2312" w:hAnsi="新宋体" w:eastAsia="仿宋_GB2312" w:cs="新宋体"/>
          <w:sz w:val="32"/>
          <w:szCs w:val="32"/>
          <w:lang w:val="en-US"/>
        </w:rPr>
      </w:pPr>
      <w:r>
        <w:rPr>
          <w:rFonts w:hint="eastAsia" w:ascii="仿宋_GB2312" w:hAnsi="新宋体" w:eastAsia="仿宋_GB2312" w:cs="新宋体"/>
          <w:kern w:val="2"/>
          <w:sz w:val="32"/>
          <w:szCs w:val="32"/>
          <w:lang w:val="en-US" w:eastAsia="zh-CN" w:bidi="ar"/>
        </w:rPr>
        <w:t>各县（市、区）交通运输局，局属各单位，局机关各科室，市高建办：</w:t>
      </w:r>
    </w:p>
    <w:p>
      <w:pPr>
        <w:keepNext w:val="0"/>
        <w:keepLines w:val="0"/>
        <w:widowControl w:val="0"/>
        <w:suppressLineNumbers w:val="0"/>
        <w:spacing w:before="0" w:beforeAutospacing="0" w:after="0" w:afterAutospacing="0" w:line="480" w:lineRule="exact"/>
        <w:ind w:left="0" w:right="0" w:firstLine="640" w:firstLineChars="200"/>
        <w:jc w:val="both"/>
        <w:rPr>
          <w:rFonts w:hint="eastAsia" w:ascii="仿宋_GB2312" w:hAnsi="新宋体" w:eastAsia="仿宋_GB2312" w:cs="新宋体"/>
          <w:sz w:val="32"/>
          <w:szCs w:val="32"/>
          <w:lang w:val="en-US"/>
        </w:rPr>
      </w:pPr>
      <w:r>
        <w:rPr>
          <w:rFonts w:hint="eastAsia" w:ascii="仿宋_GB2312" w:hAnsi="新宋体" w:eastAsia="仿宋_GB2312" w:cs="新宋体"/>
          <w:kern w:val="2"/>
          <w:sz w:val="32"/>
          <w:szCs w:val="32"/>
          <w:lang w:val="en-US" w:eastAsia="zh-CN" w:bidi="ar"/>
        </w:rPr>
        <w:t>为深挖细查当前我市道路运输安全生产工作存在的问题，加大对道路运输违法违规行为的打击力度，深入开展隐患排查和整治，全力扭转道路运输事故高发频发势头，确保“五一”、建党100周年等重大活动和节假日期间全市道路运输安全稳定，我局决定在全市范围内开展道路运输安全生产专项整治攻坚行动，现将《2021年桂林市道路运输安全生产专项整治攻坚行动实施方案》印发给你们，请认真贯彻执行。</w:t>
      </w:r>
    </w:p>
    <w:p>
      <w:pPr>
        <w:keepNext w:val="0"/>
        <w:keepLines w:val="0"/>
        <w:widowControl w:val="0"/>
        <w:suppressLineNumbers w:val="0"/>
        <w:spacing w:before="0" w:beforeAutospacing="0" w:after="0" w:afterAutospacing="0" w:line="480" w:lineRule="exact"/>
        <w:ind w:left="0" w:right="0"/>
        <w:jc w:val="both"/>
        <w:rPr>
          <w:rFonts w:hint="eastAsia" w:ascii="仿宋_GB2312" w:hAnsi="新宋体" w:eastAsia="仿宋_GB2312" w:cs="新宋体"/>
          <w:sz w:val="32"/>
          <w:szCs w:val="32"/>
          <w:lang w:val="en-US"/>
        </w:rPr>
      </w:pPr>
      <w:r>
        <w:rPr>
          <w:rFonts w:hint="eastAsia" w:ascii="仿宋_GB2312" w:hAnsi="新宋体" w:eastAsia="仿宋_GB2312" w:cs="新宋体"/>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480" w:lineRule="exact"/>
        <w:ind w:left="0" w:right="0"/>
        <w:jc w:val="center"/>
        <w:rPr>
          <w:rFonts w:hint="eastAsia" w:ascii="仿宋_GB2312" w:hAnsi="新宋体" w:eastAsia="仿宋_GB2312" w:cs="新宋体"/>
          <w:sz w:val="32"/>
          <w:szCs w:val="32"/>
          <w:lang w:val="en-US"/>
        </w:rPr>
      </w:pPr>
      <w:r>
        <w:rPr>
          <w:rFonts w:hint="eastAsia" w:ascii="仿宋_GB2312" w:hAnsi="新宋体" w:eastAsia="仿宋_GB2312" w:cs="新宋体"/>
          <w:kern w:val="2"/>
          <w:sz w:val="32"/>
          <w:szCs w:val="32"/>
          <w:lang w:val="en-US" w:eastAsia="zh-CN" w:bidi="ar"/>
        </w:rPr>
        <w:t xml:space="preserve">                                桂林市交通运输局</w:t>
      </w:r>
    </w:p>
    <w:p>
      <w:pPr>
        <w:keepNext w:val="0"/>
        <w:keepLines w:val="0"/>
        <w:widowControl w:val="0"/>
        <w:suppressLineNumbers w:val="0"/>
        <w:snapToGrid w:val="0"/>
        <w:spacing w:before="0" w:beforeAutospacing="0" w:after="0" w:afterAutospacing="0" w:line="480" w:lineRule="exact"/>
        <w:ind w:left="0" w:right="0"/>
        <w:jc w:val="center"/>
        <w:rPr>
          <w:rFonts w:hint="eastAsia" w:ascii="仿宋_GB2312" w:hAnsi="新宋体" w:eastAsia="仿宋_GB2312" w:cs="新宋体"/>
          <w:sz w:val="32"/>
          <w:szCs w:val="32"/>
          <w:lang w:val="en-US"/>
        </w:rPr>
      </w:pPr>
      <w:r>
        <w:rPr>
          <w:rFonts w:hint="eastAsia" w:ascii="仿宋_GB2312" w:hAnsi="新宋体" w:eastAsia="仿宋_GB2312" w:cs="新宋体"/>
          <w:kern w:val="2"/>
          <w:sz w:val="32"/>
          <w:szCs w:val="32"/>
          <w:lang w:val="en-US" w:eastAsia="zh-CN" w:bidi="ar"/>
        </w:rPr>
        <w:t xml:space="preserve">                                2021年4月19日</w:t>
      </w:r>
    </w:p>
    <w:p>
      <w:pPr>
        <w:pStyle w:val="3"/>
        <w:widowControl/>
        <w:spacing w:before="0" w:beforeAutospacing="0" w:after="0" w:afterAutospacing="0" w:line="640" w:lineRule="exact"/>
        <w:ind w:left="0" w:right="0"/>
        <w:jc w:val="center"/>
        <w:rPr>
          <w:rFonts w:hint="eastAsia" w:ascii="方正小标宋_GBK" w:hAnsi="华文中宋" w:eastAsia="方正小标宋_GBK" w:cs="方正小标宋_GBK"/>
          <w:b w:val="0"/>
          <w:bCs/>
          <w:sz w:val="44"/>
          <w:szCs w:val="44"/>
          <w:lang w:val="en-US"/>
        </w:rPr>
      </w:pPr>
      <w:r>
        <w:rPr>
          <w:rFonts w:hint="eastAsia" w:ascii="方正小标宋_GBK" w:hAnsi="华文中宋" w:eastAsia="方正小标宋_GBK" w:cs="方正小标宋_GBK"/>
          <w:b w:val="0"/>
          <w:bCs w:val="0"/>
          <w:sz w:val="44"/>
          <w:szCs w:val="44"/>
          <w:lang w:val="en-US"/>
        </w:rPr>
        <w:t>2021</w:t>
      </w:r>
      <w:r>
        <w:rPr>
          <w:rFonts w:hint="eastAsia" w:ascii="方正小标宋_GBK" w:hAnsi="华文中宋" w:eastAsia="方正小标宋_GBK" w:cs="方正小标宋_GBK"/>
          <w:b w:val="0"/>
          <w:bCs w:val="0"/>
          <w:sz w:val="44"/>
          <w:szCs w:val="44"/>
          <w:lang w:eastAsia="zh-CN"/>
        </w:rPr>
        <w:t>年桂林市道路运输安全生产</w:t>
      </w:r>
    </w:p>
    <w:p>
      <w:pPr>
        <w:keepNext w:val="0"/>
        <w:keepLines w:val="0"/>
        <w:widowControl/>
        <w:suppressLineNumbers w:val="0"/>
        <w:spacing w:before="0" w:beforeAutospacing="0" w:after="0" w:afterAutospacing="0" w:line="640" w:lineRule="exact"/>
        <w:ind w:left="0" w:right="0"/>
        <w:jc w:val="center"/>
        <w:rPr>
          <w:rFonts w:hint="eastAsia" w:ascii="方正小标宋_GBK" w:hAnsi="华文中宋" w:eastAsia="方正小标宋_GBK" w:cs="方正小标宋_GBK"/>
          <w:bCs/>
          <w:sz w:val="44"/>
          <w:szCs w:val="44"/>
          <w:lang w:val="en-US"/>
        </w:rPr>
      </w:pPr>
      <w:r>
        <w:rPr>
          <w:rFonts w:hint="eastAsia" w:ascii="方正小标宋_GBK" w:hAnsi="华文中宋" w:eastAsia="方正小标宋_GBK" w:cs="方正小标宋_GBK"/>
          <w:bCs/>
          <w:kern w:val="2"/>
          <w:sz w:val="44"/>
          <w:szCs w:val="44"/>
          <w:lang w:val="en-US" w:eastAsia="zh-CN" w:bidi="ar"/>
        </w:rPr>
        <w:t>专项整治攻坚行动实施方案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今年以来，我市道路运输事故多发频发，引起社会广泛 关注，自治区领导、市委、市政府领导多次作出批示指示，要求深入剖析事故原因，进一步加强道路运输安全防范工作。为贯彻落实自治区、市委、市政府领导对道路交通安全工作有关批示指示精神，汲取事故教训，举一反三，决定从4月10日起开展为期三个月的全市道路运输安全生产专项整治攻坚行动(以下简称“攻坚行动”），坚决遏制道路运输事故高发频发势头，确保“五一”和建党100周年等重大活动和节假日期间道路交通运输安全稳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一、工作目标</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按照“深刻反思、汲取教训、深挖根源、痛下猛药、坚决扭转被动局面，坚决遏制重特大事故发生，维护人民群众生命财产安全”的总体要求，牢固树立以人民为中心的发展思想和“生命至上、安全第一”的理念，切实增强安全发展的政治意识、忧患意识和责任意识，坚持问题导向，结合春夏季节事故规律特点，以集中整治风险隐患路段、严管重点车辆、打击突出违法行为、压实企业主体责任和部门监管责任为重点，以更高的标准、更严的要求、更实的举措、更强的担当，最大力度排查治理各类安全风险隐患，实现安全风险始终可控，事故隐患得到有效治理。通过开展“攻坚行动”，系统全面排查整治全市道路运输行业安全隐患，着力解决道路运输安全管理存在的薄弱环节和突出问题，力争实现“两下降、一杜绝”，即实现道路运输安全生产事故总数和死亡人数双下降，杜绝重特大道路运输安全生产事故发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二、行动时间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sz w:val="32"/>
          <w:szCs w:val="32"/>
          <w:lang w:val="en-US"/>
        </w:rPr>
      </w:pPr>
      <w:r>
        <w:rPr>
          <w:rFonts w:hint="eastAsia" w:ascii="仿宋_GB2312" w:hAnsi="Calibri" w:eastAsia="仿宋_GB2312" w:cs="仿宋_GB2312"/>
          <w:kern w:val="2"/>
          <w:sz w:val="32"/>
          <w:szCs w:val="32"/>
          <w:lang w:val="en-US" w:eastAsia="zh-CN" w:bidi="ar"/>
        </w:rPr>
        <w:t>2021年4月10日至7月10日。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三、重点工作任务</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黑体" w:hAnsi="宋体" w:eastAsia="黑体" w:cs="黑体"/>
          <w:sz w:val="32"/>
          <w:szCs w:val="32"/>
          <w:lang w:val="en-US"/>
        </w:rPr>
      </w:pPr>
      <w:r>
        <w:rPr>
          <w:rFonts w:hint="eastAsia" w:ascii="楷体_GB2312" w:hAnsi="Calibri" w:eastAsia="楷体_GB2312" w:cs="楷体_GB2312"/>
          <w:b/>
          <w:bCs w:val="0"/>
          <w:kern w:val="2"/>
          <w:sz w:val="32"/>
          <w:szCs w:val="32"/>
          <w:lang w:val="en-US" w:eastAsia="zh-CN" w:bidi="ar"/>
        </w:rPr>
        <w:t>（一）集中开展道路运输从业人员安全生产培训教育攻坚行动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突出抓好从业人员事故的警示教育和应急能力培训，特别是恶劣天气下行驶安全及应急措施教育，引导全体驾驶员主动参与事故案例分析，切实提升教育培训的针对性和实效性。各县（市、区）交通运输主管部门</w:t>
      </w:r>
      <w:r>
        <w:rPr>
          <w:rFonts w:hint="eastAsia" w:ascii="仿宋_GB2312" w:hAnsi="Calibri" w:eastAsia="仿宋_GB2312" w:cs="仿宋_GB2312"/>
          <w:b w:val="0"/>
          <w:bCs/>
          <w:kern w:val="2"/>
          <w:sz w:val="32"/>
          <w:szCs w:val="32"/>
          <w:lang w:val="en-US" w:eastAsia="zh-CN" w:bidi="ar"/>
        </w:rPr>
        <w:t>要加</w:t>
      </w:r>
      <w:r>
        <w:rPr>
          <w:rFonts w:hint="eastAsia" w:ascii="仿宋_GB2312" w:hAnsi="Calibri" w:eastAsia="仿宋_GB2312" w:cs="仿宋_GB2312"/>
          <w:kern w:val="2"/>
          <w:sz w:val="32"/>
          <w:szCs w:val="32"/>
          <w:lang w:val="en-US" w:eastAsia="zh-CN" w:bidi="ar"/>
        </w:rPr>
        <w:t>强对企业管理人员教育培训效果的督促检查，道路运输企业主要负责人和安全生产管理人员因未履行法定安全生产管理职责受到行政处罚或导致发生生产安全事故的，原考核合格证明一律作废，重新进行安全考核。</w:t>
      </w:r>
      <w:r>
        <w:rPr>
          <w:rFonts w:hint="eastAsia" w:ascii="仿宋_GB2312" w:hAnsi="Calibri" w:eastAsia="仿宋_GB2312" w:cs="仿宋_GB2312"/>
          <w:b w:val="0"/>
          <w:bCs/>
          <w:kern w:val="2"/>
          <w:sz w:val="32"/>
          <w:szCs w:val="32"/>
          <w:lang w:val="en-US" w:eastAsia="zh-CN" w:bidi="ar"/>
        </w:rPr>
        <w:t>要</w:t>
      </w:r>
      <w:r>
        <w:rPr>
          <w:rFonts w:hint="eastAsia" w:ascii="仿宋_GB2312" w:hAnsi="Calibri" w:eastAsia="仿宋_GB2312" w:cs="仿宋_GB2312"/>
          <w:kern w:val="2"/>
          <w:sz w:val="32"/>
          <w:szCs w:val="32"/>
          <w:lang w:val="en-US" w:eastAsia="zh-CN" w:bidi="ar"/>
        </w:rPr>
        <w:t>以实际适用实效为原则，加强企业驾驶人员安全教育培训，进一步提高安全行车意识和应急处置能力。凡因车辆交通违法违章被市级以上部门通报1次的运输企业，行业管理部门要督促企业立即组织违章驾驶员集中开展培训教育，培训时间不少于1天；凡因车辆交通违法违章连续被市级以上部门通报2次的运输企业，培训时间不少于3天；凡因车辆交通违法违章连续被市级以上部门通报2次以上（或被国家相关部委通报1次）的运输企业，培训时间不少于7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行业管理部门要加强与交警部门协调配合，深入企业开展教育培训检查，重点检查生产经营单位的主要负责人对本单位安全生产工作是否履行《安全生产法》第十八条职责、生产经营单位的安全生产管理机构以及安全生产管理人员是否履行《安全生产法》第二十二条职责、从业人员安全培训是否到位、企业各项安全培训制度是否建立健全、安全培训经费的提取和使用是否落实等。凡发现安全学习教育弄虚作假、教育培训主体责任落实不到位的企业，视情节轻重按照《安全生产法》第九十四条规定给予分别处罚：对本企业驾驶员培训教育每月少于2次，每次少于2个学时的，给予2万元罚款并限期整改；对本企业驾驶员未开展培训教育的，给予5万元顶格罚款，并责令停产停业整顿。具体行政处罚工作，由各级交通运输部门或行业机构牵头组织，各级交通运输执法机构具体实施。对整改不到位的，按照《安全生产法》第九十九条规定，责令停产停业整顿。</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楷体_GB2312" w:eastAsia="楷体_GB2312" w:cs="楷体_GB2312"/>
          <w:b/>
          <w:bCs w:val="0"/>
          <w:sz w:val="32"/>
          <w:szCs w:val="32"/>
          <w:lang w:val="en-US"/>
        </w:rPr>
      </w:pPr>
      <w:r>
        <w:rPr>
          <w:rFonts w:hint="eastAsia" w:ascii="楷体_GB2312" w:hAnsi="Calibri" w:eastAsia="楷体_GB2312" w:cs="楷体_GB2312"/>
          <w:b/>
          <w:bCs w:val="0"/>
          <w:kern w:val="2"/>
          <w:sz w:val="32"/>
          <w:szCs w:val="32"/>
          <w:lang w:val="en-US" w:eastAsia="zh-CN" w:bidi="ar"/>
        </w:rPr>
        <w:t>（二）加强重点营运车辆动态监控管理攻坚行动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各级交通运输主管部门和行业机构要认真贯彻落实《道路运输车辆动态监督管理办法》等文件要求，强化对重点营运车辆的动态监控工作，督促运输企业加强排查，确保所属车辆卫星定位车载终端功能正常，对车载终端不能正常使用或未接入联网联控系统的车辆，一律不允许安排运输任务。要督促企业及时提醒和纠正驾驶员超速和疲劳驾驶等交通违法违规行为，消除安全隐患，对多次存在疲劳驾驶、超速行驶、超员载客、不系安全带和行车中接打手持电话等违法违规行为的驾驶员一律列为安全管理的重点对象，对恶意损坏、遮挡、屏蔽终端信号传输等行为，一律按照有关规定严肃处理。要加强对运输企业、重点营运车辆的管理，重点对2020年全年、2021年1月以来自治区通报的重点营运车辆动态监控违规情况进行查处，逐一销号并进行督查。2021年，因重点营运车辆动态监控违规连续两个月被自治区交通运输厅通报企业和车辆，辖区交通运输主管部门要对企业进行约谈，限期一周内完成整改，并按照《道路运输车辆动态监督管理办法》第三十五条规定对通报车辆不予审验车辆《道路运输证》。</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楷体_GB2312" w:eastAsia="楷体_GB2312" w:cs="楷体_GB2312"/>
          <w:b/>
          <w:bCs w:val="0"/>
          <w:sz w:val="32"/>
          <w:szCs w:val="32"/>
          <w:lang w:val="en-US"/>
        </w:rPr>
      </w:pPr>
      <w:r>
        <w:rPr>
          <w:rFonts w:hint="eastAsia" w:ascii="楷体_GB2312" w:hAnsi="Calibri" w:eastAsia="楷体_GB2312" w:cs="楷体_GB2312"/>
          <w:b/>
          <w:bCs w:val="0"/>
          <w:kern w:val="2"/>
          <w:sz w:val="32"/>
          <w:szCs w:val="32"/>
          <w:lang w:val="en-US" w:eastAsia="zh-CN" w:bidi="ar"/>
        </w:rPr>
        <w:t>（三）开展道路运输企业安全隐患排查整治攻坚行动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要围绕“人、车、路、企业”四类隐患风险，落实“从业人员自查、企业自查、行业监管单位检查”三查并举，对“两客一危一货”违规行为多的重点运输企业开展一次深度排查，重点检查企业法人履职情况、车辆动态监控、车辆例检、维护保养、驾驶员安全教育、隐患排查等安全管理制度落实情况，坚决把隐患控在源头，防在事前。对已排查的隐患，要建立隐患清单，对单销号，逐项验收，对新排查的隐患，要明确整改责任人，整改措施，整改时限。对安全生产主体责任落实不到位、安全风险管控措施落实不到位和存在事故隐患的企业，一律下发隐患整改通知书，责令限期整改；对不履行安全主体责任、违法违规严重的，依法责令停业整顿。落实“红黑榜”制度，对零违法、零事故的优良企业进行通报表扬；对车辆违法多、事故频发的高风险企业进行曝光、约谈、联合惩戒。加强危化品道路运输企业资质及从业人员、专用车辆资格资质管理，对经营过程中达不到许可条件的，一律依法予以取缔。</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楷体_GB2312" w:eastAsia="楷体_GB2312" w:cs="楷体_GB2312"/>
          <w:b/>
          <w:bCs w:val="0"/>
          <w:sz w:val="32"/>
          <w:szCs w:val="32"/>
          <w:lang w:val="en-US"/>
        </w:rPr>
      </w:pPr>
      <w:r>
        <w:rPr>
          <w:rFonts w:hint="eastAsia" w:ascii="楷体_GB2312" w:hAnsi="Calibri" w:eastAsia="楷体_GB2312" w:cs="楷体_GB2312"/>
          <w:b/>
          <w:bCs w:val="0"/>
          <w:kern w:val="2"/>
          <w:sz w:val="32"/>
          <w:szCs w:val="32"/>
          <w:lang w:val="en-US" w:eastAsia="zh-CN" w:bidi="ar"/>
        </w:rPr>
        <w:t>（四）</w:t>
      </w:r>
      <w:r>
        <w:rPr>
          <w:rFonts w:hint="eastAsia" w:ascii="楷体_GB2312" w:hAnsi="Calibri" w:eastAsia="楷体_GB2312" w:cs="楷体_GB2312"/>
          <w:b/>
          <w:bCs w:val="0"/>
          <w:kern w:val="2"/>
          <w:sz w:val="32"/>
          <w:szCs w:val="32"/>
          <w:shd w:val="clear" w:fill="FFFFFF"/>
          <w:lang w:val="en-US" w:eastAsia="zh-CN" w:bidi="ar"/>
        </w:rPr>
        <w:t>集中开展</w:t>
      </w:r>
      <w:r>
        <w:rPr>
          <w:rFonts w:hint="eastAsia" w:ascii="楷体_GB2312" w:hAnsi="Calibri" w:eastAsia="楷体_GB2312" w:cs="楷体_GB2312"/>
          <w:b/>
          <w:bCs w:val="0"/>
          <w:kern w:val="2"/>
          <w:sz w:val="32"/>
          <w:szCs w:val="32"/>
          <w:lang w:val="en-US" w:eastAsia="zh-CN" w:bidi="ar"/>
        </w:rPr>
        <w:t>治理超限超载攻坚行动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仿宋_GB2312"/>
          <w:kern w:val="0"/>
          <w:sz w:val="32"/>
          <w:szCs w:val="32"/>
          <w:lang w:val="en-US"/>
        </w:rPr>
      </w:pPr>
      <w:r>
        <w:rPr>
          <w:rFonts w:hint="eastAsia" w:ascii="仿宋_GB2312" w:hAnsi="仿宋" w:eastAsia="仿宋_GB2312" w:cs="仿宋_GB2312"/>
          <w:kern w:val="2"/>
          <w:sz w:val="32"/>
          <w:szCs w:val="32"/>
          <w:lang w:val="en-US" w:eastAsia="zh-CN" w:bidi="ar"/>
        </w:rPr>
        <w:t>按照政府主导、部门联动的原则，会同工信、应急、自然资源、市场监管等部门加强货运装载源头重点监管，不定期进行检查，督促其加强对货运车辆出场站装载情况的管理，防止违法超限超载车辆上路行驶。</w:t>
      </w:r>
      <w:r>
        <w:rPr>
          <w:rFonts w:hint="eastAsia" w:ascii="仿宋_GB2312" w:hAnsi="仿宋" w:eastAsia="仿宋_GB2312" w:cs="仿宋_GB2312"/>
          <w:kern w:val="0"/>
          <w:sz w:val="32"/>
          <w:szCs w:val="32"/>
          <w:lang w:val="en-US" w:eastAsia="zh-CN" w:bidi="ar"/>
        </w:rPr>
        <w:t>要严格落实治超联合执法常态化、制度化要求，严格执行全国统一的超限超载认定标准和联合执法工作流程，采取“流动+守点”相结合模式开展常态治超行动。每月逢五即“5日、15日、25日”为全市开展路面联合执法统一行动日，并与相邻县（市、区）组织每月不少于2次联合路面执法行动。要将已查处并结案的治超案件（含本部门查处和联合治超案件）及时上传至广西治超联网管理信息系统，收集各地抄报的超载处罚案件，严格执行“一超四罚”，并将相关信息在桂林市公共信用一体化平台和国家企业信用信息公示系统公示。</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楷体_GB2312" w:hAnsi="Times New Roman" w:eastAsia="楷体_GB2312" w:cs="楷体_GB2312"/>
          <w:b/>
          <w:bCs w:val="0"/>
          <w:sz w:val="32"/>
          <w:szCs w:val="32"/>
          <w:lang w:val="en-US"/>
        </w:rPr>
      </w:pPr>
      <w:r>
        <w:rPr>
          <w:rFonts w:hint="eastAsia" w:ascii="楷体_GB2312" w:hAnsi="Calibri" w:eastAsia="楷体_GB2312" w:cs="楷体_GB2312"/>
          <w:b/>
          <w:bCs w:val="0"/>
          <w:kern w:val="2"/>
          <w:sz w:val="32"/>
          <w:szCs w:val="32"/>
          <w:lang w:val="en-US" w:eastAsia="zh-CN" w:bidi="ar"/>
        </w:rPr>
        <w:t>（五）集中开展农村公路隐患路段和桥隧排查整治攻坚行动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各级交通运输主管部门要立即按职责开展管辖农村公路路段和桥隧边坡隐患排查整治工作。结合月度、季度检查，加大巡查力度，以桥梁隧道、临水临崖、急弯陡坡和</w:t>
      </w:r>
      <w:bookmarkStart w:id="0" w:name="_GoBack"/>
      <w:bookmarkEnd w:id="0"/>
      <w:r>
        <w:rPr>
          <w:rFonts w:hint="eastAsia" w:ascii="仿宋_GB2312" w:hAnsi="仿宋" w:eastAsia="仿宋_GB2312" w:cs="仿宋_GB2312"/>
          <w:kern w:val="2"/>
          <w:sz w:val="32"/>
          <w:szCs w:val="32"/>
          <w:lang w:val="en-US" w:eastAsia="zh-CN" w:bidi="ar"/>
        </w:rPr>
        <w:t>城乡接合部公路为重点进行拉网式排查，对安全设施不符合要求、交通标志缺失、安全防护设施不全的，要提出有针对性整治意见和对策，并建立健全基础台账。开展边沟清淤工作，及时清理边沟内杂物、落叶、淤泥等，避免降雨时发生堵塞造成水漫公路。加强三防物资、应急设备、应急队伍的准备工作，提高处置效率。加强公路桥梁隧道安全防护设施、消防设施的日常检查和维护，落实危桥和隐患隧道的整治。凡存在施工行为不规范、违章操作严重影响项目建设工地安全的安全隐患，一律停工、限期整改，确保施工安全防护措施到位，杜绝工程建设安全生产事故的发生。继续深入推进公路生命防护工程，全面加快乡道及其以上行政等级公路安全隐患治理，明显改善农村公路交通安全基础设施，显著提高安全通行水平。深化“四好农村路”建设，推进农村平交路口减速带建设，根据乡道、村道设计标准科学设置限载标志。继续做好农村公路限高限宽相关工作。加强临水临崖、急弯陡坡等路段防撞护栏建设，完善交通安全设施。</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楷体_GB2312" w:hAnsi="Times New Roman" w:eastAsia="楷体_GB2312" w:cs="楷体_GB2312"/>
          <w:b/>
          <w:bCs w:val="0"/>
          <w:sz w:val="32"/>
          <w:szCs w:val="32"/>
          <w:lang w:val="en-US"/>
        </w:rPr>
      </w:pPr>
      <w:r>
        <w:rPr>
          <w:rFonts w:hint="eastAsia" w:ascii="楷体_GB2312" w:hAnsi="Calibri" w:eastAsia="楷体_GB2312" w:cs="楷体_GB2312"/>
          <w:b/>
          <w:bCs w:val="0"/>
          <w:kern w:val="2"/>
          <w:sz w:val="32"/>
          <w:szCs w:val="32"/>
          <w:lang w:val="en-US" w:eastAsia="zh-CN" w:bidi="ar"/>
        </w:rPr>
        <w:t>（六）集中开展道路运输市场专项整治攻坚行动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shd w:val="clear" w:fill="FFFFFF"/>
          <w:lang w:val="en-US" w:eastAsia="zh-CN" w:bidi="ar"/>
        </w:rPr>
        <w:t>加大对“两客一危一货”等车辆非法改装、非法营运、超许可范围经营、超速、超载、疲劳驾驶、不按规定行路行驶等行为的查处，严厉整治客运车辆不开展安全承诺、不播放安全告知、不佩戴安全带、不执行夜间禁行和农村及山区道路限行规定等问题。</w:t>
      </w:r>
      <w:r>
        <w:rPr>
          <w:rFonts w:hint="eastAsia" w:ascii="仿宋_GB2312" w:hAnsi="Calibri" w:eastAsia="仿宋_GB2312" w:cs="仿宋_GB2312"/>
          <w:kern w:val="2"/>
          <w:sz w:val="32"/>
          <w:szCs w:val="32"/>
          <w:lang w:val="en-US" w:eastAsia="zh-CN" w:bidi="ar"/>
        </w:rPr>
        <w:t>主动与公安、城管、市场监督等有关部门加强协调，完善非法营运打击机制，形成打击“黑车”营运的联动机制，加强信息沟通，齐抓共管，建立和完善举报奖励机制，畅通举报渠道；加大对违法违规行为的处罚力度，营造行政执法的高压态势，严厉打击非法从事货物装卸、运输及资质“挂靠”等违法行为。针对无证、无资质从事交通运输生产经营行为，一律依法予以取缔，并追究法律责任；对超资质范围生产经营行为，一律依法从重处罚，并列入重点监管名单，予以公开曝光；对安全生产条件达不到要求的企业和车辆，一律挂牌督办责令限期整改，整改后仍不符合要求的，提请企业注册地人民政府依法注销其经营资质。</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楷体_GB2312" w:eastAsia="楷体_GB2312" w:cs="楷体_GB2312"/>
          <w:b/>
          <w:bCs w:val="0"/>
          <w:sz w:val="32"/>
          <w:szCs w:val="32"/>
          <w:lang w:val="en-US"/>
        </w:rPr>
      </w:pPr>
      <w:r>
        <w:rPr>
          <w:rFonts w:hint="eastAsia" w:ascii="楷体_GB2312" w:hAnsi="Calibri" w:eastAsia="楷体_GB2312" w:cs="楷体_GB2312"/>
          <w:b/>
          <w:bCs w:val="0"/>
          <w:kern w:val="2"/>
          <w:sz w:val="32"/>
          <w:szCs w:val="32"/>
          <w:lang w:val="en-US" w:eastAsia="zh-CN" w:bidi="ar"/>
        </w:rPr>
        <w:t>（七）开展道路运输安全宣传教育攻坚行动</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要持续加大宣传力度，继续深入开展道路运输行业大宣传、大教育活动。各部门、各单位要自觉做到建立一本道路交通安全电子台账、举办一次道路交通安全宣传教育活动、每月对本单位人员开展一次道路交通安全提示、在本单位至少设置一处固定道路交通安全展板（橱窗）。要开展道路交通安全法规、安全知识进校园活动，让学生知危险、会避险，让家庭知法、懂法、守法。各部门、各单位要在主流媒体、新媒体上分批次持续曝光本辖区“两客一危一货”重点车辆交通运输违法行为，对车辆逾期未检、逾期未报废、交通违法未处理，驾驶人驾驶证逾期未审验、逾期未换证等行为及典型事故案例、事故处理结果、追究企业及个人责任情况予以曝光，加大震慑力度。要加强交通安全宣传提示工作，督促各道路运输企业认真落实安全生产主体责任，督促指导有关企业在客运站（场）、物流园区、企业驻地、建设工地悬挂安全标语、设立宣传栏、播放宣传视频、发放安全行车宣传单，向广大司乘人员和驻地工作人员开展安全行车宣传教育；督促运输企业运用公交、出租车、客运车辆、车站</w:t>
      </w:r>
      <w:r>
        <w:rPr>
          <w:rFonts w:hint="eastAsia" w:ascii="仿宋_GB2312" w:eastAsia="仿宋_GB2312" w:cs="仿宋_GB2312"/>
          <w:sz w:val="32"/>
          <w:szCs w:val="32"/>
          <w:shd w:val="clear" w:fill="FFFFFF"/>
          <w:lang w:val="en-US"/>
        </w:rPr>
        <w:t>LED</w:t>
      </w:r>
      <w:r>
        <w:rPr>
          <w:rFonts w:hint="eastAsia" w:ascii="仿宋_GB2312" w:eastAsia="仿宋_GB2312" w:cs="仿宋_GB2312"/>
          <w:sz w:val="32"/>
          <w:szCs w:val="32"/>
          <w:shd w:val="clear" w:fill="FFFFFF"/>
          <w:lang w:eastAsia="zh-CN"/>
        </w:rPr>
        <w:t>显示屏、车载电视等媒介载体，滚动播放交通运输安全提示语和交通运输安全宣传视频；要在事故多发路段、农村公路和村镇道路交叉口，设立一批固定道路运输安全提示牌，增加安全警示标志，增设宣传栏，做到广播有声、电视有字、站场有板报、沿线有横幅、驻地有标牌，营造自觉抵制道路交通违法行为的氛围，倡导广大交通参与者文明出行安全出行。</w:t>
      </w:r>
    </w:p>
    <w:p>
      <w:pPr>
        <w:pStyle w:val="8"/>
        <w:widowControl/>
        <w:shd w:val="clear" w:fill="FFFFFF"/>
        <w:spacing w:before="0" w:beforeAutospacing="0" w:after="0" w:afterAutospacing="0" w:line="560" w:lineRule="exact"/>
        <w:ind w:left="0" w:right="0" w:firstLine="645"/>
        <w:jc w:val="both"/>
        <w:rPr>
          <w:rFonts w:hint="eastAsia" w:ascii="黑体" w:hAnsi="宋体" w:eastAsia="黑体" w:cs="黑体"/>
          <w:sz w:val="32"/>
          <w:szCs w:val="32"/>
          <w:shd w:val="clear" w:fill="FFFFFF"/>
          <w:lang w:val="en-US"/>
        </w:rPr>
      </w:pPr>
      <w:r>
        <w:rPr>
          <w:rFonts w:hint="eastAsia" w:ascii="黑体" w:hAnsi="宋体" w:eastAsia="黑体" w:cs="黑体"/>
          <w:sz w:val="32"/>
          <w:szCs w:val="32"/>
          <w:shd w:val="clear" w:fill="FFFFFF"/>
          <w:lang w:eastAsia="zh-CN"/>
        </w:rPr>
        <w:t>四、工作要求</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楷体_GB2312" w:eastAsia="楷体_GB2312" w:cs="楷体_GB2312"/>
          <w:b/>
          <w:bCs w:val="0"/>
          <w:sz w:val="32"/>
          <w:szCs w:val="32"/>
          <w:shd w:val="clear" w:fill="FFFFFF"/>
          <w:lang w:eastAsia="zh-CN"/>
        </w:rPr>
        <w:t>（一）提高政治站位，强化组织领导。</w:t>
      </w:r>
      <w:r>
        <w:rPr>
          <w:rFonts w:hint="eastAsia" w:ascii="仿宋_GB2312" w:eastAsia="仿宋_GB2312" w:cs="仿宋_GB2312"/>
          <w:sz w:val="32"/>
          <w:szCs w:val="32"/>
          <w:shd w:val="clear" w:fill="FFFFFF"/>
          <w:lang w:eastAsia="zh-CN"/>
        </w:rPr>
        <w:t>当前，我市道路运输安全生产事故高发频发，安全生产形势十分严峻，从一定程度反映出道路运输安全监管工作中依然存在诸多短板和薄弱环节。自治区、市委、市政府领导高度重视，连续作出一系列重要批示指示，要求各级交通运输部门迅速采取有效措施，狠抓交通运输安全工作，切实防范道路交通事故频发高发。各部门、各单位要充分认识加强道路运输安全的极端重要性和现实紧迫性，始终坚持底线思维、问题导向，以更强的举措、更实的作风、更严的要求，严抓隐患整改、紧抓效能提升、狠抓责任落实，</w:t>
      </w:r>
      <w:r>
        <w:rPr>
          <w:rFonts w:cs="宋体"/>
          <w:sz w:val="32"/>
          <w:szCs w:val="32"/>
          <w:shd w:val="clear" w:fill="FFFFFF"/>
          <w:lang w:eastAsia="zh-CN"/>
        </w:rPr>
        <w:t>釆</w:t>
      </w:r>
      <w:r>
        <w:rPr>
          <w:rFonts w:hint="eastAsia" w:ascii="仿宋_GB2312" w:hAnsi="仿宋_GB2312" w:eastAsia="仿宋_GB2312" w:cs="仿宋_GB2312"/>
          <w:sz w:val="32"/>
          <w:szCs w:val="32"/>
          <w:shd w:val="clear" w:fill="FFFFFF"/>
          <w:lang w:eastAsia="zh-CN"/>
        </w:rPr>
        <w:t>取超常规措施全力遏制事故高发频发势头。市局安委会负责“攻坚行动”的组织领导，局安委办具体负责“攻坚行动”相关工作的</w:t>
      </w:r>
      <w:r>
        <w:rPr>
          <w:rFonts w:hint="eastAsia" w:ascii="仿宋_GB2312" w:eastAsia="仿宋_GB2312" w:cs="仿宋_GB2312"/>
          <w:sz w:val="32"/>
          <w:szCs w:val="32"/>
          <w:shd w:val="clear" w:fill="FFFFFF"/>
          <w:lang w:eastAsia="zh-CN"/>
        </w:rPr>
        <w:t>推进。各县（市、区）交通运输主管部门要成立相应的领导机构，加强组织领导，强化人员、设备、经费等工作保障，确保行动取得实效。</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楷体_GB2312" w:eastAsia="楷体_GB2312" w:cs="楷体_GB2312"/>
          <w:b/>
          <w:bCs w:val="0"/>
          <w:sz w:val="32"/>
          <w:szCs w:val="32"/>
          <w:shd w:val="clear" w:fill="FFFFFF"/>
          <w:lang w:eastAsia="zh-CN"/>
        </w:rPr>
        <w:t>（二）结合实际，全面落实“四个一”要求。</w:t>
      </w:r>
      <w:r>
        <w:rPr>
          <w:rFonts w:hint="eastAsia" w:ascii="仿宋_GB2312" w:eastAsia="仿宋_GB2312" w:cs="仿宋_GB2312"/>
          <w:sz w:val="32"/>
          <w:szCs w:val="32"/>
          <w:shd w:val="clear" w:fill="FFFFFF"/>
          <w:lang w:eastAsia="zh-CN"/>
        </w:rPr>
        <w:t>一要制定一个具体行动方案。要根据专项任务的要求，结合实际制定具体的行动方案，确保取得实效。二要组织一次检查前的普法学习。各级各部门要针对专项行动参检人员组织开展一次相关法规学习，熟悉掌握相关法律法规和处罚条款。三要着重解决一批重大安全问题。通过本次行动，依法严惩一批违法违规行为，彻底治理一批重大事故隐患，提请关闭取缔一批违法违规和不符合安全生产条件的企业。四要问责一批责任单位和责任人。对责任不落实，有令不行、有禁</w:t>
      </w:r>
      <w:r>
        <w:rPr>
          <w:rFonts w:hint="eastAsia" w:ascii="仿宋_GB2312" w:eastAsia="仿宋_GB2312" w:cs="仿宋_GB2312"/>
          <w:bCs/>
          <w:sz w:val="32"/>
          <w:szCs w:val="32"/>
          <w:shd w:val="clear" w:fill="FFFFFF"/>
          <w:lang w:eastAsia="zh-CN"/>
        </w:rPr>
        <w:t>不止，重大</w:t>
      </w:r>
      <w:r>
        <w:rPr>
          <w:rFonts w:hint="eastAsia" w:ascii="仿宋_GB2312" w:eastAsia="仿宋_GB2312" w:cs="仿宋_GB2312"/>
          <w:sz w:val="32"/>
          <w:szCs w:val="32"/>
          <w:shd w:val="clear" w:fill="FFFFFF"/>
          <w:lang w:eastAsia="zh-CN"/>
        </w:rPr>
        <w:t>安全问题久拖不决，重大隐患长期不能解决的，将进行调查问责，依法依规严肃处理相关责任单位和责任人。</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楷体_GB2312" w:eastAsia="楷体_GB2312" w:cs="楷体_GB2312"/>
          <w:b/>
          <w:bCs w:val="0"/>
          <w:sz w:val="32"/>
          <w:szCs w:val="32"/>
          <w:shd w:val="clear" w:fill="FFFFFF"/>
          <w:lang w:eastAsia="zh-CN"/>
        </w:rPr>
        <w:t>（三）加强宣传教育，营造良好氛围。</w:t>
      </w:r>
      <w:r>
        <w:rPr>
          <w:rFonts w:hint="eastAsia" w:ascii="仿宋_GB2312" w:eastAsia="仿宋_GB2312" w:cs="仿宋_GB2312"/>
          <w:sz w:val="32"/>
          <w:szCs w:val="32"/>
          <w:shd w:val="clear" w:fill="FFFFFF"/>
          <w:lang w:eastAsia="zh-CN"/>
        </w:rPr>
        <w:t>要充分利用广播、电视、报纸、互联网等媒体，加大对“攻坚行动”的宣传力度，宣传好的做法，曝光反面典型。开展宣传进机关、进企业、进班组、进场站、工地等活动，加强风险防控和隐患治理法规知识和意识教育，大力营造开展行动的良好氛围。要通过各种途径教育引导各运输企业深刻认识开展整治工作的重要性、必须性和紧迫性，增强做好工作的主动性和自觉性。</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楷体_GB2312" w:eastAsia="楷体_GB2312" w:cs="楷体_GB2312"/>
          <w:b/>
          <w:bCs w:val="0"/>
          <w:sz w:val="32"/>
          <w:szCs w:val="32"/>
          <w:shd w:val="clear" w:fill="FFFFFF"/>
          <w:lang w:eastAsia="zh-CN"/>
        </w:rPr>
        <w:t>（四）高度重视，务求实效。</w:t>
      </w:r>
      <w:r>
        <w:rPr>
          <w:rFonts w:hint="eastAsia" w:ascii="仿宋_GB2312" w:eastAsia="仿宋_GB2312" w:cs="仿宋_GB2312"/>
          <w:sz w:val="32"/>
          <w:szCs w:val="32"/>
          <w:shd w:val="clear" w:fill="FFFFFF"/>
          <w:lang w:eastAsia="zh-CN"/>
        </w:rPr>
        <w:t>各部门、各单位要高度重视此项工作，按照“全面推进、分步实施、重点突破”的要求，迅速将此次“攻坚行动”的各项要求传达到辖区内各单位、企业，要确保全覆盖。要集中工作精力和人力，调动一切可以调动的力量，深入一线，深入现场开展工作，一个企业不漏的进行检查，严格按照</w:t>
      </w:r>
      <w:r>
        <w:rPr>
          <w:rFonts w:hint="eastAsia" w:ascii="仿宋_GB2312" w:eastAsia="仿宋_GB2312" w:cs="仿宋_GB2312"/>
          <w:b/>
          <w:bCs/>
          <w:sz w:val="32"/>
          <w:szCs w:val="32"/>
          <w:shd w:val="clear" w:fill="FFFFFF"/>
          <w:lang w:eastAsia="zh-CN"/>
        </w:rPr>
        <w:t>“十个一律”</w:t>
      </w:r>
      <w:r>
        <w:rPr>
          <w:rFonts w:hint="eastAsia" w:ascii="仿宋_GB2312" w:eastAsia="仿宋_GB2312" w:cs="仿宋_GB2312"/>
          <w:sz w:val="32"/>
          <w:szCs w:val="32"/>
          <w:shd w:val="clear" w:fill="FFFFFF"/>
          <w:lang w:eastAsia="zh-CN"/>
        </w:rPr>
        <w:t>要求，对责任不落实、推诿扯皮、检查走过场的，要依法严肃处理，绝不姑息。要加强行业内部各单位之间，以及与其他行业部门之间的协调配合，形成合力，共同推进。要建立检查台帐，认真填写现场检查记录，市局督查时将重点查看，凡是没有建立检查台帐等检查记录的单位一律视为未开展检查，将严肃追究有关人员的责任。</w:t>
      </w:r>
      <w:r>
        <w:rPr>
          <w:rFonts w:hint="eastAsia" w:ascii="仿宋_GB2312" w:eastAsia="仿宋_GB2312" w:cs="仿宋_GB2312"/>
          <w:sz w:val="32"/>
          <w:szCs w:val="32"/>
          <w:shd w:val="clear" w:fill="FFFFFF"/>
          <w:lang w:val="en-US"/>
        </w:rPr>
        <w:t xml:space="preserve">  </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楷体_GB2312" w:eastAsia="楷体_GB2312" w:cs="楷体_GB2312"/>
          <w:b/>
          <w:bCs w:val="0"/>
          <w:sz w:val="32"/>
          <w:szCs w:val="32"/>
          <w:shd w:val="clear" w:fill="FFFFFF"/>
          <w:lang w:eastAsia="zh-CN"/>
        </w:rPr>
        <w:t>（五）落实责任，强化督导督查。</w:t>
      </w:r>
      <w:r>
        <w:rPr>
          <w:rFonts w:hint="eastAsia" w:ascii="仿宋_GB2312" w:eastAsia="仿宋_GB2312" w:cs="仿宋_GB2312"/>
          <w:bCs/>
          <w:sz w:val="32"/>
          <w:szCs w:val="32"/>
          <w:shd w:val="clear" w:fill="FFFFFF"/>
          <w:lang w:eastAsia="zh-CN"/>
        </w:rPr>
        <w:t>市</w:t>
      </w:r>
      <w:r>
        <w:rPr>
          <w:rFonts w:hint="eastAsia" w:ascii="仿宋_GB2312" w:eastAsia="仿宋_GB2312" w:cs="仿宋_GB2312"/>
          <w:sz w:val="32"/>
          <w:szCs w:val="32"/>
          <w:shd w:val="clear" w:fill="FFFFFF"/>
          <w:lang w:eastAsia="zh-CN"/>
        </w:rPr>
        <w:t>局安委办牵头对</w:t>
      </w:r>
      <w:r>
        <w:rPr>
          <w:rFonts w:hint="eastAsia" w:ascii="仿宋_GB2312" w:eastAsia="仿宋_GB2312" w:cs="仿宋_GB2312"/>
          <w:sz w:val="32"/>
          <w:szCs w:val="32"/>
          <w:shd w:val="clear" w:fill="FFFFFF"/>
          <w:lang w:val="en-US"/>
        </w:rPr>
        <w:t>2021</w:t>
      </w:r>
      <w:r>
        <w:rPr>
          <w:rFonts w:hint="eastAsia" w:ascii="仿宋_GB2312" w:eastAsia="仿宋_GB2312" w:cs="仿宋_GB2312"/>
          <w:sz w:val="32"/>
          <w:szCs w:val="32"/>
          <w:shd w:val="clear" w:fill="FFFFFF"/>
          <w:lang w:eastAsia="zh-CN"/>
        </w:rPr>
        <w:t>年以来发生事故的县（市、区）交通运输部门和涉及事故运输企业落实安全责任制情况、道路运输从业人员安全生产培训教育和道路运输安全宣传教育攻坚行动落实情况开展专项督导。局综合运输管理科、局城市客运管理科、市交通运输服务中心负责督查“两客一危”和城市公交企业专项整治攻坚行动工作落实情况；局政策法规科、市交通运输综合行政执法支队负责督查县（市、区）治理超限超载攻坚行动工作落实情况；局公路管理科、市公路养护中心、市交通运输综合行政执法支队负责督查县（市、区）农村公路、在建公路工程项目专项整治攻坚行动工作落实情况。各县（市、区）交通运输主管部门也要加强“攻坚行动”过程跟踪督办，市局也将适时成立专项行动督查组深入一线开展综合督查工作（具体时间另行通知），并将各单位行动开展情况列入</w:t>
      </w:r>
      <w:r>
        <w:rPr>
          <w:rFonts w:hint="eastAsia" w:ascii="仿宋_GB2312" w:eastAsia="仿宋_GB2312" w:cs="仿宋_GB2312"/>
          <w:sz w:val="32"/>
          <w:szCs w:val="32"/>
          <w:shd w:val="clear" w:fill="FFFFFF"/>
          <w:lang w:val="en-US"/>
        </w:rPr>
        <w:t>2021</w:t>
      </w:r>
      <w:r>
        <w:rPr>
          <w:rFonts w:hint="eastAsia" w:ascii="仿宋_GB2312" w:eastAsia="仿宋_GB2312" w:cs="仿宋_GB2312"/>
          <w:sz w:val="32"/>
          <w:szCs w:val="32"/>
          <w:shd w:val="clear" w:fill="FFFFFF"/>
          <w:lang w:eastAsia="zh-CN"/>
        </w:rPr>
        <w:t>年全市交通运输安全生产工作目标考核评价的重要内容。</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楷体_GB2312" w:eastAsia="楷体_GB2312" w:cs="楷体_GB2312"/>
          <w:b/>
          <w:bCs w:val="0"/>
          <w:sz w:val="32"/>
          <w:szCs w:val="32"/>
          <w:shd w:val="clear" w:fill="FFFFFF"/>
          <w:lang w:eastAsia="zh-CN"/>
        </w:rPr>
        <w:t>（六）加强材料信息报送。</w:t>
      </w:r>
      <w:r>
        <w:rPr>
          <w:rFonts w:hint="eastAsia" w:ascii="仿宋_GB2312" w:eastAsia="仿宋_GB2312" w:cs="仿宋_GB2312"/>
          <w:sz w:val="32"/>
          <w:szCs w:val="32"/>
          <w:shd w:val="clear" w:fill="FFFFFF"/>
          <w:lang w:eastAsia="zh-CN"/>
        </w:rPr>
        <w:t>各县（市、区）交通运输局每月</w:t>
      </w:r>
      <w:r>
        <w:rPr>
          <w:rFonts w:hint="eastAsia" w:ascii="仿宋_GB2312" w:eastAsia="仿宋_GB2312" w:cs="仿宋_GB2312"/>
          <w:sz w:val="32"/>
          <w:szCs w:val="32"/>
          <w:shd w:val="clear" w:fill="FFFFFF"/>
          <w:lang w:val="en-US"/>
        </w:rPr>
        <w:t>5</w:t>
      </w:r>
      <w:r>
        <w:rPr>
          <w:rFonts w:hint="eastAsia" w:ascii="仿宋_GB2312" w:eastAsia="仿宋_GB2312" w:cs="仿宋_GB2312"/>
          <w:sz w:val="32"/>
          <w:szCs w:val="32"/>
          <w:shd w:val="clear" w:fill="FFFFFF"/>
          <w:lang w:eastAsia="zh-CN"/>
        </w:rPr>
        <w:t>日前要将拟列入重点监管名单的企业、驾驶员和车辆报市局安委办汇总。各县（市、区）交通运输局，市交通运输服务中心、公路建设养护中心、交通运输综合行政执法支队应于每月</w:t>
      </w:r>
      <w:r>
        <w:rPr>
          <w:rFonts w:hint="eastAsia" w:ascii="仿宋_GB2312" w:eastAsia="仿宋_GB2312" w:cs="仿宋_GB2312"/>
          <w:sz w:val="32"/>
          <w:szCs w:val="32"/>
          <w:shd w:val="clear" w:fill="FFFFFF"/>
          <w:lang w:val="en-US"/>
        </w:rPr>
        <w:t>5</w:t>
      </w:r>
      <w:r>
        <w:rPr>
          <w:rFonts w:hint="eastAsia" w:ascii="仿宋_GB2312" w:eastAsia="仿宋_GB2312" w:cs="仿宋_GB2312"/>
          <w:sz w:val="32"/>
          <w:szCs w:val="32"/>
          <w:shd w:val="clear" w:fill="FFFFFF"/>
          <w:lang w:eastAsia="zh-CN"/>
        </w:rPr>
        <w:t>日前将“攻坚行动”统计表（见附件</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w:t>
      </w:r>
      <w:r>
        <w:rPr>
          <w:rFonts w:hint="eastAsia" w:ascii="仿宋_GB2312" w:eastAsia="仿宋_GB2312" w:cs="仿宋_GB2312"/>
          <w:sz w:val="32"/>
          <w:szCs w:val="32"/>
          <w:shd w:val="clear" w:fill="FFFFFF"/>
          <w:lang w:val="en-US"/>
        </w:rPr>
        <w:t>6</w:t>
      </w:r>
      <w:r>
        <w:rPr>
          <w:rFonts w:hint="eastAsia" w:ascii="仿宋_GB2312" w:eastAsia="仿宋_GB2312" w:cs="仿宋_GB2312"/>
          <w:sz w:val="32"/>
          <w:szCs w:val="32"/>
          <w:shd w:val="clear" w:fill="FFFFFF"/>
          <w:lang w:eastAsia="zh-CN"/>
        </w:rPr>
        <w:t>月</w:t>
      </w:r>
      <w:r>
        <w:rPr>
          <w:rFonts w:hint="eastAsia" w:ascii="仿宋_GB2312" w:eastAsia="仿宋_GB2312" w:cs="仿宋_GB2312"/>
          <w:sz w:val="32"/>
          <w:szCs w:val="32"/>
          <w:shd w:val="clear" w:fill="FFFFFF"/>
          <w:lang w:val="en-US"/>
        </w:rPr>
        <w:t>5</w:t>
      </w:r>
      <w:r>
        <w:rPr>
          <w:rFonts w:hint="eastAsia" w:ascii="仿宋_GB2312" w:eastAsia="仿宋_GB2312" w:cs="仿宋_GB2312"/>
          <w:sz w:val="32"/>
          <w:szCs w:val="32"/>
          <w:shd w:val="clear" w:fill="FFFFFF"/>
          <w:lang w:eastAsia="zh-CN"/>
        </w:rPr>
        <w:t>日、</w:t>
      </w:r>
      <w:r>
        <w:rPr>
          <w:rFonts w:hint="eastAsia" w:ascii="仿宋_GB2312" w:eastAsia="仿宋_GB2312" w:cs="仿宋_GB2312"/>
          <w:sz w:val="32"/>
          <w:szCs w:val="32"/>
          <w:shd w:val="clear" w:fill="FFFFFF"/>
          <w:lang w:val="en-US"/>
        </w:rPr>
        <w:t>7</w:t>
      </w:r>
      <w:r>
        <w:rPr>
          <w:rFonts w:hint="eastAsia" w:ascii="仿宋_GB2312" w:eastAsia="仿宋_GB2312" w:cs="仿宋_GB2312"/>
          <w:sz w:val="32"/>
          <w:szCs w:val="32"/>
          <w:shd w:val="clear" w:fill="FFFFFF"/>
          <w:lang w:eastAsia="zh-CN"/>
        </w:rPr>
        <w:t>月</w:t>
      </w:r>
      <w:r>
        <w:rPr>
          <w:rFonts w:hint="eastAsia" w:ascii="仿宋_GB2312" w:eastAsia="仿宋_GB2312" w:cs="仿宋_GB2312"/>
          <w:sz w:val="32"/>
          <w:szCs w:val="32"/>
          <w:shd w:val="clear" w:fill="FFFFFF"/>
          <w:lang w:val="en-US"/>
        </w:rPr>
        <w:t>5</w:t>
      </w:r>
      <w:r>
        <w:rPr>
          <w:rFonts w:hint="eastAsia" w:ascii="仿宋_GB2312" w:eastAsia="仿宋_GB2312" w:cs="仿宋_GB2312"/>
          <w:sz w:val="32"/>
          <w:szCs w:val="32"/>
          <w:shd w:val="clear" w:fill="FFFFFF"/>
          <w:lang w:eastAsia="zh-CN"/>
        </w:rPr>
        <w:t>日前将阶段性总结和最终工作总结分别报至局安委办。</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color w:val="000000"/>
          <w:sz w:val="32"/>
          <w:szCs w:val="32"/>
          <w:shd w:val="clear" w:fill="FFFFFF"/>
          <w:lang w:val="en-US"/>
        </w:rPr>
      </w:pPr>
      <w:r>
        <w:rPr>
          <w:rFonts w:hint="eastAsia" w:ascii="仿宋_GB2312" w:eastAsia="仿宋_GB2312" w:cs="仿宋_GB2312"/>
          <w:sz w:val="32"/>
          <w:szCs w:val="32"/>
          <w:shd w:val="clear" w:fill="FFFFFF"/>
          <w:lang w:eastAsia="zh-CN"/>
        </w:rPr>
        <w:t>市交通运输局安委办联系人：马慧敏，联系电话</w:t>
      </w:r>
      <w:r>
        <w:rPr>
          <w:rFonts w:hint="eastAsia" w:ascii="仿宋_GB2312" w:eastAsia="仿宋_GB2312" w:cs="仿宋_GB2312"/>
          <w:sz w:val="32"/>
          <w:szCs w:val="32"/>
          <w:shd w:val="clear" w:fill="FFFFFF"/>
          <w:lang w:val="en-US"/>
        </w:rPr>
        <w:t>:3558393</w:t>
      </w:r>
      <w:r>
        <w:rPr>
          <w:rFonts w:hint="eastAsia" w:ascii="仿宋_GB2312" w:eastAsia="仿宋_GB2312" w:cs="仿宋_GB2312"/>
          <w:sz w:val="32"/>
          <w:szCs w:val="32"/>
          <w:shd w:val="clear" w:fill="FFFFFF"/>
          <w:lang w:eastAsia="zh-CN"/>
        </w:rPr>
        <w:t>，邮箱：</w:t>
      </w:r>
      <w:r>
        <w:rPr>
          <w:rFonts w:hint="eastAsia" w:ascii="仿宋_GB2312" w:eastAsia="仿宋_GB2312" w:cs="仿宋_GB2312"/>
          <w:sz w:val="32"/>
          <w:szCs w:val="32"/>
          <w:shd w:val="clear" w:fill="FFFFFF"/>
          <w:lang w:val="en-US"/>
        </w:rPr>
        <w:fldChar w:fldCharType="begin"/>
      </w:r>
      <w:r>
        <w:rPr>
          <w:rFonts w:hint="eastAsia" w:ascii="仿宋_GB2312" w:eastAsia="仿宋_GB2312" w:cs="仿宋_GB2312"/>
          <w:sz w:val="32"/>
          <w:szCs w:val="32"/>
          <w:shd w:val="clear" w:fill="FFFFFF"/>
          <w:lang w:val="en-US"/>
        </w:rPr>
        <w:instrText xml:space="preserve"> HYPERLINK "mailto:anquanke5566@163.com" </w:instrText>
      </w:r>
      <w:r>
        <w:rPr>
          <w:rFonts w:hint="eastAsia" w:ascii="仿宋_GB2312" w:eastAsia="仿宋_GB2312" w:cs="仿宋_GB2312"/>
          <w:sz w:val="32"/>
          <w:szCs w:val="32"/>
          <w:shd w:val="clear" w:fill="FFFFFF"/>
          <w:lang w:val="en-US"/>
        </w:rPr>
        <w:fldChar w:fldCharType="separate"/>
      </w:r>
      <w:r>
        <w:rPr>
          <w:rStyle w:val="13"/>
          <w:rFonts w:hint="eastAsia" w:ascii="仿宋_GB2312" w:eastAsia="仿宋_GB2312" w:cs="仿宋_GB2312"/>
          <w:color w:val="000000"/>
          <w:sz w:val="32"/>
          <w:szCs w:val="32"/>
          <w:u w:val="none"/>
          <w:shd w:val="clear" w:fill="FFFFFF"/>
          <w:lang w:val="en-US"/>
        </w:rPr>
        <w:t>anquanke5566@163.com</w:t>
      </w:r>
      <w:r>
        <w:rPr>
          <w:rFonts w:hint="eastAsia" w:ascii="仿宋_GB2312" w:eastAsia="仿宋_GB2312" w:cs="仿宋_GB2312"/>
          <w:sz w:val="32"/>
          <w:szCs w:val="32"/>
          <w:shd w:val="clear" w:fill="FFFFFF"/>
          <w:lang w:val="en-US"/>
        </w:rPr>
        <w:fldChar w:fldCharType="end"/>
      </w:r>
      <w:r>
        <w:rPr>
          <w:rFonts w:hint="eastAsia" w:ascii="仿宋_GB2312" w:eastAsia="仿宋_GB2312" w:cs="仿宋_GB2312"/>
          <w:color w:val="000000"/>
          <w:sz w:val="32"/>
          <w:szCs w:val="32"/>
          <w:shd w:val="clear" w:fill="FFFFFF"/>
          <w:lang w:eastAsia="zh-CN"/>
        </w:rPr>
        <w:t>。</w:t>
      </w: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p>
    <w:p>
      <w:pPr>
        <w:pStyle w:val="8"/>
        <w:widowControl/>
        <w:shd w:val="clear" w:fill="FFFFFF"/>
        <w:spacing w:before="0" w:beforeAutospacing="0" w:after="0" w:afterAutospacing="0" w:line="560" w:lineRule="exact"/>
        <w:ind w:left="0" w:right="0" w:firstLine="645"/>
        <w:jc w:val="both"/>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附件：</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“攻坚行动”统计表</w:t>
      </w: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2.道路交通安全宣传标语</w:t>
      </w: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r>
        <w:rPr>
          <w:rFonts w:hint="eastAsia" w:ascii="仿宋_GB2312" w:hAnsi="Calibri" w:eastAsia="仿宋_GB2312" w:cs="仿宋_GB2312"/>
          <w:kern w:val="2"/>
          <w:sz w:val="32"/>
          <w:szCs w:val="32"/>
          <w:lang w:val="en-US" w:eastAsia="zh-CN" w:bidi="ar"/>
        </w:rPr>
        <w:t>3.</w:t>
      </w:r>
      <w:r>
        <w:rPr>
          <w:rFonts w:hint="eastAsia" w:ascii="仿宋_GB2312" w:hAnsi="Calibri" w:eastAsia="仿宋_GB2312" w:cs="仿宋_GB2312"/>
          <w:kern w:val="2"/>
          <w:sz w:val="32"/>
          <w:szCs w:val="32"/>
          <w:shd w:val="clear" w:fill="FFFFFF"/>
          <w:lang w:val="en-US" w:eastAsia="zh-CN" w:bidi="ar"/>
        </w:rPr>
        <w:t>桂林市交通运输行业“十个一律”</w:t>
      </w: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right="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spacing w:before="0" w:beforeAutospacing="0" w:after="0" w:afterAutospacing="0" w:line="560" w:lineRule="exact"/>
        <w:ind w:left="0" w:right="0" w:firstLine="1600" w:firstLineChars="500"/>
        <w:jc w:val="both"/>
        <w:rPr>
          <w:rFonts w:hint="eastAsia" w:ascii="仿宋_GB2312" w:eastAsia="仿宋_GB2312" w:cs="仿宋_GB2312"/>
          <w:sz w:val="32"/>
          <w:szCs w:val="32"/>
          <w:shd w:val="clear" w:fill="FFFFFF"/>
          <w:lang w:val="en-US"/>
        </w:rPr>
      </w:pPr>
    </w:p>
    <w:p>
      <w:pPr>
        <w:keepNext w:val="0"/>
        <w:keepLines w:val="0"/>
        <w:widowControl w:val="0"/>
        <w:suppressLineNumbers w:val="0"/>
        <w:tabs>
          <w:tab w:val="center" w:pos="4365"/>
          <w:tab w:val="left" w:pos="6465"/>
        </w:tabs>
        <w:snapToGrid w:val="0"/>
        <w:spacing w:before="0" w:beforeAutospacing="0" w:after="0" w:afterAutospacing="0"/>
        <w:ind w:left="0" w:right="0"/>
        <w:jc w:val="both"/>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公开方式：主动公开</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sz w:val="32"/>
          <w:szCs w:val="32"/>
          <w:lang w:val="en-US"/>
        </w:rPr>
      </w:pPr>
    </w:p>
    <w:p>
      <w:pPr>
        <w:keepNext w:val="0"/>
        <w:keepLines w:val="0"/>
        <w:widowControl w:val="0"/>
        <w:suppressLineNumbers w:val="0"/>
        <w:spacing w:before="0" w:beforeAutospacing="0" w:after="0" w:afterAutospacing="0" w:line="560" w:lineRule="exact"/>
        <w:ind w:left="0" w:right="0" w:firstLine="525" w:firstLineChars="250"/>
        <w:jc w:val="both"/>
        <w:rPr>
          <w:rFonts w:hint="eastAsia" w:ascii="华文中宋" w:hAnsi="华文中宋" w:eastAsia="华文中宋" w:cs="华文中宋"/>
          <w:sz w:val="32"/>
          <w:szCs w:val="24"/>
          <w:lang w:val="en-US"/>
        </w:rPr>
      </w:pPr>
      <w:r>
        <w:rPr>
          <w:rFonts w:hint="default" w:ascii="Calibri" w:hAnsi="Calibri" w:eastAsia="宋体" w:cs="Times New Roman"/>
          <w:kern w:val="2"/>
          <w:sz w:val="21"/>
          <w:szCs w:val="24"/>
          <w:lang w:val="en-US" w:eastAsia="zh-CN" w:bidi="ar"/>
        </w:rPr>
        <w:pict>
          <v:line id="直线 448" o:spid="_x0000_s2210" o:spt="20" style="position:absolute;left:0pt;margin-left:9pt;margin-top:0.35pt;height:0pt;width:417.75pt;z-index:251661312;mso-width-relative:page;mso-height-relative:page;" coordsize="21600,21600">
            <v:path arrowok="t"/>
            <v:fill focussize="0,0"/>
            <v:stroke/>
            <v:imagedata o:title=""/>
            <o:lock v:ext="edit"/>
          </v:line>
        </w:pict>
      </w:r>
      <w:r>
        <w:rPr>
          <w:rFonts w:hint="eastAsia" w:ascii="仿宋_GB2312" w:hAnsi="Calibri" w:eastAsia="仿宋_GB2312" w:cs="仿宋_GB2312"/>
          <w:color w:val="000000"/>
          <w:kern w:val="2"/>
          <w:sz w:val="32"/>
          <w:szCs w:val="24"/>
          <w:lang w:val="en-US" w:eastAsia="zh-CN" w:bidi="ar"/>
        </w:rPr>
        <w:t>桂林市交通运输局办公室       2021年4月19日印发</w:t>
      </w:r>
    </w:p>
    <w:p>
      <w:pPr>
        <w:spacing w:line="640" w:lineRule="exact"/>
        <w:jc w:val="center"/>
        <w:rPr>
          <w:rFonts w:ascii="华文中宋" w:hAnsi="华文中宋" w:eastAsia="华文中宋"/>
          <w:sz w:val="32"/>
        </w:rPr>
      </w:pPr>
      <w:r>
        <w:rPr>
          <w:rFonts w:ascii="华文中宋" w:hAnsi="华文中宋" w:eastAsia="华文中宋"/>
          <w:sz w:val="32"/>
        </w:rPr>
        <w:pict>
          <v:line id="直线 446" o:spid="_x0000_s2206" o:spt="20" style="position:absolute;left:0pt;margin-left:9pt;margin-top:6.5pt;height:0pt;width:417.75pt;z-index:251660288;mso-width-relative:page;mso-height-relative:page;" coordsize="21600,21600">
            <v:path arrowok="t"/>
            <v:fill focussize="0,0"/>
            <v:stroke/>
            <v:imagedata o:title=""/>
            <o:lock v:ext="edit"/>
          </v:line>
        </w:pict>
      </w:r>
    </w:p>
    <w:sectPr>
      <w:footerReference r:id="rId3" w:type="default"/>
      <w:pgSz w:w="11906" w:h="16838"/>
      <w:pgMar w:top="1417" w:right="1417" w:bottom="1417"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新宋体á.ā">
    <w:altName w:val="黑体"/>
    <w:panose1 w:val="00000000000000000000"/>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Gungsuh">
    <w:panose1 w:val="02030600000101010101"/>
    <w:charset w:val="88"/>
    <w:family w:val="roman"/>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738422"/>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BC81565"/>
    <w:rsid w:val="000079B1"/>
    <w:rsid w:val="00013FB0"/>
    <w:rsid w:val="00017EBF"/>
    <w:rsid w:val="000321DD"/>
    <w:rsid w:val="000515A3"/>
    <w:rsid w:val="00055F21"/>
    <w:rsid w:val="00060F06"/>
    <w:rsid w:val="0007613E"/>
    <w:rsid w:val="000815BE"/>
    <w:rsid w:val="00082955"/>
    <w:rsid w:val="00096027"/>
    <w:rsid w:val="000A0891"/>
    <w:rsid w:val="000B216D"/>
    <w:rsid w:val="000C573C"/>
    <w:rsid w:val="000D48CB"/>
    <w:rsid w:val="000F62D9"/>
    <w:rsid w:val="000F6BAA"/>
    <w:rsid w:val="00103FEC"/>
    <w:rsid w:val="001040C5"/>
    <w:rsid w:val="001207E1"/>
    <w:rsid w:val="00130BEF"/>
    <w:rsid w:val="00133DC7"/>
    <w:rsid w:val="00145DC5"/>
    <w:rsid w:val="0015276B"/>
    <w:rsid w:val="0015687C"/>
    <w:rsid w:val="00156F82"/>
    <w:rsid w:val="001636F6"/>
    <w:rsid w:val="00165007"/>
    <w:rsid w:val="001701FA"/>
    <w:rsid w:val="00181E6F"/>
    <w:rsid w:val="00186012"/>
    <w:rsid w:val="001B42E7"/>
    <w:rsid w:val="001C2498"/>
    <w:rsid w:val="001F2F60"/>
    <w:rsid w:val="001F56A3"/>
    <w:rsid w:val="0020051B"/>
    <w:rsid w:val="002113A1"/>
    <w:rsid w:val="0021331D"/>
    <w:rsid w:val="0024366C"/>
    <w:rsid w:val="00244DB4"/>
    <w:rsid w:val="0025527C"/>
    <w:rsid w:val="002578B7"/>
    <w:rsid w:val="002606E0"/>
    <w:rsid w:val="00266689"/>
    <w:rsid w:val="0026756C"/>
    <w:rsid w:val="002768B3"/>
    <w:rsid w:val="00286016"/>
    <w:rsid w:val="0029760E"/>
    <w:rsid w:val="002B07AC"/>
    <w:rsid w:val="002B0CFA"/>
    <w:rsid w:val="002B75D3"/>
    <w:rsid w:val="002F28E1"/>
    <w:rsid w:val="002F54D9"/>
    <w:rsid w:val="003010D6"/>
    <w:rsid w:val="0031483A"/>
    <w:rsid w:val="00317795"/>
    <w:rsid w:val="00343B5F"/>
    <w:rsid w:val="00357A46"/>
    <w:rsid w:val="003662C7"/>
    <w:rsid w:val="00366377"/>
    <w:rsid w:val="0037134C"/>
    <w:rsid w:val="003713DE"/>
    <w:rsid w:val="00372B55"/>
    <w:rsid w:val="00382594"/>
    <w:rsid w:val="00394B77"/>
    <w:rsid w:val="00396FF3"/>
    <w:rsid w:val="003A65B0"/>
    <w:rsid w:val="003B4D85"/>
    <w:rsid w:val="003D4BD9"/>
    <w:rsid w:val="00404F56"/>
    <w:rsid w:val="00407E95"/>
    <w:rsid w:val="00413979"/>
    <w:rsid w:val="00426825"/>
    <w:rsid w:val="00432C28"/>
    <w:rsid w:val="00433407"/>
    <w:rsid w:val="00436521"/>
    <w:rsid w:val="004551AA"/>
    <w:rsid w:val="0046156C"/>
    <w:rsid w:val="00480C0B"/>
    <w:rsid w:val="004A0A79"/>
    <w:rsid w:val="004A255E"/>
    <w:rsid w:val="004A3359"/>
    <w:rsid w:val="004C2FD6"/>
    <w:rsid w:val="00510950"/>
    <w:rsid w:val="005400EA"/>
    <w:rsid w:val="005421D7"/>
    <w:rsid w:val="005529C4"/>
    <w:rsid w:val="00594A6A"/>
    <w:rsid w:val="005D14F5"/>
    <w:rsid w:val="005E56E5"/>
    <w:rsid w:val="00600750"/>
    <w:rsid w:val="006021E5"/>
    <w:rsid w:val="006368DF"/>
    <w:rsid w:val="00641A53"/>
    <w:rsid w:val="00652C3C"/>
    <w:rsid w:val="00665896"/>
    <w:rsid w:val="0069253E"/>
    <w:rsid w:val="006A2353"/>
    <w:rsid w:val="006C7C83"/>
    <w:rsid w:val="006D0918"/>
    <w:rsid w:val="006D2210"/>
    <w:rsid w:val="006F0A3F"/>
    <w:rsid w:val="00706573"/>
    <w:rsid w:val="00721AC7"/>
    <w:rsid w:val="00724973"/>
    <w:rsid w:val="0073342E"/>
    <w:rsid w:val="007416F6"/>
    <w:rsid w:val="00752F45"/>
    <w:rsid w:val="00754BE7"/>
    <w:rsid w:val="007748B5"/>
    <w:rsid w:val="00775BE4"/>
    <w:rsid w:val="0077662F"/>
    <w:rsid w:val="00785B61"/>
    <w:rsid w:val="00791048"/>
    <w:rsid w:val="0079531B"/>
    <w:rsid w:val="007C656A"/>
    <w:rsid w:val="007E6CC1"/>
    <w:rsid w:val="00803C84"/>
    <w:rsid w:val="00823D46"/>
    <w:rsid w:val="00835701"/>
    <w:rsid w:val="00836CBE"/>
    <w:rsid w:val="00847F7C"/>
    <w:rsid w:val="008610A4"/>
    <w:rsid w:val="008673B8"/>
    <w:rsid w:val="008A266F"/>
    <w:rsid w:val="008A3764"/>
    <w:rsid w:val="008A726B"/>
    <w:rsid w:val="008B2192"/>
    <w:rsid w:val="008B70C4"/>
    <w:rsid w:val="008D1875"/>
    <w:rsid w:val="008D24AF"/>
    <w:rsid w:val="008D3743"/>
    <w:rsid w:val="008D3B9C"/>
    <w:rsid w:val="008E7D27"/>
    <w:rsid w:val="00902B3C"/>
    <w:rsid w:val="00923B46"/>
    <w:rsid w:val="0093506C"/>
    <w:rsid w:val="009620AB"/>
    <w:rsid w:val="009622E5"/>
    <w:rsid w:val="00966BFD"/>
    <w:rsid w:val="00977BA4"/>
    <w:rsid w:val="009A0AFA"/>
    <w:rsid w:val="009A4FC4"/>
    <w:rsid w:val="009A71A1"/>
    <w:rsid w:val="009C24FE"/>
    <w:rsid w:val="009C343F"/>
    <w:rsid w:val="009D44B3"/>
    <w:rsid w:val="009E62EF"/>
    <w:rsid w:val="009F6ABC"/>
    <w:rsid w:val="00A13026"/>
    <w:rsid w:val="00A16FBD"/>
    <w:rsid w:val="00A23D68"/>
    <w:rsid w:val="00A37D37"/>
    <w:rsid w:val="00A52B26"/>
    <w:rsid w:val="00A6397C"/>
    <w:rsid w:val="00A70EE0"/>
    <w:rsid w:val="00A82FA9"/>
    <w:rsid w:val="00AC0BFF"/>
    <w:rsid w:val="00AD05BF"/>
    <w:rsid w:val="00B03E2D"/>
    <w:rsid w:val="00B06B49"/>
    <w:rsid w:val="00B41188"/>
    <w:rsid w:val="00B9098B"/>
    <w:rsid w:val="00BC4E12"/>
    <w:rsid w:val="00BD1B0F"/>
    <w:rsid w:val="00BD448C"/>
    <w:rsid w:val="00BF3B56"/>
    <w:rsid w:val="00C1070C"/>
    <w:rsid w:val="00C355F0"/>
    <w:rsid w:val="00C46D07"/>
    <w:rsid w:val="00C47108"/>
    <w:rsid w:val="00C57BF7"/>
    <w:rsid w:val="00C729BF"/>
    <w:rsid w:val="00CA28C8"/>
    <w:rsid w:val="00CB07CC"/>
    <w:rsid w:val="00CB6817"/>
    <w:rsid w:val="00CD2F6A"/>
    <w:rsid w:val="00CF6E00"/>
    <w:rsid w:val="00D019CC"/>
    <w:rsid w:val="00D05888"/>
    <w:rsid w:val="00D16FD4"/>
    <w:rsid w:val="00D176CB"/>
    <w:rsid w:val="00D26AC9"/>
    <w:rsid w:val="00D372AE"/>
    <w:rsid w:val="00D61BFE"/>
    <w:rsid w:val="00D71948"/>
    <w:rsid w:val="00DB0027"/>
    <w:rsid w:val="00DB5557"/>
    <w:rsid w:val="00DF24FC"/>
    <w:rsid w:val="00DF781E"/>
    <w:rsid w:val="00E218EC"/>
    <w:rsid w:val="00E308FD"/>
    <w:rsid w:val="00E351AD"/>
    <w:rsid w:val="00E427AD"/>
    <w:rsid w:val="00E77503"/>
    <w:rsid w:val="00E8099D"/>
    <w:rsid w:val="00E82CC1"/>
    <w:rsid w:val="00E96B84"/>
    <w:rsid w:val="00EA2286"/>
    <w:rsid w:val="00EA65ED"/>
    <w:rsid w:val="00EB4B3C"/>
    <w:rsid w:val="00EB53A7"/>
    <w:rsid w:val="00ED7754"/>
    <w:rsid w:val="00EE0E6D"/>
    <w:rsid w:val="00EE1EFA"/>
    <w:rsid w:val="00EE2635"/>
    <w:rsid w:val="00F00854"/>
    <w:rsid w:val="00F100D4"/>
    <w:rsid w:val="00F17A41"/>
    <w:rsid w:val="00F429AA"/>
    <w:rsid w:val="00F45697"/>
    <w:rsid w:val="00F60D08"/>
    <w:rsid w:val="00F62006"/>
    <w:rsid w:val="00F70EE8"/>
    <w:rsid w:val="00F80A12"/>
    <w:rsid w:val="00F80B74"/>
    <w:rsid w:val="00F9380E"/>
    <w:rsid w:val="00F95548"/>
    <w:rsid w:val="00F96591"/>
    <w:rsid w:val="00FA359A"/>
    <w:rsid w:val="00FB06B9"/>
    <w:rsid w:val="00FB0A26"/>
    <w:rsid w:val="00FB68C2"/>
    <w:rsid w:val="00FC4C4B"/>
    <w:rsid w:val="0607710D"/>
    <w:rsid w:val="09BB3AFF"/>
    <w:rsid w:val="0BC81565"/>
    <w:rsid w:val="13153E43"/>
    <w:rsid w:val="1ABB7EF0"/>
    <w:rsid w:val="29355A56"/>
    <w:rsid w:val="40363FEF"/>
    <w:rsid w:val="46127F4E"/>
    <w:rsid w:val="47620819"/>
    <w:rsid w:val="539B1EAC"/>
    <w:rsid w:val="68F30B60"/>
    <w:rsid w:val="69660365"/>
    <w:rsid w:val="6D535020"/>
    <w:rsid w:val="73E31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link w:val="4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4">
    <w:name w:val="Body Text Indent"/>
    <w:basedOn w:val="1"/>
    <w:link w:val="24"/>
    <w:qFormat/>
    <w:uiPriority w:val="0"/>
    <w:pPr>
      <w:spacing w:after="120"/>
      <w:ind w:left="420" w:leftChars="200"/>
    </w:pPr>
    <w:rPr>
      <w:rFonts w:ascii="Times New Roman" w:hAnsi="Times New Roman" w:eastAsia="宋体" w:cs="Times New Roman"/>
      <w:szCs w:val="20"/>
    </w:rPr>
  </w:style>
  <w:style w:type="paragraph" w:styleId="5">
    <w:name w:val="Balloon Text"/>
    <w:basedOn w:val="1"/>
    <w:link w:val="23"/>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800080"/>
      <w:u w:val="single"/>
    </w:rPr>
  </w:style>
  <w:style w:type="character" w:styleId="13">
    <w:name w:val="Hyperlink"/>
    <w:basedOn w:val="9"/>
    <w:qFormat/>
    <w:uiPriority w:val="0"/>
    <w:rPr>
      <w:color w:val="336699"/>
      <w:u w:val="non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7">
    <w:name w:val="页眉 Char"/>
    <w:basedOn w:val="9"/>
    <w:link w:val="7"/>
    <w:qFormat/>
    <w:uiPriority w:val="99"/>
    <w:rPr>
      <w:rFonts w:asciiTheme="minorHAnsi" w:hAnsiTheme="minorHAnsi" w:eastAsiaTheme="minorEastAsia" w:cstheme="minorBidi"/>
      <w:kern w:val="2"/>
      <w:sz w:val="18"/>
      <w:szCs w:val="18"/>
    </w:rPr>
  </w:style>
  <w:style w:type="character" w:customStyle="1" w:styleId="18">
    <w:name w:val="页脚 Char"/>
    <w:basedOn w:val="9"/>
    <w:link w:val="6"/>
    <w:qFormat/>
    <w:uiPriority w:val="99"/>
    <w:rPr>
      <w:rFonts w:asciiTheme="minorHAnsi" w:hAnsiTheme="minorHAnsi" w:eastAsiaTheme="minorEastAsia" w:cstheme="minorBidi"/>
      <w:kern w:val="2"/>
      <w:sz w:val="18"/>
      <w:szCs w:val="18"/>
    </w:rPr>
  </w:style>
  <w:style w:type="paragraph" w:customStyle="1" w:styleId="1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paragraph" w:customStyle="1" w:styleId="21">
    <w:name w:val="Default"/>
    <w:qFormat/>
    <w:uiPriority w:val="0"/>
    <w:pPr>
      <w:widowControl w:val="0"/>
      <w:autoSpaceDE w:val="0"/>
      <w:autoSpaceDN w:val="0"/>
      <w:adjustRightInd w:val="0"/>
    </w:pPr>
    <w:rPr>
      <w:rFonts w:ascii="新宋体á.ā" w:hAnsi="Calibri" w:eastAsia="新宋体á.ā" w:cs="新宋体á.ā"/>
      <w:color w:val="000000"/>
      <w:sz w:val="24"/>
      <w:szCs w:val="24"/>
      <w:lang w:val="en-US" w:eastAsia="zh-CN" w:bidi="ar-SA"/>
    </w:rPr>
  </w:style>
  <w:style w:type="paragraph" w:customStyle="1" w:styleId="22">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3">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24">
    <w:name w:val="正文文本缩进 Char"/>
    <w:basedOn w:val="9"/>
    <w:link w:val="4"/>
    <w:qFormat/>
    <w:uiPriority w:val="0"/>
    <w:rPr>
      <w:kern w:val="2"/>
      <w:sz w:val="21"/>
    </w:rPr>
  </w:style>
  <w:style w:type="paragraph" w:customStyle="1" w:styleId="25">
    <w:name w:val="List Paragraph"/>
    <w:basedOn w:val="1"/>
    <w:qFormat/>
    <w:uiPriority w:val="34"/>
    <w:pPr>
      <w:ind w:firstLine="420" w:firstLineChars="200"/>
    </w:pPr>
    <w:rPr>
      <w:rFonts w:ascii="Calibri" w:hAnsi="Calibri" w:eastAsia="宋体" w:cs="Times New Roman"/>
      <w:szCs w:val="22"/>
    </w:rPr>
  </w:style>
  <w:style w:type="paragraph" w:customStyle="1" w:styleId="26">
    <w:name w:val="_Style 0"/>
    <w:qFormat/>
    <w:uiPriority w:val="0"/>
    <w:pPr>
      <w:widowControl w:val="0"/>
      <w:jc w:val="both"/>
    </w:pPr>
    <w:rPr>
      <w:rFonts w:ascii="Calibri" w:hAnsi="Calibri" w:eastAsia="宋体" w:cs="Times New Roman"/>
      <w:kern w:val="2"/>
      <w:sz w:val="21"/>
      <w:szCs w:val="24"/>
      <w:lang w:val="en-US" w:eastAsia="zh-CN" w:bidi="ar-SA"/>
    </w:rPr>
  </w:style>
  <w:style w:type="character" w:customStyle="1" w:styleId="27">
    <w:name w:val="标题 1 Char"/>
    <w:basedOn w:val="9"/>
    <w:link w:val="2"/>
    <w:qFormat/>
    <w:uiPriority w:val="0"/>
    <w:rPr>
      <w:b/>
      <w:bCs/>
      <w:kern w:val="44"/>
      <w:sz w:val="44"/>
      <w:szCs w:val="44"/>
    </w:rPr>
  </w:style>
  <w:style w:type="character" w:customStyle="1" w:styleId="28">
    <w:name w:val="正文文本_"/>
    <w:link w:val="29"/>
    <w:unhideWhenUsed/>
    <w:qFormat/>
    <w:uiPriority w:val="99"/>
    <w:rPr>
      <w:rFonts w:ascii="MingLiU" w:hAnsi="MingLiU" w:eastAsia="MingLiU"/>
      <w:sz w:val="30"/>
      <w:shd w:val="clear" w:color="auto" w:fill="FFFFFF"/>
    </w:rPr>
  </w:style>
  <w:style w:type="paragraph" w:customStyle="1" w:styleId="29">
    <w:name w:val="正文文本1"/>
    <w:basedOn w:val="1"/>
    <w:link w:val="28"/>
    <w:unhideWhenUsed/>
    <w:qFormat/>
    <w:uiPriority w:val="99"/>
    <w:pPr>
      <w:shd w:val="clear" w:color="auto" w:fill="FFFFFF"/>
      <w:spacing w:before="1560" w:after="1260" w:line="240" w:lineRule="atLeast"/>
      <w:ind w:hanging="1220"/>
    </w:pPr>
    <w:rPr>
      <w:rFonts w:ascii="MingLiU" w:hAnsi="MingLiU" w:eastAsia="MingLiU" w:cs="Times New Roman"/>
      <w:kern w:val="0"/>
      <w:sz w:val="30"/>
      <w:szCs w:val="20"/>
    </w:rPr>
  </w:style>
  <w:style w:type="character" w:customStyle="1" w:styleId="30">
    <w:name w:val="正文文本 + 15.5 pt"/>
    <w:basedOn w:val="28"/>
    <w:qFormat/>
    <w:uiPriority w:val="99"/>
    <w:rPr>
      <w:rFonts w:ascii="宋体" w:hAnsi="Times New Roman" w:cs="Times New Roman"/>
      <w:spacing w:val="10"/>
      <w:kern w:val="0"/>
      <w:sz w:val="20"/>
      <w:szCs w:val="20"/>
    </w:rPr>
  </w:style>
  <w:style w:type="character" w:customStyle="1" w:styleId="31">
    <w:name w:val="正文文本 + SimHei"/>
    <w:basedOn w:val="28"/>
    <w:unhideWhenUsed/>
    <w:qFormat/>
    <w:uiPriority w:val="99"/>
    <w:rPr>
      <w:rFonts w:hint="eastAsia" w:ascii="黑体" w:hAnsi="黑体" w:eastAsia="黑体" w:cs="宋体"/>
      <w:color w:val="000000"/>
      <w:spacing w:val="40"/>
      <w:sz w:val="29"/>
      <w:szCs w:val="27"/>
      <w:shd w:val="clear" w:color="auto" w:fill="FFFFFF"/>
    </w:rPr>
  </w:style>
  <w:style w:type="character" w:customStyle="1" w:styleId="32">
    <w:name w:val="正文文本 (2)_"/>
    <w:basedOn w:val="9"/>
    <w:link w:val="33"/>
    <w:unhideWhenUsed/>
    <w:qFormat/>
    <w:uiPriority w:val="99"/>
    <w:rPr>
      <w:rFonts w:ascii="宋体" w:hAnsi="宋体"/>
      <w:kern w:val="2"/>
      <w:sz w:val="31"/>
      <w:szCs w:val="24"/>
      <w:shd w:val="clear" w:color="auto" w:fill="FFFFFF"/>
    </w:rPr>
  </w:style>
  <w:style w:type="paragraph" w:customStyle="1" w:styleId="33">
    <w:name w:val="正文文本 (2)"/>
    <w:basedOn w:val="1"/>
    <w:link w:val="32"/>
    <w:unhideWhenUsed/>
    <w:qFormat/>
    <w:uiPriority w:val="99"/>
    <w:pPr>
      <w:shd w:val="clear" w:color="auto" w:fill="FFFFFF"/>
      <w:spacing w:line="518" w:lineRule="exact"/>
      <w:ind w:firstLine="640"/>
      <w:jc w:val="distribute"/>
    </w:pPr>
    <w:rPr>
      <w:rFonts w:ascii="宋体" w:hAnsi="宋体" w:eastAsia="宋体" w:cs="Times New Roman"/>
      <w:sz w:val="31"/>
    </w:rPr>
  </w:style>
  <w:style w:type="character" w:customStyle="1" w:styleId="34">
    <w:name w:val="font21"/>
    <w:qFormat/>
    <w:uiPriority w:val="0"/>
    <w:rPr>
      <w:rFonts w:hint="eastAsia" w:ascii="仿宋_GB2312" w:eastAsia="仿宋_GB2312" w:cs="仿宋_GB2312"/>
      <w:color w:val="000000"/>
      <w:sz w:val="21"/>
      <w:szCs w:val="21"/>
      <w:u w:val="none"/>
    </w:rPr>
  </w:style>
  <w:style w:type="paragraph" w:customStyle="1" w:styleId="35">
    <w:name w:val="标题 #3"/>
    <w:basedOn w:val="1"/>
    <w:link w:val="36"/>
    <w:unhideWhenUsed/>
    <w:qFormat/>
    <w:uiPriority w:val="99"/>
    <w:pPr>
      <w:shd w:val="clear" w:color="auto" w:fill="FFFFFF"/>
      <w:spacing w:line="619" w:lineRule="exact"/>
      <w:jc w:val="center"/>
      <w:outlineLvl w:val="2"/>
    </w:pPr>
    <w:rPr>
      <w:rFonts w:ascii="宋体" w:hAnsi="宋体" w:eastAsia="宋体" w:cs="Times New Roman"/>
      <w:color w:val="000000"/>
      <w:spacing w:val="-10"/>
      <w:kern w:val="0"/>
      <w:sz w:val="43"/>
      <w:szCs w:val="20"/>
      <w:lang w:val="zh-TW" w:eastAsia="zh-TW"/>
    </w:rPr>
  </w:style>
  <w:style w:type="character" w:customStyle="1" w:styleId="36">
    <w:name w:val="标题 #3_"/>
    <w:basedOn w:val="9"/>
    <w:link w:val="35"/>
    <w:unhideWhenUsed/>
    <w:qFormat/>
    <w:uiPriority w:val="99"/>
    <w:rPr>
      <w:rFonts w:ascii="宋体" w:hAnsi="宋体"/>
      <w:color w:val="000000"/>
      <w:spacing w:val="-10"/>
      <w:sz w:val="43"/>
      <w:shd w:val="clear" w:color="auto" w:fill="FFFFFF"/>
      <w:lang w:val="zh-TW" w:eastAsia="zh-TW"/>
    </w:rPr>
  </w:style>
  <w:style w:type="paragraph" w:customStyle="1" w:styleId="37">
    <w:name w:val="标题 #2"/>
    <w:basedOn w:val="1"/>
    <w:link w:val="38"/>
    <w:unhideWhenUsed/>
    <w:qFormat/>
    <w:uiPriority w:val="99"/>
    <w:pPr>
      <w:shd w:val="clear" w:color="auto" w:fill="FFFFFF"/>
      <w:spacing w:line="562" w:lineRule="exact"/>
      <w:jc w:val="center"/>
      <w:outlineLvl w:val="1"/>
    </w:pPr>
    <w:rPr>
      <w:rFonts w:ascii="宋体" w:hAnsi="宋体" w:eastAsia="宋体" w:cs="Times New Roman"/>
      <w:color w:val="000000"/>
      <w:spacing w:val="-30"/>
      <w:kern w:val="0"/>
      <w:sz w:val="47"/>
      <w:szCs w:val="20"/>
      <w:lang w:val="zh-TW" w:eastAsia="zh-TW"/>
    </w:rPr>
  </w:style>
  <w:style w:type="character" w:customStyle="1" w:styleId="38">
    <w:name w:val="标题 #2_"/>
    <w:basedOn w:val="9"/>
    <w:link w:val="37"/>
    <w:unhideWhenUsed/>
    <w:qFormat/>
    <w:uiPriority w:val="99"/>
    <w:rPr>
      <w:rFonts w:ascii="宋体" w:hAnsi="宋体"/>
      <w:color w:val="000000"/>
      <w:spacing w:val="-30"/>
      <w:sz w:val="47"/>
      <w:shd w:val="clear" w:color="auto" w:fill="FFFFFF"/>
      <w:lang w:val="zh-TW" w:eastAsia="zh-TW"/>
    </w:rPr>
  </w:style>
  <w:style w:type="character" w:customStyle="1" w:styleId="39">
    <w:name w:val="正文文本 + Batang"/>
    <w:basedOn w:val="28"/>
    <w:unhideWhenUsed/>
    <w:qFormat/>
    <w:uiPriority w:val="99"/>
    <w:rPr>
      <w:rFonts w:hint="eastAsia" w:ascii="Batang" w:hAnsi="Batang" w:eastAsia="Batang"/>
      <w:spacing w:val="20"/>
      <w:w w:val="80"/>
      <w:sz w:val="29"/>
      <w:shd w:val="clear" w:color="auto" w:fill="FFFFFF"/>
    </w:rPr>
  </w:style>
  <w:style w:type="character" w:customStyle="1" w:styleId="40">
    <w:name w:val="正文文本 + Gungsuh"/>
    <w:basedOn w:val="28"/>
    <w:unhideWhenUsed/>
    <w:qFormat/>
    <w:uiPriority w:val="99"/>
    <w:rPr>
      <w:rFonts w:hint="eastAsia" w:ascii="Gungsuh" w:hAnsi="Gungsuh" w:eastAsia="Gungsuh"/>
      <w:spacing w:val="0"/>
      <w:sz w:val="25"/>
      <w:shd w:val="clear" w:color="auto" w:fill="FFFFFF"/>
    </w:rPr>
  </w:style>
  <w:style w:type="character" w:customStyle="1" w:styleId="41">
    <w:name w:val="标题 3 Char"/>
    <w:basedOn w:val="9"/>
    <w:link w:val="3"/>
    <w:qFormat/>
    <w:uiPriority w:val="0"/>
    <w:rPr>
      <w:rFonts w:ascii="Times New Roman" w:hAnsi="Times New Roman" w:eastAsia="宋体"/>
      <w:b/>
      <w:bCs/>
      <w:kern w:val="2"/>
      <w:sz w:val="32"/>
      <w:szCs w:val="32"/>
    </w:rPr>
  </w:style>
  <w:style w:type="paragraph" w:customStyle="1" w:styleId="42">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210"/>
    <customShpInfo spid="_x0000_s22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343</Words>
  <Characters>1956</Characters>
  <Lines>16</Lines>
  <Paragraphs>4</Paragraphs>
  <TotalTime>0</TotalTime>
  <ScaleCrop>false</ScaleCrop>
  <LinksUpToDate>false</LinksUpToDate>
  <CharactersWithSpaces>2295</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2018-12-04T01:56:00Z</dcterms:created>
  <dc:creator>Admin</dc:creator>
  <cp:lastModifiedBy>Administrator</cp:lastModifiedBy>
  <cp:lastPrinted>2018-12-03T09:12:00Z</cp:lastPrinted>
  <dcterms:modified xsi:type="dcterms:W3CDTF">2023-08-24T03:13:11Z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B766FD4DA2094596B3F660A0676EB27E</vt:lpwstr>
  </property>
</Properties>
</file>