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eastAsia="zh-CN"/>
        </w:rPr>
        <w:t>永福县</w:t>
      </w:r>
      <w:r>
        <w:rPr>
          <w:rFonts w:hint="eastAsia" w:ascii="方正小标宋_GBK" w:hAnsi="方正小标宋_GBK" w:eastAsia="方正小标宋_GBK" w:cs="方正小标宋_GBK"/>
          <w:snapToGrid w:val="0"/>
          <w:kern w:val="21"/>
          <w:sz w:val="36"/>
          <w:szCs w:val="36"/>
        </w:rPr>
        <w:t>水利系统政府信息主动公开事项目录</w:t>
      </w:r>
    </w:p>
    <w:tbl>
      <w:tblPr>
        <w:tblStyle w:val="4"/>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34"/>
        <w:gridCol w:w="1653"/>
        <w:gridCol w:w="887"/>
        <w:gridCol w:w="1814"/>
        <w:gridCol w:w="1204"/>
        <w:gridCol w:w="2258"/>
        <w:gridCol w:w="1563"/>
        <w:gridCol w:w="980"/>
        <w:gridCol w:w="951"/>
        <w:gridCol w:w="1314"/>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blHeader/>
        </w:trPr>
        <w:tc>
          <w:tcPr>
            <w:tcW w:w="434"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653"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887"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814"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04"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258"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563"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980"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951"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314"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未依法公开承担责任单位</w:t>
            </w:r>
          </w:p>
        </w:tc>
        <w:tc>
          <w:tcPr>
            <w:tcW w:w="1568" w:type="dxa"/>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highlight w:val="none"/>
              </w:rPr>
            </w:pPr>
          </w:p>
        </w:tc>
        <w:tc>
          <w:tcPr>
            <w:tcW w:w="1653"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rPr>
              <w:t>水利领域</w:t>
            </w:r>
            <w:r>
              <w:rPr>
                <w:rFonts w:eastAsia="方正仿宋_GBK"/>
                <w:snapToGrid w:val="0"/>
                <w:kern w:val="21"/>
                <w:sz w:val="18"/>
                <w:szCs w:val="18"/>
                <w:highlight w:val="none"/>
              </w:rPr>
              <w:t>规范性文件</w:t>
            </w:r>
          </w:p>
        </w:tc>
        <w:tc>
          <w:tcPr>
            <w:tcW w:w="887"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行政规范性文件</w:t>
            </w:r>
          </w:p>
        </w:tc>
        <w:tc>
          <w:tcPr>
            <w:tcW w:w="1814" w:type="dxa"/>
            <w:vAlign w:val="center"/>
          </w:tcPr>
          <w:p>
            <w:pPr>
              <w:adjustRightInd w:val="0"/>
              <w:snapToGrid w:val="0"/>
              <w:spacing w:line="240" w:lineRule="exact"/>
              <w:rPr>
                <w:rFonts w:hint="eastAsia" w:eastAsia="方正仿宋_GBK"/>
                <w:snapToGrid w:val="0"/>
                <w:kern w:val="21"/>
                <w:sz w:val="18"/>
                <w:szCs w:val="18"/>
                <w:highlight w:val="none"/>
              </w:rPr>
            </w:pPr>
            <w:r>
              <w:rPr>
                <w:rFonts w:hint="eastAsia" w:eastAsia="方正仿宋_GBK"/>
                <w:snapToGrid w:val="0"/>
                <w:kern w:val="21"/>
                <w:sz w:val="18"/>
                <w:szCs w:val="18"/>
                <w:highlight w:val="none"/>
              </w:rPr>
              <w:t>水利领域规范性文件及相关配套文件</w:t>
            </w:r>
          </w:p>
        </w:tc>
        <w:tc>
          <w:tcPr>
            <w:tcW w:w="1204" w:type="dxa"/>
            <w:vAlign w:val="center"/>
          </w:tcPr>
          <w:p>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长期</w:t>
            </w:r>
          </w:p>
        </w:tc>
        <w:tc>
          <w:tcPr>
            <w:tcW w:w="951" w:type="dxa"/>
            <w:vAlign w:val="center"/>
          </w:tcPr>
          <w:p>
            <w:pPr>
              <w:adjustRightInd w:val="0"/>
              <w:snapToGrid w:val="0"/>
              <w:spacing w:line="240" w:lineRule="exact"/>
              <w:rPr>
                <w:rFonts w:eastAsia="方正仿宋_GBK"/>
                <w:snapToGrid w:val="0"/>
                <w:kern w:val="21"/>
                <w:sz w:val="18"/>
                <w:szCs w:val="18"/>
                <w:highlight w:val="none"/>
              </w:rPr>
            </w:pPr>
            <w:r>
              <w:rPr>
                <w:rFonts w:hint="eastAsia" w:eastAsia="方正仿宋_GBK"/>
                <w:snapToGrid w:val="0"/>
                <w:kern w:val="21"/>
                <w:sz w:val="18"/>
                <w:szCs w:val="18"/>
                <w:highlight w:val="none"/>
                <w:lang w:eastAsia="zh-CN"/>
              </w:rPr>
              <w:t>永福县人民政府门户网站、政务新媒体</w:t>
            </w:r>
          </w:p>
        </w:tc>
        <w:tc>
          <w:tcPr>
            <w:tcW w:w="1314" w:type="dxa"/>
            <w:vAlign w:val="center"/>
          </w:tcPr>
          <w:p>
            <w:pPr>
              <w:adjustRightInd w:val="0"/>
              <w:snapToGrid w:val="0"/>
              <w:spacing w:line="240" w:lineRule="exact"/>
              <w:rPr>
                <w:rFonts w:hint="eastAsia" w:eastAsia="方正仿宋_GBK"/>
                <w:snapToGrid w:val="0"/>
                <w:kern w:val="21"/>
                <w:sz w:val="18"/>
                <w:szCs w:val="18"/>
                <w:highlight w:val="none"/>
                <w:lang w:eastAsia="zh-CN"/>
              </w:rPr>
            </w:pPr>
            <w:r>
              <w:rPr>
                <w:rFonts w:hint="eastAsia" w:eastAsia="方正仿宋_GBK"/>
                <w:snapToGrid w:val="0"/>
                <w:kern w:val="21"/>
                <w:sz w:val="18"/>
                <w:szCs w:val="18"/>
                <w:highlight w:val="none"/>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887"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机构概况</w:t>
            </w:r>
          </w:p>
        </w:tc>
        <w:tc>
          <w:tcPr>
            <w:tcW w:w="1814"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20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信息形成或者变更之日起20个工作日内</w:t>
            </w:r>
          </w:p>
        </w:tc>
        <w:tc>
          <w:tcPr>
            <w:tcW w:w="980"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24"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水资源公报</w:t>
            </w:r>
          </w:p>
        </w:tc>
        <w:tc>
          <w:tcPr>
            <w:tcW w:w="887" w:type="dxa"/>
            <w:vMerge w:val="restart"/>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统计信息</w:t>
            </w:r>
          </w:p>
        </w:tc>
        <w:tc>
          <w:tcPr>
            <w:tcW w:w="1814"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水资源量、水资源开发利用、用水指标等信息</w:t>
            </w:r>
          </w:p>
        </w:tc>
        <w:tc>
          <w:tcPr>
            <w:tcW w:w="120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24"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水利统计公报</w:t>
            </w:r>
          </w:p>
        </w:tc>
        <w:tc>
          <w:tcPr>
            <w:tcW w:w="887" w:type="dxa"/>
            <w:vMerge w:val="continue"/>
            <w:vAlign w:val="center"/>
          </w:tcPr>
          <w:p>
            <w:pPr>
              <w:adjustRightInd w:val="0"/>
              <w:snapToGrid w:val="0"/>
              <w:spacing w:line="224" w:lineRule="exact"/>
              <w:rPr>
                <w:rFonts w:eastAsia="方正仿宋_GBK"/>
                <w:snapToGrid w:val="0"/>
                <w:kern w:val="21"/>
                <w:sz w:val="18"/>
                <w:szCs w:val="18"/>
              </w:rPr>
            </w:pPr>
          </w:p>
        </w:tc>
        <w:tc>
          <w:tcPr>
            <w:tcW w:w="1814"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水利行业统计信息，根据内容，对经济社会主要指标进行摘录</w:t>
            </w:r>
          </w:p>
        </w:tc>
        <w:tc>
          <w:tcPr>
            <w:tcW w:w="120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政策文件有效期范围内</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24"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水利领域政务服务事项信息</w:t>
            </w:r>
          </w:p>
        </w:tc>
        <w:tc>
          <w:tcPr>
            <w:tcW w:w="887"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政务服务</w:t>
            </w:r>
          </w:p>
        </w:tc>
        <w:tc>
          <w:tcPr>
            <w:tcW w:w="1814"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水利领域办理行政许可和其他对外管理服务事项目录，行使事项的依据、条件、程序以及办理结果</w:t>
            </w:r>
          </w:p>
        </w:tc>
        <w:tc>
          <w:tcPr>
            <w:tcW w:w="120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eastAsia="方正仿宋_GBK"/>
                <w:snapToGrid w:val="0"/>
                <w:kern w:val="21"/>
                <w:sz w:val="18"/>
                <w:szCs w:val="18"/>
              </w:rPr>
              <w:t>广西数字政务一体化平台、</w:t>
            </w: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24"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水利领域行政处罚、行政强制信息</w:t>
            </w:r>
          </w:p>
        </w:tc>
        <w:tc>
          <w:tcPr>
            <w:tcW w:w="887"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行政处罚、行政强制等</w:t>
            </w:r>
          </w:p>
        </w:tc>
        <w:tc>
          <w:tcPr>
            <w:tcW w:w="1814"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水利领域行政处罚事项目录，实施行政处罚的依据、条件、程序以及相关行政处罚决定</w:t>
            </w:r>
          </w:p>
        </w:tc>
        <w:tc>
          <w:tcPr>
            <w:tcW w:w="120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24"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部门预算、决算</w:t>
            </w:r>
          </w:p>
        </w:tc>
        <w:tc>
          <w:tcPr>
            <w:tcW w:w="887" w:type="dxa"/>
            <w:vMerge w:val="restart"/>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财政预算、决算信息</w:t>
            </w:r>
          </w:p>
        </w:tc>
        <w:tc>
          <w:tcPr>
            <w:tcW w:w="1814"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04"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2258"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980" w:type="dxa"/>
            <w:vAlign w:val="center"/>
          </w:tcPr>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1568" w:type="dxa"/>
            <w:vAlign w:val="center"/>
          </w:tcPr>
          <w:p>
            <w:pPr>
              <w:adjustRightInd w:val="0"/>
              <w:snapToGrid w:val="0"/>
              <w:spacing w:line="224"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887" w:type="dxa"/>
            <w:vMerge w:val="continue"/>
            <w:vAlign w:val="center"/>
          </w:tcPr>
          <w:p>
            <w:pPr>
              <w:adjustRightInd w:val="0"/>
              <w:snapToGrid w:val="0"/>
              <w:spacing w:line="224" w:lineRule="exact"/>
              <w:rPr>
                <w:rFonts w:eastAsia="方正仿宋_GBK"/>
                <w:snapToGrid w:val="0"/>
                <w:kern w:val="21"/>
                <w:sz w:val="18"/>
                <w:szCs w:val="18"/>
              </w:rPr>
            </w:pPr>
          </w:p>
        </w:tc>
        <w:tc>
          <w:tcPr>
            <w:tcW w:w="1814"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04"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2258"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24"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563"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980" w:type="dxa"/>
            <w:vAlign w:val="center"/>
          </w:tcPr>
          <w:p>
            <w:pPr>
              <w:adjustRightInd w:val="0"/>
              <w:snapToGrid w:val="0"/>
              <w:spacing w:line="224"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24"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24"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1568" w:type="dxa"/>
            <w:vAlign w:val="center"/>
          </w:tcPr>
          <w:p>
            <w:pPr>
              <w:adjustRightInd w:val="0"/>
              <w:snapToGrid w:val="0"/>
              <w:spacing w:line="224"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水规费征收操作规范</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行政事业性收费</w:t>
            </w: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水规费征收操作规范</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涉企收费目录清单</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涉企收费目录清单</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水行政事业性收费及政府性基金一览表</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水行政事业性收费及政府性基金一览表</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0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2258" w:type="dxa"/>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0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2258" w:type="dxa"/>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80" w:type="dxa"/>
            <w:vAlign w:val="center"/>
          </w:tcPr>
          <w:p>
            <w:pPr>
              <w:widowControl/>
              <w:spacing w:line="22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2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1568" w:type="dxa"/>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594"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887"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0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2258" w:type="dxa"/>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spacing w:line="240" w:lineRule="exact"/>
              <w:rPr>
                <w:rFonts w:hint="eastAsia"/>
              </w:rPr>
            </w:pPr>
            <w:r>
              <w:rPr>
                <w:rFonts w:hint="eastAsia" w:eastAsia="方正仿宋_GBK"/>
                <w:snapToGrid w:val="0"/>
                <w:kern w:val="21"/>
                <w:sz w:val="18"/>
                <w:szCs w:val="18"/>
              </w:rPr>
              <w:t>3.《广西壮族自治区财政厅关于贯彻落实政府采购支持中小企业发展政策的通知》（桂财采〔2022〕31号）</w:t>
            </w:r>
          </w:p>
        </w:tc>
        <w:tc>
          <w:tcPr>
            <w:tcW w:w="1563"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永福县水利局</w:t>
            </w:r>
            <w:r>
              <w:rPr>
                <w:rFonts w:eastAsia="方正仿宋_GBK"/>
                <w:snapToGrid w:val="0"/>
                <w:kern w:val="21"/>
                <w:sz w:val="18"/>
                <w:szCs w:val="18"/>
              </w:rPr>
              <w:t>及其二级预算单位</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693"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水利</w:t>
            </w:r>
            <w:r>
              <w:rPr>
                <w:rFonts w:hint="eastAsia" w:eastAsia="方正仿宋_GBK"/>
                <w:snapToGrid w:val="0"/>
                <w:kern w:val="21"/>
                <w:sz w:val="18"/>
                <w:szCs w:val="18"/>
              </w:rPr>
              <w:t>领域</w:t>
            </w:r>
            <w:r>
              <w:rPr>
                <w:rFonts w:eastAsia="方正仿宋_GBK"/>
                <w:snapToGrid w:val="0"/>
                <w:kern w:val="21"/>
                <w:sz w:val="18"/>
                <w:szCs w:val="18"/>
              </w:rPr>
              <w:t>重大建设项目的批准和实施情况</w:t>
            </w:r>
          </w:p>
        </w:tc>
        <w:tc>
          <w:tcPr>
            <w:tcW w:w="887"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重大建设项目</w:t>
            </w: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水利</w:t>
            </w:r>
            <w:r>
              <w:rPr>
                <w:rFonts w:hint="eastAsia" w:eastAsia="方正仿宋_GBK"/>
                <w:snapToGrid w:val="0"/>
                <w:kern w:val="21"/>
                <w:sz w:val="18"/>
                <w:szCs w:val="18"/>
              </w:rPr>
              <w:t>领域重大建设</w:t>
            </w:r>
            <w:r>
              <w:rPr>
                <w:rFonts w:eastAsia="方正仿宋_GBK"/>
                <w:snapToGrid w:val="0"/>
                <w:kern w:val="21"/>
                <w:sz w:val="18"/>
                <w:szCs w:val="18"/>
              </w:rPr>
              <w:t>项目名称、批准服务信息、批准结果信息、竣工有关信息等</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70"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洪水防御应急响应预案</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突发公共事件</w:t>
            </w:r>
          </w:p>
        </w:tc>
        <w:tc>
          <w:tcPr>
            <w:tcW w:w="181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辖区</w:t>
            </w:r>
            <w:r>
              <w:rPr>
                <w:rFonts w:eastAsia="方正仿宋_GBK"/>
                <w:snapToGrid w:val="0"/>
                <w:kern w:val="21"/>
                <w:sz w:val="18"/>
                <w:szCs w:val="18"/>
              </w:rPr>
              <w:t>范围内洪水及其次生灾害的预防和应急处置</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74"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山洪预警信息及应对情况</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辖区</w:t>
            </w:r>
            <w:r>
              <w:rPr>
                <w:rFonts w:eastAsia="方正仿宋_GBK"/>
                <w:snapToGrid w:val="0"/>
                <w:kern w:val="21"/>
                <w:sz w:val="18"/>
                <w:szCs w:val="18"/>
              </w:rPr>
              <w:t>范围内山洪灾害风险警报</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水利领域涉企行政检查信息</w:t>
            </w:r>
          </w:p>
        </w:tc>
        <w:tc>
          <w:tcPr>
            <w:tcW w:w="887"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监督检查</w:t>
            </w: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水利领域涉企行政检查事项清单</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《国务院办公厅关于严格规范涉企行政检查的意见》（国办发〔2024〕54号）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204" w:type="dxa"/>
            <w:vMerge w:val="restart"/>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2.《公务员录用规定》</w:t>
            </w:r>
          </w:p>
        </w:tc>
        <w:tc>
          <w:tcPr>
            <w:tcW w:w="156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980"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951" w:type="dxa"/>
            <w:vMerge w:val="restart"/>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公务员公开遴选相关信息</w:t>
            </w:r>
          </w:p>
        </w:tc>
        <w:tc>
          <w:tcPr>
            <w:tcW w:w="1204" w:type="dxa"/>
            <w:vMerge w:val="continue"/>
            <w:vAlign w:val="center"/>
          </w:tcPr>
          <w:p>
            <w:pPr>
              <w:adjustRightInd w:val="0"/>
              <w:snapToGrid w:val="0"/>
              <w:spacing w:line="240" w:lineRule="exact"/>
              <w:rPr>
                <w:rFonts w:eastAsia="方正仿宋_GBK"/>
                <w:snapToGrid w:val="0"/>
                <w:kern w:val="21"/>
                <w:sz w:val="18"/>
                <w:szCs w:val="18"/>
              </w:rPr>
            </w:pP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2.《公务员公开遴选办法》</w:t>
            </w:r>
          </w:p>
        </w:tc>
        <w:tc>
          <w:tcPr>
            <w:tcW w:w="156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951" w:type="dxa"/>
            <w:vMerge w:val="continue"/>
            <w:vAlign w:val="center"/>
          </w:tcPr>
          <w:p>
            <w:pPr>
              <w:adjustRightInd w:val="0"/>
              <w:snapToGrid w:val="0"/>
              <w:spacing w:line="240" w:lineRule="exact"/>
              <w:rPr>
                <w:rFonts w:eastAsia="方正仿宋_GBK"/>
                <w:snapToGrid w:val="0"/>
                <w:kern w:val="21"/>
                <w:sz w:val="18"/>
                <w:szCs w:val="18"/>
              </w:rPr>
            </w:pP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204" w:type="dxa"/>
            <w:vMerge w:val="continue"/>
            <w:vAlign w:val="center"/>
          </w:tcPr>
          <w:p>
            <w:pPr>
              <w:adjustRightInd w:val="0"/>
              <w:snapToGrid w:val="0"/>
              <w:spacing w:line="240" w:lineRule="exact"/>
              <w:rPr>
                <w:rFonts w:eastAsia="方正仿宋_GBK"/>
                <w:snapToGrid w:val="0"/>
                <w:kern w:val="21"/>
                <w:sz w:val="18"/>
                <w:szCs w:val="18"/>
              </w:rPr>
            </w:pPr>
          </w:p>
        </w:tc>
        <w:tc>
          <w:tcPr>
            <w:tcW w:w="2258" w:type="dxa"/>
            <w:vMerge w:val="restart"/>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980" w:type="dxa"/>
            <w:vAlign w:val="center"/>
          </w:tcPr>
          <w:p>
            <w:pPr>
              <w:adjustRightInd w:val="0"/>
              <w:snapToGrid w:val="0"/>
              <w:spacing w:line="24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951" w:type="dxa"/>
            <w:vMerge w:val="continue"/>
            <w:vAlign w:val="center"/>
          </w:tcPr>
          <w:p>
            <w:pPr>
              <w:adjustRightInd w:val="0"/>
              <w:snapToGrid w:val="0"/>
              <w:spacing w:line="240" w:lineRule="exact"/>
              <w:rPr>
                <w:rFonts w:eastAsia="方正仿宋_GBK"/>
                <w:snapToGrid w:val="0"/>
                <w:kern w:val="21"/>
                <w:sz w:val="18"/>
                <w:szCs w:val="18"/>
              </w:rPr>
            </w:pPr>
          </w:p>
        </w:tc>
        <w:tc>
          <w:tcPr>
            <w:tcW w:w="1314" w:type="dxa"/>
            <w:vMerge w:val="restart"/>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Merge w:val="continue"/>
            <w:vAlign w:val="center"/>
          </w:tcPr>
          <w:p>
            <w:pPr>
              <w:adjustRightInd w:val="0"/>
              <w:snapToGrid w:val="0"/>
              <w:spacing w:line="240" w:lineRule="exact"/>
              <w:rPr>
                <w:rFonts w:eastAsia="方正仿宋_GBK"/>
                <w:snapToGrid w:val="0"/>
                <w:kern w:val="21"/>
                <w:sz w:val="18"/>
                <w:szCs w:val="18"/>
              </w:rPr>
            </w:pP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204" w:type="dxa"/>
            <w:vMerge w:val="continue"/>
            <w:vAlign w:val="center"/>
          </w:tcPr>
          <w:p>
            <w:pPr>
              <w:adjustRightInd w:val="0"/>
              <w:snapToGrid w:val="0"/>
              <w:spacing w:line="240" w:lineRule="exact"/>
              <w:rPr>
                <w:rFonts w:eastAsia="方正仿宋_GBK"/>
                <w:snapToGrid w:val="0"/>
                <w:kern w:val="21"/>
                <w:sz w:val="18"/>
                <w:szCs w:val="18"/>
              </w:rPr>
            </w:pPr>
          </w:p>
        </w:tc>
        <w:tc>
          <w:tcPr>
            <w:tcW w:w="2258" w:type="dxa"/>
            <w:vMerge w:val="continue"/>
            <w:vAlign w:val="center"/>
          </w:tcPr>
          <w:p>
            <w:pPr>
              <w:adjustRightInd w:val="0"/>
              <w:snapToGrid w:val="0"/>
              <w:spacing w:line="240" w:lineRule="exact"/>
              <w:rPr>
                <w:rFonts w:eastAsia="方正仿宋_GBK"/>
                <w:snapToGrid w:val="0"/>
                <w:kern w:val="21"/>
                <w:sz w:val="18"/>
                <w:szCs w:val="18"/>
              </w:rPr>
            </w:pP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951" w:type="dxa"/>
            <w:vMerge w:val="continue"/>
            <w:vAlign w:val="center"/>
          </w:tcPr>
          <w:p>
            <w:pPr>
              <w:adjustRightInd w:val="0"/>
              <w:snapToGrid w:val="0"/>
              <w:spacing w:line="240" w:lineRule="exact"/>
              <w:rPr>
                <w:rFonts w:eastAsia="方正仿宋_GBK"/>
                <w:snapToGrid w:val="0"/>
                <w:kern w:val="21"/>
                <w:sz w:val="18"/>
                <w:szCs w:val="18"/>
              </w:rPr>
            </w:pPr>
          </w:p>
        </w:tc>
        <w:tc>
          <w:tcPr>
            <w:tcW w:w="1314" w:type="dxa"/>
            <w:vMerge w:val="continue"/>
            <w:vAlign w:val="center"/>
          </w:tcPr>
          <w:p>
            <w:pPr>
              <w:adjustRightInd w:val="0"/>
              <w:snapToGrid w:val="0"/>
              <w:spacing w:line="240" w:lineRule="exact"/>
              <w:rPr>
                <w:rFonts w:eastAsia="方正仿宋_GBK"/>
                <w:snapToGrid w:val="0"/>
                <w:kern w:val="21"/>
                <w:sz w:val="18"/>
                <w:szCs w:val="18"/>
              </w:rPr>
            </w:pP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二级造价工程师（水利工程）职业资格考试</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二级造价工程师（水利工程）职业资格考试考务信息、结果公示等</w:t>
            </w:r>
          </w:p>
        </w:tc>
        <w:tc>
          <w:tcPr>
            <w:tcW w:w="1204" w:type="dxa"/>
            <w:vMerge w:val="continue"/>
            <w:vAlign w:val="center"/>
          </w:tcPr>
          <w:p>
            <w:pPr>
              <w:adjustRightInd w:val="0"/>
              <w:snapToGrid w:val="0"/>
              <w:spacing w:line="240" w:lineRule="exact"/>
              <w:rPr>
                <w:rFonts w:eastAsia="方正仿宋_GBK"/>
                <w:snapToGrid w:val="0"/>
                <w:kern w:val="21"/>
                <w:sz w:val="18"/>
                <w:szCs w:val="18"/>
              </w:rPr>
            </w:pP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按照规定期限公开</w:t>
            </w:r>
          </w:p>
        </w:tc>
        <w:tc>
          <w:tcPr>
            <w:tcW w:w="951"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河道采砂禁采区和禁采期（临时禁采期）</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其他重点领域信息</w:t>
            </w: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禁采区和禁采期；在可采区、可采期内，因防洪、河势改变、水工程建设、水生态环境遭受严重改变以及有重大水上活动等情形不宜采砂的，划定临时禁采区或者规定临时禁采期</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《广西壮族自治区河道采砂管理条例》（十二届第64号）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水利投资计划</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公开上级主管部门、财政部门及本级制定的投资水利基础设施建设投资计划</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《自治区水利厅政府信息公开指南》</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水利发展资金管理办法</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水利发展资金管理办法内容（涉密内容除外）</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《广西壮族自治区人民政府关于印发广西壮族自治区本级财政专项资金管理办法》（桂政发〔2014〕60号）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887"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永福县水利局</w:t>
            </w:r>
            <w:r>
              <w:rPr>
                <w:rFonts w:hint="eastAsia" w:eastAsia="方正仿宋_GBK"/>
                <w:snapToGrid w:val="0"/>
                <w:kern w:val="21"/>
                <w:sz w:val="18"/>
                <w:szCs w:val="18"/>
              </w:rPr>
              <w:t>答复的人大代表建议、应当公开答复内容</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Merge w:val="restart"/>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永福县水利局</w:t>
            </w:r>
            <w:r>
              <w:rPr>
                <w:rFonts w:hint="eastAsia" w:eastAsia="方正仿宋_GBK"/>
                <w:snapToGrid w:val="0"/>
                <w:kern w:val="21"/>
                <w:sz w:val="18"/>
                <w:szCs w:val="18"/>
              </w:rPr>
              <w:t>答复的政协委员提案、应当公开答复内容</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Merge w:val="continue"/>
            <w:vAlign w:val="center"/>
          </w:tcPr>
          <w:p>
            <w:pPr>
              <w:adjustRightInd w:val="0"/>
              <w:snapToGrid w:val="0"/>
              <w:spacing w:line="240" w:lineRule="exact"/>
              <w:rPr>
                <w:rFonts w:hint="eastAsia" w:eastAsia="方正仿宋_GBK"/>
                <w:snapToGrid w:val="0"/>
                <w:kern w:val="21"/>
                <w:sz w:val="18"/>
                <w:szCs w:val="18"/>
              </w:rPr>
            </w:pPr>
          </w:p>
        </w:tc>
        <w:tc>
          <w:tcPr>
            <w:tcW w:w="156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887" w:type="dxa"/>
            <w:vMerge w:val="restart"/>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814"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34" w:type="dxa"/>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653"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887" w:type="dxa"/>
            <w:vMerge w:val="continue"/>
            <w:vAlign w:val="center"/>
          </w:tcPr>
          <w:p>
            <w:pPr>
              <w:adjustRightInd w:val="0"/>
              <w:snapToGrid w:val="0"/>
              <w:spacing w:line="240" w:lineRule="exact"/>
              <w:rPr>
                <w:rFonts w:eastAsia="方正仿宋_GBK"/>
                <w:snapToGrid w:val="0"/>
                <w:kern w:val="21"/>
                <w:sz w:val="18"/>
                <w:szCs w:val="18"/>
              </w:rPr>
            </w:pPr>
          </w:p>
        </w:tc>
        <w:tc>
          <w:tcPr>
            <w:tcW w:w="1814" w:type="dxa"/>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20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2258" w:type="dxa"/>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563" w:type="dxa"/>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980" w:type="dxa"/>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51"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314" w:type="dxa"/>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永福县水利局</w:t>
            </w:r>
          </w:p>
        </w:tc>
        <w:tc>
          <w:tcPr>
            <w:tcW w:w="1568" w:type="dxa"/>
            <w:vAlign w:val="center"/>
          </w:tcPr>
          <w:p>
            <w:pPr>
              <w:adjustRightInd w:val="0"/>
              <w:snapToGrid w:val="0"/>
              <w:spacing w:line="240" w:lineRule="exact"/>
              <w:rPr>
                <w:rFonts w:hint="eastAsia" w:eastAsia="方正仿宋_GBK"/>
                <w:snapToGrid w:val="0"/>
                <w:kern w:val="21"/>
                <w:sz w:val="18"/>
                <w:szCs w:val="18"/>
                <w:lang w:eastAsia="zh-CN"/>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0047F"/>
    <w:rsid w:val="6810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5"/>
    <w:basedOn w:val="1"/>
    <w:next w:val="1"/>
    <w:unhideWhenUsed/>
    <w:qFormat/>
    <w:uiPriority w:val="0"/>
    <w:pPr>
      <w:keepNext/>
      <w:keepLines/>
      <w:spacing w:before="280" w:after="290" w:line="374" w:lineRule="auto"/>
      <w:outlineLvl w:val="4"/>
    </w:pPr>
    <w:rPr>
      <w:b/>
      <w:bCs/>
      <w:sz w:val="28"/>
      <w:szCs w:val="28"/>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2025-11-24T03:38:00Z</dcterms:created>
  <dc:creator>lenovo</dc:creator>
  <cp:lastModifiedBy>lenovo</cp:lastModifiedBy>
  <dcterms:modified xsi:type="dcterms:W3CDTF">2025-11-24T03:40:32Z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