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eastAsia="zh-CN"/>
        </w:rPr>
        <w:t>永福县</w:t>
      </w:r>
      <w:r>
        <w:rPr>
          <w:rFonts w:hint="eastAsia" w:ascii="方正小标宋_GBK" w:hAnsi="方正小标宋_GBK" w:eastAsia="方正小标宋_GBK" w:cs="方正小标宋_GBK"/>
          <w:snapToGrid w:val="0"/>
          <w:kern w:val="21"/>
          <w:sz w:val="36"/>
          <w:szCs w:val="36"/>
        </w:rPr>
        <w:t>司法行政系统政府信息主动公开事项目录</w:t>
      </w:r>
    </w:p>
    <w:tbl>
      <w:tblPr>
        <w:tblStyle w:val="4"/>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3"/>
        <w:gridCol w:w="1170"/>
        <w:gridCol w:w="916"/>
        <w:gridCol w:w="1901"/>
        <w:gridCol w:w="1299"/>
        <w:gridCol w:w="2852"/>
        <w:gridCol w:w="1468"/>
        <w:gridCol w:w="781"/>
        <w:gridCol w:w="1065"/>
        <w:gridCol w:w="157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trPr>
        <w:tc>
          <w:tcPr>
            <w:tcW w:w="453"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170"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16"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901"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99"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852"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468"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781"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65"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577"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未依法公开承担责任单位</w:t>
            </w:r>
          </w:p>
        </w:tc>
        <w:tc>
          <w:tcPr>
            <w:tcW w:w="1144"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司法行政领域</w:t>
            </w:r>
            <w:r>
              <w:rPr>
                <w:rFonts w:eastAsia="方正仿宋_GBK"/>
                <w:snapToGrid w:val="0"/>
                <w:kern w:val="21"/>
                <w:sz w:val="18"/>
                <w:szCs w:val="18"/>
              </w:rPr>
              <w:t>规范性文件</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司法行政领域规范性文件及相关配套文件</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r>
              <w:rPr>
                <w:rFonts w:eastAsia="方正仿宋_GBK"/>
                <w:snapToGrid w:val="0"/>
                <w:kern w:val="21"/>
                <w:sz w:val="18"/>
                <w:szCs w:val="18"/>
              </w:rPr>
              <w:t>、政务新媒体</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司法行政发展规划</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规划计划</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司法行政行业各类批准实施的规划</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highlight w:val="none"/>
              </w:rPr>
            </w:pPr>
          </w:p>
        </w:tc>
        <w:tc>
          <w:tcPr>
            <w:tcW w:w="1170"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公共法律服务体系建设五年规划</w:t>
            </w:r>
          </w:p>
        </w:tc>
        <w:tc>
          <w:tcPr>
            <w:tcW w:w="916" w:type="dxa"/>
            <w:vMerge w:val="continue"/>
            <w:vAlign w:val="center"/>
          </w:tcPr>
          <w:p>
            <w:pPr>
              <w:adjustRightInd w:val="0"/>
              <w:snapToGrid w:val="0"/>
              <w:spacing w:line="240" w:lineRule="exact"/>
              <w:rPr>
                <w:rFonts w:eastAsia="方正仿宋_GBK"/>
                <w:snapToGrid w:val="0"/>
                <w:kern w:val="21"/>
                <w:sz w:val="18"/>
                <w:szCs w:val="18"/>
                <w:highlight w:val="none"/>
              </w:rPr>
            </w:pPr>
          </w:p>
        </w:tc>
        <w:tc>
          <w:tcPr>
            <w:tcW w:w="1901"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公共法律服务体系建设五年规划文件</w:t>
            </w:r>
          </w:p>
        </w:tc>
        <w:tc>
          <w:tcPr>
            <w:tcW w:w="1299"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长期</w:t>
            </w:r>
          </w:p>
        </w:tc>
        <w:tc>
          <w:tcPr>
            <w:tcW w:w="1065" w:type="dxa"/>
            <w:vAlign w:val="center"/>
          </w:tcPr>
          <w:p>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highlight w:val="none"/>
              </w:rPr>
            </w:pPr>
          </w:p>
        </w:tc>
        <w:tc>
          <w:tcPr>
            <w:tcW w:w="1170"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普法宣传五年规划</w:t>
            </w:r>
          </w:p>
        </w:tc>
        <w:tc>
          <w:tcPr>
            <w:tcW w:w="916" w:type="dxa"/>
            <w:vMerge w:val="continue"/>
            <w:vAlign w:val="center"/>
          </w:tcPr>
          <w:p>
            <w:pPr>
              <w:adjustRightInd w:val="0"/>
              <w:snapToGrid w:val="0"/>
              <w:spacing w:line="240" w:lineRule="exact"/>
              <w:rPr>
                <w:rFonts w:eastAsia="方正仿宋_GBK"/>
                <w:snapToGrid w:val="0"/>
                <w:kern w:val="21"/>
                <w:sz w:val="18"/>
                <w:szCs w:val="18"/>
                <w:highlight w:val="none"/>
              </w:rPr>
            </w:pPr>
          </w:p>
        </w:tc>
        <w:tc>
          <w:tcPr>
            <w:tcW w:w="1901"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普法宣传五年规划文件</w:t>
            </w:r>
          </w:p>
        </w:tc>
        <w:tc>
          <w:tcPr>
            <w:tcW w:w="1299"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长期</w:t>
            </w:r>
          </w:p>
        </w:tc>
        <w:tc>
          <w:tcPr>
            <w:tcW w:w="1065" w:type="dxa"/>
            <w:vAlign w:val="center"/>
          </w:tcPr>
          <w:p>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统计信息</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统计信息</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年度业务工作情况</w:t>
            </w:r>
            <w:r>
              <w:rPr>
                <w:rFonts w:hint="eastAsia" w:eastAsia="方正仿宋_GBK"/>
                <w:snapToGrid w:val="0"/>
                <w:kern w:val="21"/>
                <w:sz w:val="18"/>
                <w:szCs w:val="18"/>
              </w:rPr>
              <w:t>统计信息</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《中华人民共和国统计法》</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公共法律服务</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统计信息</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提供公共法律服务相关内容</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《中华人民共和国统计法》</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法律援助</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提供法律援助相关内容</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《中华人民共和国统计法》</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3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政务服务事项信息</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司法行政领域办理行政许可和其他对外管理服务事项目录，行使事项的依据、条件、程序以及办理结果</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eastAsia="方正仿宋_GBK"/>
                <w:snapToGrid w:val="0"/>
                <w:kern w:val="21"/>
                <w:sz w:val="18"/>
                <w:szCs w:val="18"/>
              </w:rPr>
              <w:t>广西数字政务一体化平台、</w:t>
            </w: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司法行政领域行政处罚信息</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行政处罚、行政强制等</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司法行政领域行政处罚事项目录，实施行政处罚的依据、条件、程序以及相关行政处罚决定</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99"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78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99"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2852"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的行政事业性收费项目及其依据、标准</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行政事业性收费</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经财政部门和物价部门批准的行政事业性收费项目、收费依据、计费单位、收费标准、管理方式、备注等</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99"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2852" w:type="dxa"/>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99"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2852" w:type="dxa"/>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1" w:type="dxa"/>
            <w:vAlign w:val="center"/>
          </w:tcPr>
          <w:p>
            <w:pPr>
              <w:widowControl/>
              <w:spacing w:line="224"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24"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1144" w:type="dxa"/>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99"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2852" w:type="dxa"/>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468"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永福县司法局</w:t>
            </w:r>
            <w:r>
              <w:rPr>
                <w:rFonts w:eastAsia="方正仿宋_GBK"/>
                <w:snapToGrid w:val="0"/>
                <w:kern w:val="21"/>
                <w:sz w:val="18"/>
                <w:szCs w:val="18"/>
              </w:rPr>
              <w:t>及其二级预算单位</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重大建设项目的批准和实施情况</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重大建设项目</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重大建设项目名称、批准服务信息、批准结果信息、竣工有关信息等</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应急预案</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突发公共事件</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突发公共事件的应急预案</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预警信息及应对情况</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发布的预警信息和事件应对情况</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安全生产监督检查情况</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监督检查</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本地区司法行政</w:t>
            </w:r>
            <w:r>
              <w:rPr>
                <w:rFonts w:hint="eastAsia" w:eastAsia="方正仿宋_GBK"/>
                <w:snapToGrid w:val="0"/>
                <w:kern w:val="21"/>
                <w:sz w:val="18"/>
                <w:szCs w:val="18"/>
              </w:rPr>
              <w:t>领域</w:t>
            </w:r>
            <w:r>
              <w:rPr>
                <w:rFonts w:eastAsia="方正仿宋_GBK"/>
                <w:snapToGrid w:val="0"/>
                <w:kern w:val="21"/>
                <w:sz w:val="18"/>
                <w:szCs w:val="18"/>
              </w:rPr>
              <w:t>安全生产的监督检查情况</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99" w:type="dxa"/>
            <w:vMerge w:val="restart"/>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2.《公务员录用规定》</w:t>
            </w:r>
          </w:p>
        </w:tc>
        <w:tc>
          <w:tcPr>
            <w:tcW w:w="146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78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065" w:type="dxa"/>
            <w:vMerge w:val="restart"/>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Merge w:val="restart"/>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公务员公开遴选相关信息</w:t>
            </w:r>
          </w:p>
        </w:tc>
        <w:tc>
          <w:tcPr>
            <w:tcW w:w="1299" w:type="dxa"/>
            <w:vMerge w:val="continue"/>
            <w:vAlign w:val="center"/>
          </w:tcPr>
          <w:p>
            <w:pPr>
              <w:adjustRightInd w:val="0"/>
              <w:snapToGrid w:val="0"/>
              <w:spacing w:line="240" w:lineRule="exact"/>
              <w:rPr>
                <w:rFonts w:eastAsia="方正仿宋_GBK"/>
                <w:snapToGrid w:val="0"/>
                <w:kern w:val="21"/>
                <w:sz w:val="18"/>
                <w:szCs w:val="18"/>
              </w:rPr>
            </w:pP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《公务员公开遴选办法》</w:t>
            </w:r>
          </w:p>
        </w:tc>
        <w:tc>
          <w:tcPr>
            <w:tcW w:w="146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065" w:type="dxa"/>
            <w:vMerge w:val="continue"/>
            <w:vAlign w:val="center"/>
          </w:tcPr>
          <w:p>
            <w:pPr>
              <w:adjustRightInd w:val="0"/>
              <w:snapToGrid w:val="0"/>
              <w:spacing w:line="240" w:lineRule="exact"/>
              <w:rPr>
                <w:rFonts w:eastAsia="方正仿宋_GBK"/>
                <w:snapToGrid w:val="0"/>
                <w:kern w:val="21"/>
                <w:sz w:val="18"/>
                <w:szCs w:val="18"/>
              </w:rPr>
            </w:pPr>
          </w:p>
        </w:tc>
        <w:tc>
          <w:tcPr>
            <w:tcW w:w="1577" w:type="dxa"/>
            <w:vMerge w:val="continue"/>
            <w:vAlign w:val="center"/>
          </w:tcPr>
          <w:p>
            <w:pPr>
              <w:adjustRightInd w:val="0"/>
              <w:snapToGrid w:val="0"/>
              <w:spacing w:line="240" w:lineRule="exact"/>
              <w:rPr>
                <w:rFonts w:eastAsia="方正仿宋_GBK"/>
                <w:snapToGrid w:val="0"/>
                <w:kern w:val="21"/>
                <w:sz w:val="18"/>
                <w:szCs w:val="18"/>
              </w:rPr>
            </w:pP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299" w:type="dxa"/>
            <w:vMerge w:val="continue"/>
            <w:vAlign w:val="center"/>
          </w:tcPr>
          <w:p>
            <w:pPr>
              <w:adjustRightInd w:val="0"/>
              <w:snapToGrid w:val="0"/>
              <w:spacing w:line="240" w:lineRule="exact"/>
              <w:rPr>
                <w:rFonts w:eastAsia="方正仿宋_GBK"/>
                <w:snapToGrid w:val="0"/>
                <w:kern w:val="21"/>
                <w:sz w:val="18"/>
                <w:szCs w:val="18"/>
              </w:rPr>
            </w:pPr>
          </w:p>
        </w:tc>
        <w:tc>
          <w:tcPr>
            <w:tcW w:w="2852" w:type="dxa"/>
            <w:vMerge w:val="restart"/>
            <w:vAlign w:val="center"/>
          </w:tcPr>
          <w:p>
            <w:pPr>
              <w:widowControl/>
              <w:spacing w:line="240" w:lineRule="exact"/>
              <w:jc w:val="left"/>
              <w:rPr>
                <w:rFonts w:eastAsia="方正仿宋_GBK"/>
                <w:snapToGrid w:val="0"/>
                <w:kern w:val="21"/>
                <w:sz w:val="18"/>
                <w:szCs w:val="18"/>
              </w:rPr>
            </w:pPr>
            <w:r>
              <w:rPr>
                <w:rFonts w:eastAsia="方正仿宋_GBK"/>
                <w:snapToGrid w:val="0"/>
                <w:kern w:val="21"/>
                <w:sz w:val="18"/>
                <w:szCs w:val="18"/>
              </w:rPr>
              <w:t>1.</w:t>
            </w:r>
            <w:r>
              <w:rPr>
                <w:rFonts w:hint="eastAsia" w:eastAsia="方正仿宋_GBK"/>
                <w:snapToGrid w:val="0"/>
                <w:kern w:val="21"/>
                <w:sz w:val="18"/>
                <w:szCs w:val="18"/>
              </w:rPr>
              <w:t>《中华人民共和国政府信息公开条例》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781" w:type="dxa"/>
            <w:vAlign w:val="center"/>
          </w:tcPr>
          <w:p>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1065" w:type="dxa"/>
            <w:vMerge w:val="continue"/>
            <w:vAlign w:val="center"/>
          </w:tcPr>
          <w:p>
            <w:pPr>
              <w:adjustRightInd w:val="0"/>
              <w:snapToGrid w:val="0"/>
              <w:spacing w:line="240" w:lineRule="exact"/>
              <w:rPr>
                <w:rFonts w:eastAsia="方正仿宋_GBK"/>
                <w:snapToGrid w:val="0"/>
                <w:kern w:val="21"/>
                <w:sz w:val="18"/>
                <w:szCs w:val="18"/>
              </w:rPr>
            </w:pPr>
          </w:p>
        </w:tc>
        <w:tc>
          <w:tcPr>
            <w:tcW w:w="1577" w:type="dxa"/>
            <w:vMerge w:val="continue"/>
            <w:vAlign w:val="center"/>
          </w:tcPr>
          <w:p>
            <w:pPr>
              <w:adjustRightInd w:val="0"/>
              <w:snapToGrid w:val="0"/>
              <w:spacing w:line="240" w:lineRule="exact"/>
              <w:rPr>
                <w:rFonts w:eastAsia="方正仿宋_GBK"/>
                <w:snapToGrid w:val="0"/>
                <w:kern w:val="21"/>
                <w:sz w:val="18"/>
                <w:szCs w:val="18"/>
              </w:rPr>
            </w:pP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Merge w:val="continue"/>
            <w:vAlign w:val="center"/>
          </w:tcPr>
          <w:p>
            <w:pPr>
              <w:adjustRightInd w:val="0"/>
              <w:snapToGrid w:val="0"/>
              <w:spacing w:line="240" w:lineRule="exact"/>
              <w:rPr>
                <w:rFonts w:eastAsia="方正仿宋_GBK"/>
                <w:snapToGrid w:val="0"/>
                <w:kern w:val="21"/>
                <w:sz w:val="18"/>
                <w:szCs w:val="18"/>
              </w:rPr>
            </w:pP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299" w:type="dxa"/>
            <w:vMerge w:val="continue"/>
            <w:vAlign w:val="center"/>
          </w:tcPr>
          <w:p>
            <w:pPr>
              <w:adjustRightInd w:val="0"/>
              <w:snapToGrid w:val="0"/>
              <w:spacing w:line="240" w:lineRule="exact"/>
              <w:rPr>
                <w:rFonts w:eastAsia="方正仿宋_GBK"/>
                <w:snapToGrid w:val="0"/>
                <w:kern w:val="21"/>
                <w:sz w:val="18"/>
                <w:szCs w:val="18"/>
              </w:rPr>
            </w:pPr>
          </w:p>
        </w:tc>
        <w:tc>
          <w:tcPr>
            <w:tcW w:w="2852" w:type="dxa"/>
            <w:vMerge w:val="continue"/>
            <w:vAlign w:val="center"/>
          </w:tcPr>
          <w:p>
            <w:pPr>
              <w:adjustRightInd w:val="0"/>
              <w:snapToGrid w:val="0"/>
              <w:spacing w:line="240" w:lineRule="exact"/>
              <w:rPr>
                <w:rFonts w:eastAsia="方正仿宋_GBK"/>
                <w:snapToGrid w:val="0"/>
                <w:kern w:val="21"/>
                <w:sz w:val="18"/>
                <w:szCs w:val="18"/>
              </w:rPr>
            </w:pP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1065" w:type="dxa"/>
            <w:vMerge w:val="continue"/>
            <w:vAlign w:val="center"/>
          </w:tcPr>
          <w:p>
            <w:pPr>
              <w:adjustRightInd w:val="0"/>
              <w:snapToGrid w:val="0"/>
              <w:spacing w:line="240" w:lineRule="exact"/>
              <w:rPr>
                <w:rFonts w:eastAsia="方正仿宋_GBK"/>
                <w:snapToGrid w:val="0"/>
                <w:kern w:val="21"/>
                <w:sz w:val="18"/>
                <w:szCs w:val="18"/>
              </w:rPr>
            </w:pPr>
          </w:p>
        </w:tc>
        <w:tc>
          <w:tcPr>
            <w:tcW w:w="1577" w:type="dxa"/>
            <w:vMerge w:val="continue"/>
            <w:vAlign w:val="center"/>
          </w:tcPr>
          <w:p>
            <w:pPr>
              <w:adjustRightInd w:val="0"/>
              <w:snapToGrid w:val="0"/>
              <w:spacing w:line="240" w:lineRule="exact"/>
              <w:rPr>
                <w:rFonts w:eastAsia="方正仿宋_GBK"/>
                <w:snapToGrid w:val="0"/>
                <w:kern w:val="21"/>
                <w:sz w:val="18"/>
                <w:szCs w:val="18"/>
              </w:rPr>
            </w:pP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w:t>
            </w:r>
          </w:p>
        </w:tc>
        <w:tc>
          <w:tcPr>
            <w:tcW w:w="916"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其他重点领域</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法治政府建设情况</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highlight w:val="none"/>
              </w:rPr>
            </w:pPr>
          </w:p>
        </w:tc>
        <w:tc>
          <w:tcPr>
            <w:tcW w:w="1170"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法治政府建设年度报告</w:t>
            </w:r>
          </w:p>
        </w:tc>
        <w:tc>
          <w:tcPr>
            <w:tcW w:w="916"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法治建设</w:t>
            </w:r>
          </w:p>
        </w:tc>
        <w:tc>
          <w:tcPr>
            <w:tcW w:w="1901"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法治政府建设年度报告内容</w:t>
            </w:r>
          </w:p>
        </w:tc>
        <w:tc>
          <w:tcPr>
            <w:tcW w:w="1299"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2852"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1.《中华人民共和国政府信息公开条例》</w:t>
            </w:r>
          </w:p>
          <w:p>
            <w:pPr>
              <w:adjustRightInd w:val="0"/>
              <w:snapToGrid w:val="0"/>
              <w:spacing w:line="240" w:lineRule="exact"/>
              <w:rPr>
                <w:rFonts w:hint="eastAsia" w:eastAsia="方正仿宋_GBK"/>
                <w:snapToGrid w:val="0"/>
                <w:kern w:val="21"/>
                <w:sz w:val="18"/>
                <w:szCs w:val="18"/>
                <w:highlight w:val="none"/>
              </w:rPr>
            </w:pPr>
            <w:r>
              <w:rPr>
                <w:rFonts w:eastAsia="方正仿宋_GBK"/>
                <w:snapToGrid w:val="0"/>
                <w:kern w:val="21"/>
                <w:sz w:val="18"/>
                <w:szCs w:val="18"/>
                <w:highlight w:val="none"/>
              </w:rPr>
              <w:t>2.</w:t>
            </w:r>
            <w:r>
              <w:rPr>
                <w:rFonts w:hint="eastAsia" w:eastAsia="方正仿宋_GBK"/>
                <w:snapToGrid w:val="0"/>
                <w:kern w:val="21"/>
                <w:sz w:val="18"/>
                <w:szCs w:val="18"/>
                <w:highlight w:val="none"/>
              </w:rPr>
              <w:t>《法治政府建设与责任落实督察工作规定》</w:t>
            </w:r>
          </w:p>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rPr>
              <w:t>3.</w:t>
            </w:r>
            <w:r>
              <w:rPr>
                <w:rFonts w:eastAsia="方正仿宋_GBK"/>
                <w:snapToGrid w:val="0"/>
                <w:kern w:val="21"/>
                <w:sz w:val="18"/>
                <w:szCs w:val="18"/>
                <w:highlight w:val="none"/>
              </w:rPr>
              <w:t>《</w:t>
            </w:r>
            <w:r>
              <w:rPr>
                <w:rFonts w:hint="eastAsia" w:eastAsia="方正仿宋_GBK"/>
                <w:snapToGrid w:val="0"/>
                <w:kern w:val="21"/>
                <w:sz w:val="18"/>
                <w:szCs w:val="18"/>
                <w:highlight w:val="none"/>
              </w:rPr>
              <w:t>广西壮族自治区党委依法治区办关于进一步规范全区法治政府建设年度报告发布工作的通知</w:t>
            </w:r>
            <w:r>
              <w:rPr>
                <w:rFonts w:eastAsia="方正仿宋_GBK"/>
                <w:snapToGrid w:val="0"/>
                <w:kern w:val="21"/>
                <w:sz w:val="18"/>
                <w:szCs w:val="18"/>
                <w:highlight w:val="none"/>
              </w:rPr>
              <w:t>》（桂法办通〔2024〕6号）</w:t>
            </w:r>
          </w:p>
        </w:tc>
        <w:tc>
          <w:tcPr>
            <w:tcW w:w="1468"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每年4月1日前</w:t>
            </w:r>
          </w:p>
        </w:tc>
        <w:tc>
          <w:tcPr>
            <w:tcW w:w="781" w:type="dxa"/>
            <w:vAlign w:val="center"/>
          </w:tcPr>
          <w:p>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长期</w:t>
            </w:r>
          </w:p>
        </w:tc>
        <w:tc>
          <w:tcPr>
            <w:tcW w:w="1065" w:type="dxa"/>
            <w:vAlign w:val="center"/>
          </w:tcPr>
          <w:p>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永福县人民政府门户网站</w:t>
            </w:r>
          </w:p>
        </w:tc>
        <w:tc>
          <w:tcPr>
            <w:tcW w:w="1577"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永福县司法局</w:t>
            </w:r>
            <w:r>
              <w:rPr>
                <w:rFonts w:hint="eastAsia" w:eastAsia="方正仿宋_GBK"/>
                <w:snapToGrid w:val="0"/>
                <w:kern w:val="21"/>
                <w:sz w:val="18"/>
                <w:szCs w:val="18"/>
              </w:rPr>
              <w:t>答复的人大代表建议、应当公开答复内容</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Merge w:val="restart"/>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永福县司法局</w:t>
            </w:r>
            <w:r>
              <w:rPr>
                <w:rFonts w:hint="eastAsia" w:eastAsia="方正仿宋_GBK"/>
                <w:snapToGrid w:val="0"/>
                <w:kern w:val="21"/>
                <w:sz w:val="18"/>
                <w:szCs w:val="18"/>
              </w:rPr>
              <w:t>答复的政协委员提案、应当公开答复内容</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Merge w:val="continue"/>
            <w:vAlign w:val="center"/>
          </w:tcPr>
          <w:p>
            <w:pPr>
              <w:adjustRightInd w:val="0"/>
              <w:snapToGrid w:val="0"/>
              <w:spacing w:line="240" w:lineRule="exact"/>
              <w:rPr>
                <w:rFonts w:hint="eastAsia" w:eastAsia="方正仿宋_GBK"/>
                <w:snapToGrid w:val="0"/>
                <w:kern w:val="21"/>
                <w:sz w:val="18"/>
                <w:szCs w:val="18"/>
              </w:rPr>
            </w:pPr>
          </w:p>
        </w:tc>
        <w:tc>
          <w:tcPr>
            <w:tcW w:w="146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16"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90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3"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政府信息公开工作年度报告</w:t>
            </w:r>
          </w:p>
        </w:tc>
        <w:tc>
          <w:tcPr>
            <w:tcW w:w="916" w:type="dxa"/>
            <w:vMerge w:val="continue"/>
            <w:vAlign w:val="center"/>
          </w:tcPr>
          <w:p>
            <w:pPr>
              <w:adjustRightInd w:val="0"/>
              <w:snapToGrid w:val="0"/>
              <w:spacing w:line="240" w:lineRule="exact"/>
              <w:rPr>
                <w:rFonts w:eastAsia="方正仿宋_GBK"/>
                <w:snapToGrid w:val="0"/>
                <w:kern w:val="21"/>
                <w:sz w:val="18"/>
                <w:szCs w:val="18"/>
              </w:rPr>
            </w:pPr>
          </w:p>
        </w:tc>
        <w:tc>
          <w:tcPr>
            <w:tcW w:w="190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政府信息公开年度工作报告</w:t>
            </w:r>
          </w:p>
        </w:tc>
        <w:tc>
          <w:tcPr>
            <w:tcW w:w="1299"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2852"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46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每年1月31日前</w:t>
            </w:r>
          </w:p>
        </w:tc>
        <w:tc>
          <w:tcPr>
            <w:tcW w:w="781"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65"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77"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永福县司法局</w:t>
            </w:r>
          </w:p>
        </w:tc>
        <w:tc>
          <w:tcPr>
            <w:tcW w:w="1144" w:type="dxa"/>
            <w:vAlign w:val="center"/>
          </w:tcPr>
          <w:p>
            <w:pPr>
              <w:adjustRightInd w:val="0"/>
              <w:snapToGrid w:val="0"/>
              <w:spacing w:line="240" w:lineRule="exact"/>
              <w:rPr>
                <w:rFonts w:hint="eastAsia" w:eastAsia="方正仿宋_GBK"/>
                <w:snapToGrid w:val="0"/>
                <w:kern w:val="21"/>
                <w:sz w:val="18"/>
                <w:szCs w:val="18"/>
                <w:lang w:eastAsia="zh-CN"/>
              </w:rPr>
            </w:pPr>
          </w:p>
        </w:tc>
      </w:tr>
    </w:tbl>
    <w:p>
      <w:pPr>
        <w:adjustRightInd w:val="0"/>
        <w:snapToGrid w:val="0"/>
        <w:spacing w:line="300" w:lineRule="exact"/>
        <w:rPr>
          <w:rFonts w:hint="eastAsia" w:ascii="方正仿宋_GBK" w:hAnsi="方正仿宋_GBK" w:eastAsia="方正仿宋_GBK" w:cs="方正仿宋_GBK"/>
          <w:snapToGrid w:val="0"/>
          <w:kern w:val="21"/>
          <w:sz w:val="18"/>
          <w:szCs w:val="18"/>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6E8E"/>
    <w:rsid w:val="0C0C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5"/>
    <w:basedOn w:val="1"/>
    <w:next w:val="1"/>
    <w:unhideWhenUsed/>
    <w:qFormat/>
    <w:uiPriority w:val="0"/>
    <w:pPr>
      <w:keepNext/>
      <w:keepLines/>
      <w:spacing w:before="280" w:after="290" w:line="374" w:lineRule="auto"/>
      <w:outlineLvl w:val="4"/>
    </w:pPr>
    <w:rPr>
      <w:b/>
      <w:bCs/>
      <w:sz w:val="28"/>
      <w:szCs w:val="2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2025-12-02T01:50:00Z</dcterms:created>
  <dc:creator>Administrator</dc:creator>
  <cp:lastModifiedBy>Administrator</cp:lastModifiedBy>
  <dcterms:modified xsi:type="dcterms:W3CDTF">2025-12-02T01:51:12Z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