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12" w:rsidRPr="003B6138" w:rsidRDefault="009B0112" w:rsidP="003B6138">
      <w:pPr>
        <w:pStyle w:val="3"/>
        <w:widowControl/>
        <w:shd w:val="clear" w:color="auto" w:fill="FFFFFF"/>
        <w:spacing w:beforeAutospacing="0" w:afterAutospacing="0" w:line="640" w:lineRule="exact"/>
        <w:jc w:val="center"/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 w:rsidRPr="003B6138">
        <w:rPr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永福县高龄</w:t>
      </w:r>
      <w:r w:rsidR="007D0BF2">
        <w:rPr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补</w:t>
      </w:r>
      <w:r w:rsidRPr="003B6138">
        <w:rPr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贴政策解读</w:t>
      </w:r>
    </w:p>
    <w:p w:rsidR="009B0112" w:rsidRDefault="009B0112" w:rsidP="00D66975">
      <w:pPr>
        <w:spacing w:line="586" w:lineRule="exact"/>
        <w:ind w:firstLineChars="200" w:firstLine="420"/>
      </w:pP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根据《桂林市人民政府关于建立高龄老人生活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津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贴制度的通知》（市政〔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2013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〕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95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号）、《桂林市民政局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桂林市老龄办关于下发桂林市高龄老人生活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津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贴发放实施办法的通知》（市民发〔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2013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〕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99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号）、《关于印发永福县高龄老年人生活补贴发放工作实施方案的通知》（永政办发〔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2013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〕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79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号）文件做出以下解读。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一、高龄</w:t>
      </w:r>
      <w:r w:rsidR="007D0BF2">
        <w:rPr>
          <w:rFonts w:ascii="黑体" w:eastAsia="黑体" w:hAnsi="Times New Roman" w:hint="eastAsia"/>
          <w:sz w:val="32"/>
          <w:szCs w:val="32"/>
          <w:shd w:val="clear" w:color="auto" w:fill="FFFFFF"/>
        </w:rPr>
        <w:t>补</w:t>
      </w: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贴定义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高龄老人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贴是指政府定期给年满</w:t>
      </w:r>
      <w:r w:rsidRPr="003B6138">
        <w:rPr>
          <w:rFonts w:ascii="Times New Roman" w:eastAsia="仿宋_GB2312" w:hAnsi="Times New Roman"/>
          <w:sz w:val="32"/>
          <w:szCs w:val="32"/>
          <w:shd w:val="clear" w:color="auto" w:fill="FFFFFF"/>
        </w:rPr>
        <w:t>80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周岁及以上的老人发放的生活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贴。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二、补助对象</w:t>
      </w:r>
    </w:p>
    <w:p w:rsidR="009B0112" w:rsidRPr="00287DFE" w:rsidRDefault="009B0112" w:rsidP="00D66975">
      <w:pPr>
        <w:spacing w:line="586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87DFE">
        <w:rPr>
          <w:rFonts w:ascii="仿宋_GB2312" w:eastAsia="仿宋_GB2312" w:hint="eastAsia"/>
          <w:sz w:val="32"/>
          <w:szCs w:val="32"/>
        </w:rPr>
        <w:t>凡持有永福县城乡居民户口，年满</w:t>
      </w:r>
      <w:r w:rsidRPr="00287DFE">
        <w:rPr>
          <w:rFonts w:ascii="仿宋_GB2312" w:eastAsia="仿宋_GB2312"/>
          <w:sz w:val="32"/>
          <w:szCs w:val="32"/>
        </w:rPr>
        <w:t>80</w:t>
      </w:r>
      <w:r w:rsidRPr="00287DFE">
        <w:rPr>
          <w:rFonts w:ascii="仿宋_GB2312" w:eastAsia="仿宋_GB2312" w:hint="eastAsia"/>
          <w:sz w:val="32"/>
          <w:szCs w:val="32"/>
        </w:rPr>
        <w:t>周岁及以上高龄老年人均可申请领取高龄老年人生活补贴（以下简称高龄补贴）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三、补助标准</w:t>
      </w:r>
    </w:p>
    <w:p w:rsidR="009B0112" w:rsidRDefault="009B0112" w:rsidP="00D66975">
      <w:pPr>
        <w:spacing w:line="58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 w:hint="eastAsia"/>
          <w:sz w:val="32"/>
          <w:szCs w:val="32"/>
        </w:rPr>
        <w:t>从</w:t>
      </w:r>
      <w:r w:rsidRPr="00287DFE">
        <w:rPr>
          <w:rFonts w:ascii="仿宋_GB2312" w:eastAsia="仿宋_GB2312"/>
          <w:sz w:val="32"/>
          <w:szCs w:val="32"/>
        </w:rPr>
        <w:t>2013</w:t>
      </w:r>
      <w:r w:rsidRPr="00287DFE">
        <w:rPr>
          <w:rFonts w:ascii="仿宋_GB2312" w:eastAsia="仿宋_GB2312" w:hint="eastAsia"/>
          <w:sz w:val="32"/>
          <w:szCs w:val="32"/>
        </w:rPr>
        <w:t>年</w:t>
      </w:r>
      <w:r w:rsidRPr="00287DFE">
        <w:rPr>
          <w:rFonts w:ascii="仿宋_GB2312" w:eastAsia="仿宋_GB2312"/>
          <w:sz w:val="32"/>
          <w:szCs w:val="32"/>
        </w:rPr>
        <w:t>10</w:t>
      </w:r>
      <w:r w:rsidRPr="00287DFE">
        <w:rPr>
          <w:rFonts w:ascii="仿宋_GB2312" w:eastAsia="仿宋_GB2312" w:hint="eastAsia"/>
          <w:sz w:val="32"/>
          <w:szCs w:val="32"/>
        </w:rPr>
        <w:t>月</w:t>
      </w:r>
      <w:r w:rsidRPr="00287DFE">
        <w:rPr>
          <w:rFonts w:ascii="仿宋_GB2312" w:eastAsia="仿宋_GB2312"/>
          <w:sz w:val="32"/>
          <w:szCs w:val="32"/>
        </w:rPr>
        <w:t>1</w:t>
      </w:r>
      <w:r w:rsidRPr="00287DFE">
        <w:rPr>
          <w:rFonts w:ascii="仿宋_GB2312" w:eastAsia="仿宋_GB2312" w:hint="eastAsia"/>
          <w:sz w:val="32"/>
          <w:szCs w:val="32"/>
        </w:rPr>
        <w:t>日起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，全县高龄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贴按月实行社会化发放，统一实行农村信用社一折通或一卡通银行代发。</w:t>
      </w:r>
      <w:r w:rsidRPr="002958A5">
        <w:rPr>
          <w:rFonts w:ascii="楷体_GB2312" w:eastAsia="楷体_GB2312" w:hAnsi="黑体" w:hint="eastAsia"/>
          <w:sz w:val="32"/>
          <w:szCs w:val="32"/>
        </w:rPr>
        <w:t>发放标准</w:t>
      </w:r>
      <w:r w:rsidR="0047670F">
        <w:rPr>
          <w:rFonts w:ascii="楷体_GB2312" w:eastAsia="楷体_GB2312" w:hAnsi="黑体" w:hint="eastAsia"/>
          <w:sz w:val="32"/>
          <w:szCs w:val="32"/>
        </w:rPr>
        <w:t>，</w:t>
      </w:r>
      <w:r w:rsidRPr="00287DFE">
        <w:rPr>
          <w:rFonts w:ascii="仿宋_GB2312" w:eastAsia="仿宋_GB2312" w:hint="eastAsia"/>
          <w:sz w:val="32"/>
          <w:szCs w:val="32"/>
        </w:rPr>
        <w:t>以年龄段划分为</w:t>
      </w:r>
      <w:r w:rsidRPr="00287DFE">
        <w:rPr>
          <w:rFonts w:ascii="仿宋_GB2312" w:eastAsia="仿宋_GB2312"/>
          <w:sz w:val="32"/>
          <w:szCs w:val="32"/>
        </w:rPr>
        <w:t>A</w:t>
      </w:r>
      <w:r w:rsidRPr="00287DFE">
        <w:rPr>
          <w:rFonts w:ascii="仿宋_GB2312" w:eastAsia="仿宋_GB2312" w:hint="eastAsia"/>
          <w:sz w:val="32"/>
          <w:szCs w:val="32"/>
        </w:rPr>
        <w:t>、</w:t>
      </w:r>
      <w:r w:rsidRPr="00287DFE">
        <w:rPr>
          <w:rFonts w:ascii="仿宋_GB2312" w:eastAsia="仿宋_GB2312"/>
          <w:sz w:val="32"/>
          <w:szCs w:val="32"/>
        </w:rPr>
        <w:t>B</w:t>
      </w:r>
      <w:r w:rsidRPr="00287DFE">
        <w:rPr>
          <w:rFonts w:ascii="仿宋_GB2312" w:eastAsia="仿宋_GB2312" w:hint="eastAsia"/>
          <w:sz w:val="32"/>
          <w:szCs w:val="32"/>
        </w:rPr>
        <w:t>、</w:t>
      </w:r>
      <w:r w:rsidRPr="00287DFE">
        <w:rPr>
          <w:rFonts w:ascii="仿宋_GB2312" w:eastAsia="仿宋_GB2312"/>
          <w:sz w:val="32"/>
          <w:szCs w:val="32"/>
        </w:rPr>
        <w:t>C</w:t>
      </w:r>
      <w:r w:rsidRPr="00287DFE">
        <w:rPr>
          <w:rFonts w:ascii="仿宋_GB2312" w:eastAsia="仿宋_GB2312" w:hint="eastAsia"/>
          <w:sz w:val="32"/>
          <w:szCs w:val="32"/>
        </w:rPr>
        <w:t>、</w:t>
      </w:r>
      <w:r w:rsidRPr="00287DFE">
        <w:rPr>
          <w:rFonts w:ascii="仿宋_GB2312" w:eastAsia="仿宋_GB2312"/>
          <w:sz w:val="32"/>
          <w:szCs w:val="32"/>
        </w:rPr>
        <w:t>D</w:t>
      </w:r>
      <w:r w:rsidRPr="00287DFE">
        <w:rPr>
          <w:rFonts w:ascii="仿宋_GB2312" w:eastAsia="仿宋_GB2312" w:hint="eastAsia"/>
          <w:sz w:val="32"/>
          <w:szCs w:val="32"/>
        </w:rPr>
        <w:t>、</w:t>
      </w:r>
      <w:r w:rsidRPr="00287DFE">
        <w:rPr>
          <w:rFonts w:ascii="仿宋_GB2312" w:eastAsia="仿宋_GB2312"/>
          <w:sz w:val="32"/>
          <w:szCs w:val="32"/>
        </w:rPr>
        <w:t>E</w:t>
      </w:r>
      <w:r w:rsidRPr="00287DFE">
        <w:rPr>
          <w:rFonts w:ascii="仿宋_GB2312" w:eastAsia="仿宋_GB2312" w:hint="eastAsia"/>
          <w:sz w:val="32"/>
          <w:szCs w:val="32"/>
        </w:rPr>
        <w:t>五个类别，按类别确定补贴标准</w:t>
      </w:r>
      <w:r>
        <w:rPr>
          <w:rFonts w:ascii="仿宋_GB2312" w:eastAsia="仿宋_GB2312" w:hint="eastAsia"/>
          <w:sz w:val="32"/>
          <w:szCs w:val="32"/>
        </w:rPr>
        <w:t>，具体标准如下：</w:t>
      </w:r>
    </w:p>
    <w:p w:rsidR="009B0112" w:rsidRDefault="009B0112" w:rsidP="00D66975">
      <w:pPr>
        <w:spacing w:line="58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/>
          <w:sz w:val="32"/>
          <w:szCs w:val="32"/>
        </w:rPr>
        <w:t>A</w:t>
      </w:r>
      <w:r w:rsidRPr="00287DFE">
        <w:rPr>
          <w:rFonts w:ascii="仿宋_GB2312" w:eastAsia="仿宋_GB2312" w:hint="eastAsia"/>
          <w:sz w:val="32"/>
          <w:szCs w:val="32"/>
        </w:rPr>
        <w:t>类</w:t>
      </w:r>
      <w:r w:rsidRPr="00287DFE">
        <w:rPr>
          <w:rFonts w:ascii="仿宋_GB2312" w:eastAsia="仿宋_GB2312"/>
          <w:sz w:val="32"/>
          <w:szCs w:val="32"/>
        </w:rPr>
        <w:t>: 100</w:t>
      </w:r>
      <w:r w:rsidRPr="00287DFE">
        <w:rPr>
          <w:rFonts w:ascii="仿宋_GB2312" w:eastAsia="仿宋_GB2312" w:hint="eastAsia"/>
          <w:sz w:val="32"/>
          <w:szCs w:val="32"/>
        </w:rPr>
        <w:t>周岁及以上每人每月</w:t>
      </w:r>
      <w:r>
        <w:rPr>
          <w:rFonts w:ascii="仿宋_GB2312" w:eastAsia="仿宋_GB2312"/>
          <w:sz w:val="32"/>
          <w:szCs w:val="32"/>
        </w:rPr>
        <w:t>300</w:t>
      </w:r>
      <w:r w:rsidRPr="00287DFE">
        <w:rPr>
          <w:rFonts w:ascii="仿宋_GB2312" w:eastAsia="仿宋_GB2312" w:hint="eastAsia"/>
          <w:sz w:val="32"/>
          <w:szCs w:val="32"/>
        </w:rPr>
        <w:t>元；</w:t>
      </w:r>
    </w:p>
    <w:p w:rsidR="009B0112" w:rsidRDefault="009B0112" w:rsidP="00D66975">
      <w:pPr>
        <w:spacing w:line="58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/>
          <w:sz w:val="32"/>
          <w:szCs w:val="32"/>
        </w:rPr>
        <w:t>B</w:t>
      </w:r>
      <w:r w:rsidRPr="00287DFE">
        <w:rPr>
          <w:rFonts w:ascii="仿宋_GB2312" w:eastAsia="仿宋_GB2312" w:hint="eastAsia"/>
          <w:sz w:val="32"/>
          <w:szCs w:val="32"/>
        </w:rPr>
        <w:t>类：</w:t>
      </w:r>
      <w:r w:rsidRPr="00287DFE">
        <w:rPr>
          <w:rFonts w:ascii="仿宋_GB2312" w:eastAsia="仿宋_GB2312"/>
          <w:sz w:val="32"/>
          <w:szCs w:val="32"/>
        </w:rPr>
        <w:t>95</w:t>
      </w:r>
      <w:r w:rsidRPr="00287DFE">
        <w:rPr>
          <w:rFonts w:ascii="仿宋_GB2312" w:eastAsia="仿宋_GB2312" w:hint="eastAsia"/>
          <w:sz w:val="32"/>
          <w:szCs w:val="32"/>
        </w:rPr>
        <w:t>（含</w:t>
      </w:r>
      <w:r w:rsidRPr="00287DFE">
        <w:rPr>
          <w:rFonts w:ascii="仿宋_GB2312" w:eastAsia="仿宋_GB2312"/>
          <w:sz w:val="32"/>
          <w:szCs w:val="32"/>
        </w:rPr>
        <w:t>95</w:t>
      </w:r>
      <w:r w:rsidRPr="00287DFE">
        <w:rPr>
          <w:rFonts w:ascii="仿宋_GB2312" w:eastAsia="仿宋_GB2312" w:hint="eastAsia"/>
          <w:sz w:val="32"/>
          <w:szCs w:val="32"/>
        </w:rPr>
        <w:t>）</w:t>
      </w:r>
      <w:r w:rsidRPr="00287DFE">
        <w:rPr>
          <w:rFonts w:ascii="仿宋_GB2312" w:eastAsia="仿宋_GB2312"/>
          <w:sz w:val="32"/>
          <w:szCs w:val="32"/>
        </w:rPr>
        <w:t>—</w:t>
      </w:r>
      <w:r w:rsidRPr="00287DFE">
        <w:rPr>
          <w:rFonts w:ascii="仿宋_GB2312" w:eastAsia="仿宋_GB2312"/>
          <w:sz w:val="32"/>
          <w:szCs w:val="32"/>
        </w:rPr>
        <w:t>99</w:t>
      </w:r>
      <w:r w:rsidRPr="00287DFE">
        <w:rPr>
          <w:rFonts w:ascii="仿宋_GB2312" w:eastAsia="仿宋_GB2312" w:hint="eastAsia"/>
          <w:sz w:val="32"/>
          <w:szCs w:val="32"/>
        </w:rPr>
        <w:t>周岁每人每月</w:t>
      </w:r>
      <w:r w:rsidRPr="00287DFE">
        <w:rPr>
          <w:rFonts w:ascii="仿宋_GB2312" w:eastAsia="仿宋_GB2312"/>
          <w:sz w:val="32"/>
          <w:szCs w:val="32"/>
        </w:rPr>
        <w:t>120</w:t>
      </w:r>
      <w:r w:rsidRPr="00287DFE">
        <w:rPr>
          <w:rFonts w:ascii="仿宋_GB2312" w:eastAsia="仿宋_GB2312" w:hint="eastAsia"/>
          <w:sz w:val="32"/>
          <w:szCs w:val="32"/>
        </w:rPr>
        <w:t>元；</w:t>
      </w:r>
    </w:p>
    <w:p w:rsidR="009B0112" w:rsidRDefault="009B0112" w:rsidP="00D66975">
      <w:pPr>
        <w:spacing w:line="58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/>
          <w:sz w:val="32"/>
          <w:szCs w:val="32"/>
        </w:rPr>
        <w:t>C</w:t>
      </w:r>
      <w:r w:rsidRPr="00287DFE">
        <w:rPr>
          <w:rFonts w:ascii="仿宋_GB2312" w:eastAsia="仿宋_GB2312" w:hint="eastAsia"/>
          <w:sz w:val="32"/>
          <w:szCs w:val="32"/>
        </w:rPr>
        <w:t>类：</w:t>
      </w:r>
      <w:r w:rsidRPr="00287DFE">
        <w:rPr>
          <w:rFonts w:ascii="仿宋_GB2312" w:eastAsia="仿宋_GB2312"/>
          <w:sz w:val="32"/>
          <w:szCs w:val="32"/>
        </w:rPr>
        <w:t>90</w:t>
      </w:r>
      <w:r w:rsidRPr="00287DFE">
        <w:rPr>
          <w:rFonts w:ascii="仿宋_GB2312" w:eastAsia="仿宋_GB2312" w:hint="eastAsia"/>
          <w:sz w:val="32"/>
          <w:szCs w:val="32"/>
        </w:rPr>
        <w:t>（含</w:t>
      </w:r>
      <w:r w:rsidRPr="00287DFE">
        <w:rPr>
          <w:rFonts w:ascii="仿宋_GB2312" w:eastAsia="仿宋_GB2312"/>
          <w:sz w:val="32"/>
          <w:szCs w:val="32"/>
        </w:rPr>
        <w:t>90</w:t>
      </w:r>
      <w:r w:rsidRPr="00287DFE">
        <w:rPr>
          <w:rFonts w:ascii="仿宋_GB2312" w:eastAsia="仿宋_GB2312" w:hint="eastAsia"/>
          <w:sz w:val="32"/>
          <w:szCs w:val="32"/>
        </w:rPr>
        <w:t>）</w:t>
      </w:r>
      <w:r w:rsidRPr="00287DFE">
        <w:rPr>
          <w:rFonts w:ascii="仿宋_GB2312" w:eastAsia="仿宋_GB2312"/>
          <w:sz w:val="32"/>
          <w:szCs w:val="32"/>
        </w:rPr>
        <w:t>—</w:t>
      </w:r>
      <w:r w:rsidRPr="00287DFE">
        <w:rPr>
          <w:rFonts w:ascii="仿宋_GB2312" w:eastAsia="仿宋_GB2312"/>
          <w:sz w:val="32"/>
          <w:szCs w:val="32"/>
        </w:rPr>
        <w:t>94</w:t>
      </w:r>
      <w:r w:rsidRPr="00287DFE">
        <w:rPr>
          <w:rFonts w:ascii="仿宋_GB2312" w:eastAsia="仿宋_GB2312" w:hint="eastAsia"/>
          <w:sz w:val="32"/>
          <w:szCs w:val="32"/>
        </w:rPr>
        <w:t>周岁每人每月</w:t>
      </w:r>
      <w:r>
        <w:rPr>
          <w:rFonts w:ascii="仿宋_GB2312" w:eastAsia="仿宋_GB2312"/>
          <w:sz w:val="32"/>
          <w:szCs w:val="32"/>
        </w:rPr>
        <w:t>100</w:t>
      </w:r>
      <w:r w:rsidRPr="00287DFE">
        <w:rPr>
          <w:rFonts w:ascii="仿宋_GB2312" w:eastAsia="仿宋_GB2312" w:hint="eastAsia"/>
          <w:sz w:val="32"/>
          <w:szCs w:val="32"/>
        </w:rPr>
        <w:t>元；</w:t>
      </w:r>
    </w:p>
    <w:p w:rsidR="009B0112" w:rsidRDefault="009B0112" w:rsidP="00D66975">
      <w:pPr>
        <w:spacing w:line="58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/>
          <w:sz w:val="32"/>
          <w:szCs w:val="32"/>
        </w:rPr>
        <w:lastRenderedPageBreak/>
        <w:t>D</w:t>
      </w:r>
      <w:r w:rsidRPr="00287DFE">
        <w:rPr>
          <w:rFonts w:ascii="仿宋_GB2312" w:eastAsia="仿宋_GB2312" w:hint="eastAsia"/>
          <w:sz w:val="32"/>
          <w:szCs w:val="32"/>
        </w:rPr>
        <w:t>类：</w:t>
      </w:r>
      <w:r w:rsidRPr="00287DFE">
        <w:rPr>
          <w:rFonts w:ascii="仿宋_GB2312" w:eastAsia="仿宋_GB2312"/>
          <w:sz w:val="32"/>
          <w:szCs w:val="32"/>
        </w:rPr>
        <w:t>85</w:t>
      </w:r>
      <w:r w:rsidRPr="00287DFE">
        <w:rPr>
          <w:rFonts w:ascii="仿宋_GB2312" w:eastAsia="仿宋_GB2312" w:hint="eastAsia"/>
          <w:sz w:val="32"/>
          <w:szCs w:val="32"/>
        </w:rPr>
        <w:t>（含</w:t>
      </w:r>
      <w:r w:rsidRPr="00287DFE">
        <w:rPr>
          <w:rFonts w:ascii="仿宋_GB2312" w:eastAsia="仿宋_GB2312"/>
          <w:sz w:val="32"/>
          <w:szCs w:val="32"/>
        </w:rPr>
        <w:t>85</w:t>
      </w:r>
      <w:r w:rsidRPr="00287DFE">
        <w:rPr>
          <w:rFonts w:ascii="仿宋_GB2312" w:eastAsia="仿宋_GB2312" w:hint="eastAsia"/>
          <w:sz w:val="32"/>
          <w:szCs w:val="32"/>
        </w:rPr>
        <w:t>）</w:t>
      </w:r>
      <w:r w:rsidRPr="00287DFE">
        <w:rPr>
          <w:rFonts w:ascii="仿宋_GB2312" w:eastAsia="仿宋_GB2312"/>
          <w:sz w:val="32"/>
          <w:szCs w:val="32"/>
        </w:rPr>
        <w:t>—</w:t>
      </w:r>
      <w:r w:rsidRPr="00287DFE">
        <w:rPr>
          <w:rFonts w:ascii="仿宋_GB2312" w:eastAsia="仿宋_GB2312"/>
          <w:sz w:val="32"/>
          <w:szCs w:val="32"/>
        </w:rPr>
        <w:t>89</w:t>
      </w:r>
      <w:r w:rsidRPr="00287DFE">
        <w:rPr>
          <w:rFonts w:ascii="仿宋_GB2312" w:eastAsia="仿宋_GB2312" w:hint="eastAsia"/>
          <w:sz w:val="32"/>
          <w:szCs w:val="32"/>
        </w:rPr>
        <w:t>周岁每人每月</w:t>
      </w:r>
      <w:r w:rsidRPr="00287DFE">
        <w:rPr>
          <w:rFonts w:ascii="仿宋_GB2312" w:eastAsia="仿宋_GB2312"/>
          <w:sz w:val="32"/>
          <w:szCs w:val="32"/>
        </w:rPr>
        <w:t>50</w:t>
      </w:r>
      <w:r w:rsidRPr="00287DFE">
        <w:rPr>
          <w:rFonts w:ascii="仿宋_GB2312" w:eastAsia="仿宋_GB2312" w:hint="eastAsia"/>
          <w:sz w:val="32"/>
          <w:szCs w:val="32"/>
        </w:rPr>
        <w:t>元；</w:t>
      </w:r>
    </w:p>
    <w:p w:rsidR="009B0112" w:rsidRDefault="009B0112" w:rsidP="00D66975">
      <w:pPr>
        <w:spacing w:line="58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7DFE">
        <w:rPr>
          <w:rFonts w:ascii="仿宋_GB2312" w:eastAsia="仿宋_GB2312"/>
          <w:sz w:val="32"/>
          <w:szCs w:val="32"/>
        </w:rPr>
        <w:t>E</w:t>
      </w:r>
      <w:r w:rsidRPr="00287DFE">
        <w:rPr>
          <w:rFonts w:ascii="仿宋_GB2312" w:eastAsia="仿宋_GB2312" w:hint="eastAsia"/>
          <w:sz w:val="32"/>
          <w:szCs w:val="32"/>
        </w:rPr>
        <w:t>类：</w:t>
      </w:r>
      <w:r w:rsidRPr="00287DFE">
        <w:rPr>
          <w:rFonts w:ascii="仿宋_GB2312" w:eastAsia="仿宋_GB2312"/>
          <w:sz w:val="32"/>
          <w:szCs w:val="32"/>
        </w:rPr>
        <w:t>80</w:t>
      </w:r>
      <w:r w:rsidRPr="00287DFE">
        <w:rPr>
          <w:rFonts w:ascii="仿宋_GB2312" w:eastAsia="仿宋_GB2312" w:hint="eastAsia"/>
          <w:sz w:val="32"/>
          <w:szCs w:val="32"/>
        </w:rPr>
        <w:t>（含</w:t>
      </w:r>
      <w:r w:rsidRPr="00287DFE">
        <w:rPr>
          <w:rFonts w:ascii="仿宋_GB2312" w:eastAsia="仿宋_GB2312"/>
          <w:sz w:val="32"/>
          <w:szCs w:val="32"/>
        </w:rPr>
        <w:t>80</w:t>
      </w:r>
      <w:r w:rsidRPr="00287DFE">
        <w:rPr>
          <w:rFonts w:ascii="仿宋_GB2312" w:eastAsia="仿宋_GB2312" w:hint="eastAsia"/>
          <w:sz w:val="32"/>
          <w:szCs w:val="32"/>
        </w:rPr>
        <w:t>）</w:t>
      </w:r>
      <w:r w:rsidRPr="00287DFE">
        <w:rPr>
          <w:rFonts w:ascii="仿宋_GB2312" w:eastAsia="仿宋_GB2312"/>
          <w:sz w:val="32"/>
          <w:szCs w:val="32"/>
        </w:rPr>
        <w:t>—</w:t>
      </w:r>
      <w:r w:rsidRPr="00287DFE">
        <w:rPr>
          <w:rFonts w:ascii="仿宋_GB2312" w:eastAsia="仿宋_GB2312"/>
          <w:sz w:val="32"/>
          <w:szCs w:val="32"/>
        </w:rPr>
        <w:t>84</w:t>
      </w:r>
      <w:r w:rsidRPr="00287DFE">
        <w:rPr>
          <w:rFonts w:ascii="仿宋_GB2312" w:eastAsia="仿宋_GB2312" w:hint="eastAsia"/>
          <w:sz w:val="32"/>
          <w:szCs w:val="32"/>
        </w:rPr>
        <w:t>周岁每人每月</w:t>
      </w:r>
      <w:r w:rsidRPr="00287DFE">
        <w:rPr>
          <w:rFonts w:ascii="仿宋_GB2312" w:eastAsia="仿宋_GB2312"/>
          <w:sz w:val="32"/>
          <w:szCs w:val="32"/>
        </w:rPr>
        <w:t>30</w:t>
      </w:r>
      <w:r w:rsidRPr="00287DFE">
        <w:rPr>
          <w:rFonts w:ascii="仿宋_GB2312" w:eastAsia="仿宋_GB2312" w:hint="eastAsia"/>
          <w:sz w:val="32"/>
          <w:szCs w:val="32"/>
        </w:rPr>
        <w:t>元。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sz w:val="32"/>
          <w:szCs w:val="32"/>
        </w:rPr>
      </w:pP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四、申请程序</w:t>
      </w:r>
    </w:p>
    <w:p w:rsidR="0047670F" w:rsidRPr="00287DFE" w:rsidRDefault="0047670F" w:rsidP="0047670F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</w:t>
      </w:r>
      <w:r w:rsidRPr="00287DFE">
        <w:rPr>
          <w:rFonts w:ascii="仿宋_GB2312" w:eastAsia="仿宋_GB2312" w:hint="eastAsia"/>
          <w:sz w:val="32"/>
          <w:szCs w:val="32"/>
        </w:rPr>
        <w:t>审批按照个人申请、村（居）</w:t>
      </w:r>
      <w:r>
        <w:rPr>
          <w:rFonts w:ascii="仿宋_GB2312" w:eastAsia="仿宋_GB2312" w:hint="eastAsia"/>
          <w:sz w:val="32"/>
          <w:szCs w:val="32"/>
        </w:rPr>
        <w:t>民委员会</w:t>
      </w:r>
      <w:r w:rsidRPr="00287DFE">
        <w:rPr>
          <w:rFonts w:ascii="仿宋_GB2312" w:eastAsia="仿宋_GB2312" w:hint="eastAsia"/>
          <w:sz w:val="32"/>
          <w:szCs w:val="32"/>
        </w:rPr>
        <w:t>初审、乡镇人民政府审核、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县</w:t>
      </w:r>
      <w:r>
        <w:rPr>
          <w:rFonts w:ascii="仿宋_GB2312" w:eastAsia="仿宋_GB2312" w:hint="eastAsia"/>
          <w:color w:val="000000"/>
          <w:sz w:val="32"/>
          <w:szCs w:val="32"/>
        </w:rPr>
        <w:t>民政局</w:t>
      </w:r>
      <w:r w:rsidRPr="00287DFE">
        <w:rPr>
          <w:rFonts w:ascii="仿宋_GB2312" w:eastAsia="仿宋_GB2312" w:hint="eastAsia"/>
          <w:sz w:val="32"/>
          <w:szCs w:val="32"/>
        </w:rPr>
        <w:t>审批的程序进行。</w:t>
      </w:r>
    </w:p>
    <w:p w:rsidR="0047670F" w:rsidRPr="00287DFE" w:rsidRDefault="0047670F" w:rsidP="0047670F">
      <w:pPr>
        <w:spacing w:line="6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87DFE">
        <w:rPr>
          <w:rFonts w:ascii="仿宋_GB2312" w:eastAsia="仿宋_GB2312" w:hint="eastAsia"/>
          <w:color w:val="000000"/>
          <w:sz w:val="32"/>
          <w:szCs w:val="32"/>
        </w:rPr>
        <w:t>凡</w:t>
      </w:r>
      <w:r>
        <w:rPr>
          <w:rFonts w:ascii="仿宋_GB2312" w:eastAsia="仿宋_GB2312" w:hint="eastAsia"/>
          <w:color w:val="000000"/>
          <w:sz w:val="32"/>
          <w:szCs w:val="32"/>
        </w:rPr>
        <w:t>符合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享受高龄补贴</w:t>
      </w:r>
      <w:r>
        <w:rPr>
          <w:rFonts w:ascii="仿宋_GB2312" w:eastAsia="仿宋_GB2312" w:hint="eastAsia"/>
          <w:color w:val="000000"/>
          <w:sz w:val="32"/>
          <w:szCs w:val="32"/>
        </w:rPr>
        <w:t>条件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的老年人，持本人身份证和户口本原件及复印件二份、本人近期二寸免冠照片三张、</w:t>
      </w:r>
      <w:r w:rsidRPr="00287DFE">
        <w:rPr>
          <w:rFonts w:ascii="仿宋_GB2312" w:eastAsia="仿宋_GB2312" w:hint="eastAsia"/>
          <w:sz w:val="32"/>
          <w:szCs w:val="32"/>
        </w:rPr>
        <w:t>农村合作银行（原</w:t>
      </w:r>
      <w:r>
        <w:rPr>
          <w:rFonts w:ascii="仿宋_GB2312" w:eastAsia="仿宋_GB2312" w:hint="eastAsia"/>
          <w:sz w:val="32"/>
          <w:szCs w:val="32"/>
        </w:rPr>
        <w:t>农村</w:t>
      </w:r>
      <w:r w:rsidRPr="00287DFE">
        <w:rPr>
          <w:rFonts w:ascii="仿宋_GB2312" w:eastAsia="仿宋_GB2312" w:hint="eastAsia"/>
          <w:sz w:val="32"/>
          <w:szCs w:val="32"/>
        </w:rPr>
        <w:t>信用社）存折帐号复印件一份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，到户籍所在地的村（居）</w:t>
      </w:r>
      <w:r>
        <w:rPr>
          <w:rFonts w:ascii="仿宋_GB2312" w:eastAsia="仿宋_GB2312" w:hint="eastAsia"/>
          <w:color w:val="000000"/>
          <w:sz w:val="32"/>
          <w:szCs w:val="32"/>
        </w:rPr>
        <w:t>民委员会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申请，填写《永福县高龄老年人生活补贴申请</w:t>
      </w:r>
      <w:r>
        <w:rPr>
          <w:rFonts w:ascii="仿宋_GB2312" w:eastAsia="仿宋_GB2312" w:hint="eastAsia"/>
          <w:color w:val="000000"/>
          <w:sz w:val="32"/>
          <w:szCs w:val="32"/>
        </w:rPr>
        <w:t>审批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表》（以下简称《申请</w:t>
      </w:r>
      <w:r>
        <w:rPr>
          <w:rFonts w:ascii="仿宋_GB2312" w:eastAsia="仿宋_GB2312" w:hint="eastAsia"/>
          <w:color w:val="000000"/>
          <w:sz w:val="32"/>
          <w:szCs w:val="32"/>
        </w:rPr>
        <w:t>审批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表》）一式二份。委托亲属或其他人员办理申请的，提供本人委托书及受委托人的身份证明原件及复印件二份。户籍所在地与经常居住地不一致的申请人，需出具常住村（居）</w:t>
      </w:r>
      <w:r>
        <w:rPr>
          <w:rFonts w:ascii="仿宋_GB2312" w:eastAsia="仿宋_GB2312" w:hint="eastAsia"/>
          <w:color w:val="000000"/>
          <w:sz w:val="32"/>
          <w:szCs w:val="32"/>
        </w:rPr>
        <w:t>民委员会</w:t>
      </w:r>
      <w:r w:rsidRPr="00287DFE">
        <w:rPr>
          <w:rFonts w:ascii="仿宋_GB2312" w:eastAsia="仿宋_GB2312" w:hint="eastAsia"/>
          <w:color w:val="000000"/>
          <w:sz w:val="32"/>
          <w:szCs w:val="32"/>
        </w:rPr>
        <w:t>的证明。</w:t>
      </w:r>
      <w:r w:rsidRPr="00287DFE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</w:p>
    <w:p w:rsidR="009B0112" w:rsidRPr="00D57B0E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村民委员会（社区居委会）</w:t>
      </w:r>
      <w:r w:rsidR="00B839F3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、乡镇民政办在规定时间内进行初审、审核合格后报县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民政</w:t>
      </w:r>
      <w:r w:rsidR="00B839F3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局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审</w:t>
      </w:r>
      <w:r w:rsidR="00B839F3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批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，县民政局审批后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次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月</w:t>
      </w:r>
      <w:r w:rsidR="007D0BF2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起发放补贴</w:t>
      </w:r>
      <w:r w:rsidRPr="003B6138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color w:val="191919"/>
          <w:sz w:val="32"/>
          <w:szCs w:val="32"/>
        </w:rPr>
      </w:pPr>
      <w:r w:rsidRPr="00D66975">
        <w:rPr>
          <w:rFonts w:ascii="黑体" w:eastAsia="黑体" w:hAnsi="Times New Roman" w:hint="eastAsia"/>
          <w:sz w:val="32"/>
          <w:szCs w:val="32"/>
          <w:shd w:val="clear" w:color="auto" w:fill="FFFFFF"/>
        </w:rPr>
        <w:t>五、</w:t>
      </w:r>
      <w:r w:rsidRPr="00D66975">
        <w:rPr>
          <w:rFonts w:ascii="黑体" w:eastAsia="黑体" w:hAnsi="Times New Roman" w:hint="eastAsia"/>
          <w:color w:val="191919"/>
          <w:sz w:val="32"/>
          <w:szCs w:val="32"/>
          <w:shd w:val="clear" w:color="auto" w:fill="FFFFFF"/>
        </w:rPr>
        <w:t>变更和终止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1.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享受人在本辖区内自然死亡的。在下个月初，各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乡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镇根据上月死亡名单做好相关注销工作。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2.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在本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县域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范围内户籍变动的。享受高龄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贴的老人户籍在我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县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内发生异动的，老人或其代办人应在</w:t>
      </w: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30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日内告知迁出村（社区）和迁入村（社区）。村（社区）应及时将异动信息告知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乡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镇，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lastRenderedPageBreak/>
        <w:t>在业务系统内完成变更。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3.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享受高龄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贴的老人迁出我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县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。老人或其代办人应在迁出当月告知原村（社区），村（社区）应及时将异动信息告知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乡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镇，在业务系统内完成注销，于次月起停止发放其高龄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贴。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4.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享受高龄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贴的老人在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本区域或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异地死亡。在老人死亡当月，其亲属有</w:t>
      </w: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 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义务将该信息告知村（社区），村（社区）应及时将该信息告知</w:t>
      </w: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乡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镇，在业务系统内完成注销，于次月起停止发放其高龄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color w:val="191919"/>
          <w:sz w:val="32"/>
          <w:szCs w:val="32"/>
        </w:rPr>
      </w:pPr>
      <w:r w:rsidRPr="00D66975">
        <w:rPr>
          <w:rFonts w:ascii="黑体" w:eastAsia="黑体" w:hAnsi="Times New Roman" w:hint="eastAsia"/>
          <w:color w:val="191919"/>
          <w:sz w:val="32"/>
          <w:szCs w:val="32"/>
          <w:shd w:val="clear" w:color="auto" w:fill="FFFFFF"/>
        </w:rPr>
        <w:t>六、罚则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高龄老人或其家属有下列行为的，将追回所发资金，情节严重的纳入社会不良诚信记录：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1.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虚报、冒领高龄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贴。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2.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异动（户籍迁出本市、死亡等）不及时主动上报取消高龄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贴的。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3.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因其他原因导致老人享受政策规定以外的高龄生活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贴的。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黑体" w:eastAsia="黑体" w:hAnsi="Times New Roman"/>
          <w:color w:val="191919"/>
          <w:sz w:val="32"/>
          <w:szCs w:val="32"/>
        </w:rPr>
      </w:pPr>
      <w:r w:rsidRPr="00D66975">
        <w:rPr>
          <w:rFonts w:ascii="黑体" w:eastAsia="黑体" w:hAnsi="Times New Roman" w:hint="eastAsia"/>
          <w:color w:val="191919"/>
          <w:sz w:val="32"/>
          <w:szCs w:val="32"/>
          <w:shd w:val="clear" w:color="auto" w:fill="FFFFFF"/>
        </w:rPr>
        <w:t>四、咨询和监督方式</w:t>
      </w: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咨询电话：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0773-8556908</w:t>
      </w:r>
    </w:p>
    <w:p w:rsidR="009B0112" w:rsidRPr="00D66975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监督电话：</w:t>
      </w:r>
      <w:r>
        <w:rPr>
          <w:rFonts w:ascii="Times New Roman" w:eastAsia="仿宋_GB2312" w:hAnsi="Times New Roman"/>
          <w:color w:val="191919"/>
          <w:sz w:val="32"/>
          <w:szCs w:val="32"/>
          <w:shd w:val="clear" w:color="auto" w:fill="FFFFFF"/>
        </w:rPr>
        <w:t>0773-8519995</w:t>
      </w: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color w:val="191919"/>
          <w:sz w:val="32"/>
          <w:szCs w:val="32"/>
        </w:rPr>
      </w:pP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温馨提示：望广大群众相互转告，让每位高龄老人都能享受生活</w:t>
      </w:r>
      <w:r w:rsidR="007D0BF2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补</w:t>
      </w:r>
      <w:r w:rsidRPr="003B6138">
        <w:rPr>
          <w:rFonts w:ascii="Times New Roman" w:eastAsia="仿宋_GB2312" w:hAnsi="Times New Roman" w:hint="eastAsia"/>
          <w:color w:val="191919"/>
          <w:sz w:val="32"/>
          <w:szCs w:val="32"/>
          <w:shd w:val="clear" w:color="auto" w:fill="FFFFFF"/>
        </w:rPr>
        <w:t>贴政策，感受到党和政府的温暖，不断提高高龄老人的生活质量。</w:t>
      </w: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B0112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B0112" w:rsidRPr="003B6138" w:rsidRDefault="009B0112" w:rsidP="00D66975">
      <w:pPr>
        <w:spacing w:line="586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sectPr w:rsidR="009B0112" w:rsidRPr="003B6138" w:rsidSect="003B6138">
      <w:pgSz w:w="11906" w:h="16838"/>
      <w:pgMar w:top="2098" w:right="1304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A24C3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CDC64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04006E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DBCE6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8E8DE8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4440AC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B02159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10405B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608F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C2C7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E41E9D"/>
    <w:rsid w:val="001342CC"/>
    <w:rsid w:val="00287DFE"/>
    <w:rsid w:val="002958A5"/>
    <w:rsid w:val="003B6138"/>
    <w:rsid w:val="0047670F"/>
    <w:rsid w:val="005E389A"/>
    <w:rsid w:val="007D0BF2"/>
    <w:rsid w:val="009B0112"/>
    <w:rsid w:val="00AE014D"/>
    <w:rsid w:val="00B839F3"/>
    <w:rsid w:val="00D57B0E"/>
    <w:rsid w:val="00D66975"/>
    <w:rsid w:val="00E70C7D"/>
    <w:rsid w:val="00E87B9E"/>
    <w:rsid w:val="1AE41E9D"/>
    <w:rsid w:val="32BE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C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1342CC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40552C"/>
    <w:rPr>
      <w:rFonts w:ascii="Calibri" w:hAnsi="Calibri"/>
      <w:b/>
      <w:bCs/>
      <w:sz w:val="32"/>
      <w:szCs w:val="32"/>
    </w:rPr>
  </w:style>
  <w:style w:type="paragraph" w:styleId="a3">
    <w:name w:val="Normal (Web)"/>
    <w:basedOn w:val="a"/>
    <w:uiPriority w:val="99"/>
    <w:rsid w:val="001342C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202</Words>
  <Characters>1154</Characters>
  <Application>Microsoft Office Word</Application>
  <DocSecurity>0</DocSecurity>
  <Lines>9</Lines>
  <Paragraphs>2</Paragraphs>
  <ScaleCrop>false</ScaleCrop>
  <Company>永福县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pcvgjkl036</dc:creator>
  <cp:keywords/>
  <dc:description/>
  <cp:lastModifiedBy>Administrator</cp:lastModifiedBy>
  <cp:revision>4</cp:revision>
  <dcterms:created xsi:type="dcterms:W3CDTF">2021-07-22T00:38:00Z</dcterms:created>
  <dcterms:modified xsi:type="dcterms:W3CDTF">2021-07-22T01:51:00Z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