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第三季度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地表水水质情况，分别为潦潭断面和龙溪断面。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 w:cs="方正楷体_GBK"/>
          <w:sz w:val="32"/>
          <w:szCs w:val="32"/>
        </w:rPr>
        <w:t>（一）监测点位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5" w:firstLineChars="202"/>
        <w:jc w:val="left"/>
        <w:textAlignment w:val="auto"/>
        <w:outlineLvl w:val="9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潦潭断面、龙溪断面。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 w:cs="方正楷体_GBK"/>
          <w:sz w:val="32"/>
          <w:szCs w:val="32"/>
        </w:rPr>
        <w:t>（二）监测项目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Autospacing="0"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sz w:val="28"/>
          <w:szCs w:val="28"/>
          <w:lang w:eastAsia="zh-CN"/>
        </w:rPr>
        <w:t>潦谭断面：水温、流量、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电导率、pH值、溶解氧、氨氮、高锰酸盐指数、五日生化需氧量、石油类、挥发酚、汞、铅、化学需氧量、总磷、总氮、氟化物、铜、锌、硒、镉、硫化物、砷、氰化物、六价铬、阴离子表面活性剂、粪大肠菌群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ind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龙溪断面：水温、电导率、pH值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溶解氧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高锰酸盐指数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化学需氧量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五日生化需氧量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氨氮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总磷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总氮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铜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锌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氟化物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硒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砷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汞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镉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铬（六价）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铅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氰化物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挥发酚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石油类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阴离子表面活性剂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硫化物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浊度共计25项。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55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55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监测的地表水水质</w:t>
      </w:r>
      <w:r>
        <w:rPr>
          <w:rFonts w:hint="eastAsia" w:ascii="宋体" w:hAnsi="宋体" w:cs="宋体"/>
          <w:sz w:val="28"/>
          <w:szCs w:val="28"/>
          <w:lang w:eastAsia="zh-CN"/>
        </w:rPr>
        <w:t>均</w:t>
      </w:r>
      <w:r>
        <w:rPr>
          <w:rFonts w:hint="eastAsia" w:ascii="宋体" w:hAnsi="宋体" w:cs="宋体"/>
          <w:sz w:val="28"/>
          <w:szCs w:val="28"/>
        </w:rPr>
        <w:t>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outlineLvl w:val="9"/>
        <w:rPr>
          <w:rFonts w:hint="eastAsia" w:ascii="方正黑体_GBK" w:eastAsia="方正黑体_GBK" w:cs="方正黑体_GBK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outlineLvl w:val="9"/>
        <w:rPr>
          <w:rFonts w:hint="eastAsia" w:ascii="方正黑体_GBK" w:eastAsia="方正黑体_GBK" w:cs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9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32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龙溪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地表水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达标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第三季度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400" w:right="1587" w:bottom="573" w:left="1587" w:header="1134" w:footer="130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rStyle w:val="11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0E06A12"/>
    <w:rsid w:val="11503E94"/>
    <w:rsid w:val="126D74D3"/>
    <w:rsid w:val="13BB7A5D"/>
    <w:rsid w:val="21F05D61"/>
    <w:rsid w:val="227C3FB0"/>
    <w:rsid w:val="22BF2C5D"/>
    <w:rsid w:val="22FA5629"/>
    <w:rsid w:val="264536BC"/>
    <w:rsid w:val="27FE512D"/>
    <w:rsid w:val="28621B16"/>
    <w:rsid w:val="292B0E89"/>
    <w:rsid w:val="2B6A0706"/>
    <w:rsid w:val="2BCE684A"/>
    <w:rsid w:val="2CB72B3F"/>
    <w:rsid w:val="2ED324F2"/>
    <w:rsid w:val="2F2822DA"/>
    <w:rsid w:val="2FF404B8"/>
    <w:rsid w:val="3C31032B"/>
    <w:rsid w:val="3FA811C8"/>
    <w:rsid w:val="3FAF167C"/>
    <w:rsid w:val="422C18FA"/>
    <w:rsid w:val="42986A2B"/>
    <w:rsid w:val="4414437B"/>
    <w:rsid w:val="44646F06"/>
    <w:rsid w:val="4C1F3559"/>
    <w:rsid w:val="55685F7E"/>
    <w:rsid w:val="5669706C"/>
    <w:rsid w:val="5A1A7FBC"/>
    <w:rsid w:val="5B9E59EB"/>
    <w:rsid w:val="5FF91746"/>
    <w:rsid w:val="66EE0CC1"/>
    <w:rsid w:val="73A82FA5"/>
    <w:rsid w:val="75713AD9"/>
    <w:rsid w:val="78B47B87"/>
    <w:rsid w:val="7B16589E"/>
    <w:rsid w:val="7DFF275B"/>
    <w:rsid w:val="7E247E1D"/>
    <w:rsid w:val="EFDF0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page number"/>
    <w:basedOn w:val="10"/>
    <w:qFormat/>
    <w:uiPriority w:val="99"/>
    <w:rPr>
      <w:rFonts w:ascii="Times New Roman" w:hAnsi="Times New Roman" w:cs="Times New Roman"/>
      <w:sz w:val="28"/>
      <w:szCs w:val="28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10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10"/>
    <w:link w:val="4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10"/>
    <w:link w:val="5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10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8"/>
    <w:qFormat/>
    <w:locked/>
    <w:uiPriority w:val="99"/>
    <w:rPr>
      <w:b/>
      <w:bCs/>
    </w:rPr>
  </w:style>
  <w:style w:type="character" w:customStyle="1" w:styleId="20">
    <w:name w:val="Document Map Char"/>
    <w:basedOn w:val="10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2016-08-25T08:54:00Z</dcterms:created>
  <dc:creator>SER01</dc:creator>
  <cp:lastModifiedBy>gxxc</cp:lastModifiedBy>
  <cp:lastPrinted>2024-10-14T16:52:00Z</cp:lastPrinted>
  <dcterms:modified xsi:type="dcterms:W3CDTF">2024-10-16T09:44:35Z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