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600" w:lineRule="exact"/>
        <w:jc w:val="center"/>
        <w:rPr>
          <w:rFonts w:hint="eastAsia" w:ascii="方正黑体_GBK" w:eastAsia="方正黑体_GBK" w:cs="方正黑体_GBK"/>
          <w:b/>
          <w:bCs/>
          <w:sz w:val="36"/>
          <w:szCs w:val="36"/>
        </w:rPr>
      </w:pPr>
      <w:r>
        <w:rPr>
          <w:rFonts w:ascii="方正黑体_GBK" w:eastAsia="方正黑体_GBK" w:cs="方正黑体_GBK"/>
          <w:b/>
          <w:bCs/>
          <w:sz w:val="36"/>
          <w:szCs w:val="36"/>
        </w:rPr>
        <w:t>20</w:t>
      </w:r>
      <w:r>
        <w:rPr>
          <w:rFonts w:hint="eastAsia" w:ascii="方正黑体_GBK" w:eastAsia="方正黑体_GBK" w:cs="方正黑体_GBK"/>
          <w:b/>
          <w:bCs/>
          <w:sz w:val="36"/>
          <w:szCs w:val="36"/>
          <w:lang w:val="en-US" w:eastAsia="zh-CN"/>
        </w:rPr>
        <w:t>24</w:t>
      </w:r>
      <w:r>
        <w:rPr>
          <w:rFonts w:hint="eastAsia" w:ascii="方正黑体_GBK" w:eastAsia="方正黑体_GBK" w:cs="方正黑体_GBK"/>
          <w:b/>
          <w:bCs/>
          <w:sz w:val="36"/>
          <w:szCs w:val="36"/>
        </w:rPr>
        <w:t>年</w:t>
      </w:r>
      <w:r>
        <w:rPr>
          <w:rFonts w:hint="eastAsia" w:ascii="方正黑体_GBK" w:eastAsia="方正黑体_GBK" w:cs="方正黑体_GBK"/>
          <w:b/>
          <w:bCs/>
          <w:sz w:val="36"/>
          <w:szCs w:val="36"/>
          <w:lang w:eastAsia="zh-CN"/>
        </w:rPr>
        <w:t>第二季度</w:t>
      </w:r>
      <w:r>
        <w:rPr>
          <w:rFonts w:hint="eastAsia" w:ascii="方正黑体_GBK" w:eastAsia="方正黑体_GBK" w:cs="方正黑体_GBK"/>
          <w:b/>
          <w:bCs/>
          <w:sz w:val="36"/>
          <w:szCs w:val="36"/>
        </w:rPr>
        <w:t>永福县集中式生活饮用水水源水质</w:t>
      </w:r>
    </w:p>
    <w:p>
      <w:pPr>
        <w:spacing w:line="600" w:lineRule="exact"/>
        <w:jc w:val="center"/>
        <w:rPr>
          <w:rFonts w:ascii="方正黑体_GBK" w:eastAsia="方正黑体_GBK"/>
          <w:b/>
          <w:bCs/>
          <w:sz w:val="36"/>
          <w:szCs w:val="36"/>
        </w:rPr>
      </w:pPr>
      <w:r>
        <w:rPr>
          <w:rFonts w:hint="eastAsia" w:ascii="方正黑体_GBK" w:eastAsia="方正黑体_GBK" w:cs="方正黑体_GBK"/>
          <w:b/>
          <w:bCs/>
          <w:sz w:val="36"/>
          <w:szCs w:val="36"/>
        </w:rPr>
        <w:t>分析评价报告</w:t>
      </w:r>
    </w:p>
    <w:p>
      <w:pPr>
        <w:spacing w:line="360" w:lineRule="auto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360" w:lineRule="auto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一、监测情况</w:t>
      </w:r>
    </w:p>
    <w:p>
      <w:pPr>
        <w:spacing w:line="360" w:lineRule="auto"/>
        <w:ind w:firstLine="560" w:firstLineChars="200"/>
        <w:jc w:val="left"/>
        <w:rPr>
          <w:rFonts w:ascii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永福县监测</w:t>
      </w:r>
      <w:r>
        <w:rPr>
          <w:rFonts w:ascii="宋体" w:hAnsi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</w:rPr>
        <w:t>个在用集中式生活饮用水水源（</w:t>
      </w:r>
      <w:r>
        <w:rPr>
          <w:rFonts w:hint="eastAsia" w:ascii="宋体" w:hAnsi="宋体" w:cs="宋体"/>
          <w:sz w:val="28"/>
          <w:szCs w:val="28"/>
          <w:lang w:eastAsia="zh-CN"/>
        </w:rPr>
        <w:t>长塘</w:t>
      </w:r>
      <w:r>
        <w:rPr>
          <w:rFonts w:hint="eastAsia" w:ascii="宋体" w:hAnsi="宋体" w:cs="宋体"/>
          <w:sz w:val="28"/>
          <w:szCs w:val="28"/>
        </w:rPr>
        <w:t>），为地表水水源</w:t>
      </w:r>
      <w:r>
        <w:rPr>
          <w:rFonts w:ascii="宋体" w:hAnsi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</w:rPr>
        <w:t>个（河流型）。</w:t>
      </w:r>
    </w:p>
    <w:p>
      <w:pPr>
        <w:spacing w:line="360" w:lineRule="auto"/>
        <w:jc w:val="left"/>
        <w:rPr>
          <w:rFonts w:ascii="方正楷体_GBK" w:hAnsi="宋体" w:eastAsia="方正楷体_GBK"/>
          <w:sz w:val="28"/>
          <w:szCs w:val="28"/>
        </w:rPr>
      </w:pPr>
      <w:r>
        <w:rPr>
          <w:rFonts w:hint="eastAsia" w:ascii="方正楷体_GBK" w:hAnsi="宋体" w:eastAsia="方正楷体_GBK" w:cs="方正楷体_GBK"/>
          <w:sz w:val="28"/>
          <w:szCs w:val="28"/>
        </w:rPr>
        <w:t>（一）监测点位</w:t>
      </w:r>
    </w:p>
    <w:p>
      <w:pPr>
        <w:spacing w:line="360" w:lineRule="auto"/>
        <w:ind w:firstLine="565" w:firstLineChars="202"/>
        <w:jc w:val="left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长塘</w:t>
      </w:r>
      <w:r>
        <w:rPr>
          <w:rFonts w:hint="eastAsia" w:ascii="宋体" w:hAnsi="宋体" w:cs="宋体"/>
          <w:sz w:val="28"/>
          <w:szCs w:val="28"/>
        </w:rPr>
        <w:t>饮用水源：</w:t>
      </w:r>
      <w:r>
        <w:rPr>
          <w:rFonts w:hint="eastAsia" w:ascii="宋体" w:hAnsi="宋体" w:cs="宋体"/>
          <w:color w:val="000000"/>
          <w:sz w:val="28"/>
          <w:szCs w:val="28"/>
        </w:rPr>
        <w:t>在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长塘</w:t>
      </w:r>
      <w:r>
        <w:rPr>
          <w:rFonts w:hint="eastAsia" w:ascii="宋体" w:hAnsi="宋体" w:cs="宋体"/>
          <w:color w:val="000000"/>
          <w:sz w:val="28"/>
          <w:szCs w:val="28"/>
        </w:rPr>
        <w:t>取水口上游</w:t>
      </w:r>
      <w:r>
        <w:rPr>
          <w:rFonts w:ascii="宋体" w:hAnsi="宋体" w:cs="宋体"/>
          <w:color w:val="000000"/>
          <w:sz w:val="28"/>
          <w:szCs w:val="28"/>
        </w:rPr>
        <w:t>100</w:t>
      </w:r>
      <w:r>
        <w:rPr>
          <w:rFonts w:hint="eastAsia" w:ascii="宋体" w:hAnsi="宋体" w:cs="宋体"/>
          <w:color w:val="000000"/>
          <w:sz w:val="28"/>
          <w:szCs w:val="28"/>
        </w:rPr>
        <w:t>米。</w:t>
      </w:r>
    </w:p>
    <w:p>
      <w:pPr>
        <w:spacing w:line="360" w:lineRule="auto"/>
        <w:jc w:val="left"/>
        <w:rPr>
          <w:rFonts w:ascii="方正楷体_GBK" w:hAnsi="宋体" w:eastAsia="方正楷体_GBK"/>
          <w:sz w:val="28"/>
          <w:szCs w:val="28"/>
        </w:rPr>
      </w:pPr>
      <w:r>
        <w:rPr>
          <w:rFonts w:hint="eastAsia" w:ascii="方正楷体_GBK" w:hAnsi="宋体" w:eastAsia="方正楷体_GBK" w:cs="方正楷体_GBK"/>
          <w:sz w:val="28"/>
          <w:szCs w:val="28"/>
        </w:rPr>
        <w:t>（二）监测项目</w:t>
      </w:r>
    </w:p>
    <w:p>
      <w:pPr>
        <w:keepNext w:val="0"/>
        <w:keepLines w:val="0"/>
        <w:widowControl/>
        <w:suppressLineNumbers w:val="0"/>
        <w:wordWrap w:val="0"/>
        <w:spacing w:before="156" w:beforeLines="50" w:beforeAutospacing="0" w:after="0" w:afterAutospacing="0" w:line="360" w:lineRule="auto"/>
        <w:ind w:left="0" w:right="0" w:firstLine="560" w:firstLineChars="2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水温、pH值、溶解氧、高锰酸盐指数、五日生化需氧量、氨氮、总磷、总氮、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粪大肠菌群、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铜、锌、氟化物、硒、砷、汞、镉、六价铬、铅、氰化物、挥发酚、石油类、阴离子表面活性剂、硫化物、硫酸盐、氯化物、硝酸盐、铁、锰、三氯甲烷、四氯化碳、三氯乙烯、四氯乙烯、苯乙烯、甲醛、苯、甲苯、乙苯、二甲苯、异丙苯、氯苯、1，2-二氯苯、1，4-二氯苯、三氯苯、硝基苯、二硝基苯、硝基氯苯、邻苯二甲酸二丁酯、邻苯二甲酸二（2-乙基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  <w:t>己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基）酯、滴滴涕、林丹、阿特拉津、苯并（a）芘、钼、钴、铍、硼、锑、镍、钡、钒、铊，共计61项。</w:t>
      </w:r>
    </w:p>
    <w:p>
      <w:pPr>
        <w:spacing w:line="360" w:lineRule="auto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二、评价标准及方法</w:t>
      </w:r>
    </w:p>
    <w:p>
      <w:pPr>
        <w:spacing w:line="360" w:lineRule="auto"/>
        <w:ind w:firstLine="555"/>
        <w:jc w:val="left"/>
        <w:rPr>
          <w:rFonts w:ascii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</w:rPr>
        <w:t>、评价标准：《地表水环境质量标准》（</w:t>
      </w:r>
      <w:r>
        <w:rPr>
          <w:rFonts w:ascii="宋体" w:hAnsi="宋体" w:cs="宋体"/>
          <w:sz w:val="28"/>
          <w:szCs w:val="28"/>
        </w:rPr>
        <w:t>GB3838-2002</w:t>
      </w:r>
      <w:r>
        <w:rPr>
          <w:rFonts w:hint="eastAsia" w:ascii="宋体" w:hAnsi="宋体" w:cs="宋体"/>
          <w:sz w:val="28"/>
          <w:szCs w:val="28"/>
        </w:rPr>
        <w:t>）</w:t>
      </w:r>
    </w:p>
    <w:p>
      <w:pPr>
        <w:spacing w:line="360" w:lineRule="auto"/>
        <w:ind w:firstLine="555"/>
        <w:jc w:val="left"/>
        <w:rPr>
          <w:rFonts w:ascii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</w:t>
      </w:r>
      <w:r>
        <w:rPr>
          <w:rFonts w:hint="eastAsia" w:ascii="宋体" w:hAnsi="宋体" w:cs="宋体"/>
          <w:sz w:val="28"/>
          <w:szCs w:val="28"/>
        </w:rPr>
        <w:t>、评价办法：《地表水环境质量评价办法（试行）》（环办</w:t>
      </w:r>
      <w:r>
        <w:rPr>
          <w:rFonts w:ascii="宋体" w:hAnsi="宋体" w:cs="宋体"/>
          <w:sz w:val="28"/>
          <w:szCs w:val="28"/>
        </w:rPr>
        <w:t>[2011]22</w:t>
      </w:r>
      <w:r>
        <w:rPr>
          <w:rFonts w:hint="eastAsia" w:ascii="宋体" w:hAnsi="宋体" w:cs="宋体"/>
          <w:sz w:val="28"/>
          <w:szCs w:val="28"/>
        </w:rPr>
        <w:t>号）进行评价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</w:p>
    <w:p>
      <w:pPr>
        <w:spacing w:line="360" w:lineRule="auto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三、评价结果</w:t>
      </w:r>
    </w:p>
    <w:p>
      <w:pPr>
        <w:keepNext w:val="0"/>
        <w:keepLines w:val="0"/>
        <w:widowControl/>
        <w:suppressLineNumbers w:val="0"/>
        <w:wordWrap w:val="0"/>
        <w:spacing w:before="156" w:beforeLines="50" w:beforeAutospacing="0" w:after="0" w:afterAutospacing="0" w:line="360" w:lineRule="auto"/>
        <w:ind w:left="0" w:right="0"/>
        <w:jc w:val="left"/>
        <w:rPr>
          <w:rFonts w:ascii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 xml:space="preserve">    </w:t>
      </w:r>
      <w:r>
        <w:rPr>
          <w:rFonts w:hint="eastAsia" w:ascii="宋体" w:hAnsi="宋体" w:cs="宋体"/>
          <w:sz w:val="28"/>
          <w:szCs w:val="28"/>
        </w:rPr>
        <w:t>监测的地表水集中式饮用水水源水质达到《地表水环境质量标准》（</w:t>
      </w:r>
      <w:r>
        <w:rPr>
          <w:rFonts w:ascii="宋体" w:hAnsi="宋体" w:cs="宋体"/>
          <w:sz w:val="28"/>
          <w:szCs w:val="28"/>
        </w:rPr>
        <w:t>GB3838-2002</w:t>
      </w:r>
      <w:r>
        <w:rPr>
          <w:rFonts w:hint="eastAsia" w:ascii="宋体" w:hAnsi="宋体" w:cs="宋体"/>
          <w:sz w:val="28"/>
          <w:szCs w:val="28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Ⅰ</w:t>
      </w:r>
      <w:r>
        <w:rPr>
          <w:rFonts w:hint="eastAsia" w:ascii="宋体" w:hAnsi="宋体" w:cs="宋体"/>
          <w:sz w:val="28"/>
          <w:szCs w:val="28"/>
        </w:rPr>
        <w:t>类水质标准，达标率为</w:t>
      </w:r>
      <w:r>
        <w:rPr>
          <w:rFonts w:ascii="宋体" w:hAnsi="宋体" w:cs="宋体"/>
          <w:sz w:val="28"/>
          <w:szCs w:val="28"/>
        </w:rPr>
        <w:t>100%</w:t>
      </w:r>
      <w:r>
        <w:rPr>
          <w:rFonts w:hint="eastAsia" w:ascii="宋体" w:hAnsi="宋体" w:cs="宋体"/>
          <w:sz w:val="28"/>
          <w:szCs w:val="28"/>
        </w:rPr>
        <w:t>。</w:t>
      </w:r>
      <w:r>
        <w:rPr>
          <w:rFonts w:ascii="宋体" w:hAnsi="宋体" w:cs="宋体"/>
          <w:sz w:val="28"/>
          <w:szCs w:val="28"/>
        </w:rPr>
        <w:t>(</w:t>
      </w:r>
      <w:r>
        <w:rPr>
          <w:rFonts w:hint="eastAsia" w:ascii="宋体" w:hAnsi="宋体" w:cs="宋体"/>
          <w:sz w:val="28"/>
          <w:szCs w:val="28"/>
        </w:rPr>
        <w:t>具体情况见附表</w:t>
      </w:r>
      <w:r>
        <w:rPr>
          <w:rFonts w:ascii="宋体" w:hAnsi="宋体" w:cs="宋体"/>
          <w:sz w:val="28"/>
          <w:szCs w:val="28"/>
        </w:rPr>
        <w:t>)</w:t>
      </w:r>
      <w:r>
        <w:rPr>
          <w:rFonts w:hint="eastAsia" w:ascii="宋体" w:hAnsi="宋体" w:cs="宋体"/>
          <w:sz w:val="28"/>
          <w:szCs w:val="28"/>
        </w:rPr>
        <w:t>。</w:t>
      </w:r>
    </w:p>
    <w:p>
      <w:pPr>
        <w:spacing w:line="360" w:lineRule="auto"/>
        <w:rPr>
          <w:rFonts w:ascii="方正黑体_GBK" w:eastAsia="方正黑体_GBK" w:cs="方正黑体_GBK"/>
          <w:sz w:val="28"/>
          <w:szCs w:val="28"/>
        </w:rPr>
      </w:pPr>
    </w:p>
    <w:p>
      <w:pPr>
        <w:spacing w:line="360" w:lineRule="auto"/>
        <w:rPr>
          <w:rFonts w:ascii="方正黑体_GBK" w:eastAsia="方正黑体_GBK"/>
          <w:sz w:val="28"/>
          <w:szCs w:val="28"/>
        </w:rPr>
      </w:pPr>
      <w:r>
        <w:rPr>
          <w:rFonts w:hint="eastAsia" w:ascii="方正黑体_GBK" w:eastAsia="方正黑体_GBK" w:cs="方正黑体_GBK"/>
          <w:sz w:val="28"/>
          <w:szCs w:val="28"/>
        </w:rPr>
        <w:t>附表</w:t>
      </w:r>
    </w:p>
    <w:tbl>
      <w:tblPr>
        <w:tblStyle w:val="6"/>
        <w:tblW w:w="999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938"/>
        <w:gridCol w:w="986"/>
        <w:gridCol w:w="1446"/>
        <w:gridCol w:w="1675"/>
        <w:gridCol w:w="1785"/>
        <w:gridCol w:w="2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tblHeader/>
          <w:jc w:val="center"/>
        </w:trPr>
        <w:tc>
          <w:tcPr>
            <w:tcW w:w="69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序号</w:t>
            </w:r>
          </w:p>
        </w:tc>
        <w:tc>
          <w:tcPr>
            <w:tcW w:w="93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行政区名称</w:t>
            </w:r>
          </w:p>
        </w:tc>
        <w:tc>
          <w:tcPr>
            <w:tcW w:w="98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区县</w:t>
            </w:r>
          </w:p>
        </w:tc>
        <w:tc>
          <w:tcPr>
            <w:tcW w:w="1446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水源名称</w:t>
            </w:r>
          </w:p>
          <w:p>
            <w:pPr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（监测点位）</w:t>
            </w:r>
          </w:p>
        </w:tc>
        <w:tc>
          <w:tcPr>
            <w:tcW w:w="167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水源类型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达标情况</w:t>
            </w:r>
          </w:p>
        </w:tc>
        <w:tc>
          <w:tcPr>
            <w:tcW w:w="247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超标指标及超标倍数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9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</w:t>
            </w:r>
          </w:p>
        </w:tc>
        <w:tc>
          <w:tcPr>
            <w:tcW w:w="93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桂林市</w:t>
            </w:r>
          </w:p>
        </w:tc>
        <w:tc>
          <w:tcPr>
            <w:tcW w:w="98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永福县</w:t>
            </w:r>
          </w:p>
        </w:tc>
        <w:tc>
          <w:tcPr>
            <w:tcW w:w="144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eastAsia="宋体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长塘</w:t>
            </w:r>
          </w:p>
        </w:tc>
        <w:tc>
          <w:tcPr>
            <w:tcW w:w="167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地表水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达标</w:t>
            </w:r>
          </w:p>
        </w:tc>
        <w:tc>
          <w:tcPr>
            <w:tcW w:w="247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－</w:t>
            </w:r>
          </w:p>
        </w:tc>
      </w:tr>
    </w:tbl>
    <w:p>
      <w:pPr>
        <w:spacing w:line="360" w:lineRule="auto"/>
        <w:rPr>
          <w:rFonts w:ascii="方正仿宋_GBK" w:eastAsia="方正仿宋_GBK"/>
          <w:sz w:val="32"/>
          <w:szCs w:val="32"/>
        </w:rPr>
      </w:pPr>
    </w:p>
    <w:p>
      <w:pPr>
        <w:spacing w:line="360" w:lineRule="auto"/>
        <w:rPr>
          <w:rFonts w:hint="eastAsia" w:ascii="方正仿宋_GBK" w:eastAsia="方正仿宋_GBK"/>
          <w:sz w:val="28"/>
          <w:szCs w:val="28"/>
          <w:lang w:eastAsia="zh-CN"/>
        </w:rPr>
      </w:pPr>
      <w:r>
        <w:rPr>
          <w:rFonts w:hint="eastAsia" w:ascii="方正仿宋_GBK" w:eastAsia="方正仿宋_GBK"/>
          <w:sz w:val="28"/>
          <w:szCs w:val="28"/>
          <w:lang w:eastAsia="zh-CN"/>
        </w:rPr>
        <w:t>附件：20</w:t>
      </w:r>
      <w:r>
        <w:rPr>
          <w:rFonts w:hint="eastAsia" w:ascii="方正仿宋_GBK" w:eastAsia="方正仿宋_GBK"/>
          <w:sz w:val="28"/>
          <w:szCs w:val="28"/>
          <w:lang w:val="en-US" w:eastAsia="zh-CN"/>
        </w:rPr>
        <w:t>24</w:t>
      </w:r>
      <w:r>
        <w:rPr>
          <w:rFonts w:hint="eastAsia" w:ascii="方正仿宋_GBK" w:eastAsia="方正仿宋_GBK"/>
          <w:sz w:val="28"/>
          <w:szCs w:val="28"/>
          <w:lang w:eastAsia="zh-CN"/>
        </w:rPr>
        <w:t>年第二</w:t>
      </w:r>
      <w:bookmarkStart w:id="0" w:name="_GoBack"/>
      <w:bookmarkEnd w:id="0"/>
      <w:r>
        <w:rPr>
          <w:rFonts w:hint="eastAsia" w:ascii="方正仿宋_GBK" w:eastAsia="方正仿宋_GBK"/>
          <w:sz w:val="28"/>
          <w:szCs w:val="28"/>
          <w:lang w:eastAsia="zh-CN"/>
        </w:rPr>
        <w:t>季度永福县集中式生活饮用水水源水质评价报告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roman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FD4E0A"/>
    <w:rsid w:val="0FFD4E0A"/>
    <w:rsid w:val="33F85426"/>
    <w:rsid w:val="5A144E80"/>
    <w:rsid w:val="78531358"/>
    <w:rsid w:val="7F5E641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99"/>
    <w:rPr>
      <w:rFonts w:ascii="Times New Roman" w:hAnsi="Times New Roman" w:cs="Times New Roman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2022-05-07T02:07:00Z</dcterms:created>
  <dc:creator>WPS_1576742931</dc:creator>
  <cp:lastModifiedBy>Administrator</cp:lastModifiedBy>
  <dcterms:modified xsi:type="dcterms:W3CDTF">2024-07-23T07:46:47Z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