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36962">
      <w:pPr>
        <w:pStyle w:val="9"/>
        <w:ind w:firstLine="400"/>
        <w:rPr>
          <w:rFonts w:ascii="Times New Roman" w:hAnsi="Times New Roman" w:eastAsia="宋体"/>
          <w:sz w:val="20"/>
          <w:lang w:val="en-US"/>
        </w:rPr>
      </w:pPr>
      <w:r>
        <w:rPr>
          <w:rFonts w:hint="eastAsia" w:ascii="Times New Roman" w:hAnsi="Times New Roman" w:eastAsia="宋体"/>
          <w:sz w:val="20"/>
          <w:lang w:val="en-US"/>
        </w:rPr>
        <w:t xml:space="preserve"> </w:t>
      </w:r>
    </w:p>
    <w:p w14:paraId="1A1EBE54">
      <w:pPr>
        <w:pStyle w:val="9"/>
        <w:ind w:firstLine="400"/>
        <w:rPr>
          <w:rFonts w:ascii="Times New Roman" w:hAnsi="Times New Roman" w:eastAsia="宋体"/>
          <w:sz w:val="20"/>
        </w:rPr>
      </w:pPr>
    </w:p>
    <w:p w14:paraId="28785B4F">
      <w:pPr>
        <w:pStyle w:val="9"/>
        <w:spacing w:before="2"/>
        <w:ind w:firstLine="420"/>
        <w:rPr>
          <w:rFonts w:ascii="Times New Roman" w:hAnsi="Times New Roman" w:eastAsia="宋体"/>
          <w:sz w:val="21"/>
        </w:rPr>
      </w:pPr>
    </w:p>
    <w:p w14:paraId="2C53A16B">
      <w:pPr>
        <w:widowControl/>
        <w:autoSpaceDE/>
        <w:autoSpaceDN/>
        <w:adjustRightInd w:val="0"/>
        <w:snapToGrid w:val="0"/>
        <w:spacing w:after="200"/>
        <w:ind w:firstLine="1285"/>
        <w:jc w:val="center"/>
        <w:rPr>
          <w:rFonts w:ascii="Times New Roman" w:hAnsi="Times New Roman" w:cs="Times New Roman"/>
          <w:b/>
          <w:sz w:val="64"/>
          <w:szCs w:val="64"/>
          <w:lang w:val="en-US" w:bidi="ar-SA"/>
        </w:rPr>
      </w:pPr>
      <w:r>
        <w:rPr>
          <w:rFonts w:ascii="Times New Roman" w:hAnsi="Times New Roman" w:cs="Times New Roman"/>
          <w:b/>
          <w:sz w:val="64"/>
          <w:szCs w:val="64"/>
          <w:lang w:val="en-US" w:bidi="ar-SA"/>
        </w:rPr>
        <w:t>建设项目环境影响报告表</w:t>
      </w:r>
    </w:p>
    <w:p w14:paraId="1F6456CC">
      <w:pPr>
        <w:widowControl/>
        <w:autoSpaceDE/>
        <w:autoSpaceDN/>
        <w:adjustRightInd w:val="0"/>
        <w:snapToGrid w:val="0"/>
        <w:spacing w:after="200"/>
        <w:ind w:firstLine="562"/>
        <w:jc w:val="center"/>
        <w:rPr>
          <w:rFonts w:ascii="Times New Roman" w:hAnsi="Times New Roman" w:cs="Times New Roman"/>
          <w:b/>
          <w:sz w:val="28"/>
          <w:szCs w:val="28"/>
          <w:lang w:val="en-US" w:bidi="ar-SA"/>
        </w:rPr>
      </w:pPr>
      <w:r>
        <w:rPr>
          <w:rFonts w:ascii="Times New Roman" w:hAnsi="Times New Roman" w:cs="Times New Roman"/>
          <w:b/>
          <w:sz w:val="28"/>
          <w:szCs w:val="28"/>
          <w:lang w:val="en-US" w:bidi="ar-SA"/>
        </w:rPr>
        <w:t>（污染影响类）</w:t>
      </w:r>
    </w:p>
    <w:p w14:paraId="67628A2D">
      <w:pPr>
        <w:widowControl/>
        <w:autoSpaceDE/>
        <w:autoSpaceDN/>
        <w:adjustRightInd w:val="0"/>
        <w:snapToGrid w:val="0"/>
        <w:spacing w:after="200"/>
        <w:ind w:firstLine="562"/>
        <w:jc w:val="center"/>
        <w:rPr>
          <w:rFonts w:ascii="Times New Roman" w:hAnsi="Times New Roman" w:cs="Times New Roman"/>
          <w:b/>
          <w:sz w:val="28"/>
          <w:szCs w:val="28"/>
          <w:lang w:val="en-US" w:bidi="ar-SA"/>
        </w:rPr>
      </w:pPr>
      <w:r>
        <w:rPr>
          <w:rFonts w:ascii="Times New Roman" w:hAnsi="Times New Roman" w:cs="Times New Roman"/>
          <w:b/>
          <w:sz w:val="28"/>
          <w:szCs w:val="28"/>
          <w:lang w:val="en-US" w:bidi="ar-SA"/>
        </w:rPr>
        <w:t>（</w:t>
      </w:r>
      <w:r>
        <w:rPr>
          <w:rFonts w:hint="eastAsia" w:ascii="Times New Roman" w:hAnsi="Times New Roman" w:cs="Times New Roman"/>
          <w:b/>
          <w:sz w:val="28"/>
          <w:szCs w:val="28"/>
          <w:lang w:val="en-US" w:eastAsia="zh-CN" w:bidi="ar-SA"/>
        </w:rPr>
        <w:t>公示</w:t>
      </w:r>
      <w:r>
        <w:rPr>
          <w:rFonts w:hint="eastAsia" w:ascii="Times New Roman" w:hAnsi="Times New Roman" w:cs="Times New Roman"/>
          <w:b/>
          <w:sz w:val="28"/>
          <w:szCs w:val="28"/>
          <w:lang w:val="en-US" w:bidi="ar-SA"/>
        </w:rPr>
        <w:t>本</w:t>
      </w:r>
      <w:r>
        <w:rPr>
          <w:rFonts w:ascii="Times New Roman" w:hAnsi="Times New Roman" w:cs="Times New Roman"/>
          <w:b/>
          <w:sz w:val="28"/>
          <w:szCs w:val="28"/>
          <w:lang w:val="en-US" w:bidi="ar-SA"/>
        </w:rPr>
        <w:t>）</w:t>
      </w:r>
    </w:p>
    <w:p w14:paraId="4A5BD7C8">
      <w:pPr>
        <w:pStyle w:val="9"/>
        <w:ind w:firstLine="1240"/>
        <w:jc w:val="center"/>
        <w:rPr>
          <w:rFonts w:ascii="Times New Roman" w:hAnsi="Times New Roman" w:eastAsia="宋体"/>
          <w:sz w:val="62"/>
        </w:rPr>
      </w:pPr>
    </w:p>
    <w:p w14:paraId="40720207">
      <w:pPr>
        <w:pStyle w:val="9"/>
        <w:ind w:firstLine="1240"/>
        <w:jc w:val="center"/>
        <w:rPr>
          <w:rFonts w:ascii="Times New Roman" w:hAnsi="Times New Roman" w:eastAsia="宋体"/>
          <w:sz w:val="62"/>
        </w:rPr>
      </w:pPr>
    </w:p>
    <w:p w14:paraId="70C48F5F">
      <w:pPr>
        <w:pStyle w:val="9"/>
        <w:ind w:firstLine="1240"/>
        <w:jc w:val="center"/>
        <w:rPr>
          <w:rFonts w:ascii="Times New Roman" w:hAnsi="Times New Roman" w:eastAsia="宋体"/>
          <w:sz w:val="62"/>
        </w:rPr>
      </w:pPr>
    </w:p>
    <w:p w14:paraId="3FBD1EA1">
      <w:pPr>
        <w:pStyle w:val="9"/>
        <w:ind w:firstLine="1240"/>
        <w:jc w:val="center"/>
        <w:rPr>
          <w:rFonts w:ascii="Times New Roman" w:hAnsi="Times New Roman" w:eastAsia="宋体"/>
          <w:sz w:val="62"/>
        </w:rPr>
      </w:pPr>
    </w:p>
    <w:p w14:paraId="554CEEB6">
      <w:pPr>
        <w:spacing w:line="360" w:lineRule="auto"/>
        <w:ind w:left="1076" w:leftChars="489"/>
        <w:rPr>
          <w:rFonts w:ascii="Times New Roman" w:hAnsi="Times New Roman" w:cs="Times New Roman"/>
          <w:sz w:val="36"/>
          <w:szCs w:val="36"/>
          <w:lang w:val="en-US"/>
        </w:rPr>
      </w:pPr>
      <w:r>
        <w:rPr>
          <w:rFonts w:hint="eastAsia" w:ascii="Times New Roman" w:hAnsi="Times New Roman" w:cs="Times New Roman"/>
          <w:sz w:val="36"/>
          <w:szCs w:val="36"/>
          <w:lang w:val="en-US"/>
        </w:rPr>
        <w:t>项目名称：</w:t>
      </w:r>
      <w:r>
        <w:rPr>
          <w:rFonts w:hint="eastAsia" w:ascii="Times New Roman" w:hAnsi="Times New Roman" w:cs="Times New Roman"/>
          <w:sz w:val="36"/>
          <w:szCs w:val="36"/>
          <w:u w:val="single"/>
          <w:lang w:val="en-US"/>
        </w:rPr>
        <w:t xml:space="preserve">永福县人民医院业务综合楼新增建设项目、永福县人民医院公共卫生救治能力提升项目  </w:t>
      </w:r>
      <w:r>
        <w:rPr>
          <w:rFonts w:hint="eastAsia" w:ascii="Times New Roman" w:hAnsi="Times New Roman" w:cs="Times New Roman"/>
          <w:sz w:val="36"/>
          <w:szCs w:val="36"/>
          <w:lang w:val="en-US"/>
        </w:rPr>
        <w:t xml:space="preserve">    </w:t>
      </w:r>
    </w:p>
    <w:p w14:paraId="036EAF5C">
      <w:pPr>
        <w:spacing w:line="360" w:lineRule="auto"/>
        <w:ind w:firstLine="1080" w:firstLineChars="300"/>
        <w:rPr>
          <w:rFonts w:ascii="Times New Roman" w:hAnsi="Times New Roman" w:cs="Times New Roman"/>
          <w:sz w:val="36"/>
          <w:szCs w:val="36"/>
          <w:lang w:val="en-US"/>
        </w:rPr>
      </w:pPr>
      <w:r>
        <w:rPr>
          <w:rFonts w:hint="eastAsia" w:ascii="Times New Roman" w:hAnsi="Times New Roman" w:cs="Times New Roman"/>
          <w:sz w:val="36"/>
          <w:szCs w:val="36"/>
          <w:lang w:val="en-US"/>
        </w:rPr>
        <w:t>建设单位：</w:t>
      </w:r>
      <w:r>
        <w:rPr>
          <w:rFonts w:hint="eastAsia" w:ascii="Times New Roman" w:hAnsi="Times New Roman" w:cs="Times New Roman"/>
          <w:sz w:val="36"/>
          <w:szCs w:val="36"/>
          <w:u w:val="single"/>
          <w:lang w:val="en-US"/>
        </w:rPr>
        <w:t xml:space="preserve">        永福县人民医院            </w:t>
      </w:r>
      <w:r>
        <w:rPr>
          <w:rFonts w:hint="eastAsia" w:ascii="Times New Roman" w:hAnsi="Times New Roman" w:cs="Times New Roman"/>
          <w:sz w:val="36"/>
          <w:szCs w:val="36"/>
          <w:lang w:val="en-US"/>
        </w:rPr>
        <w:t xml:space="preserve">    </w:t>
      </w:r>
    </w:p>
    <w:p w14:paraId="484A1DD6">
      <w:pPr>
        <w:spacing w:line="360" w:lineRule="auto"/>
        <w:ind w:firstLine="1080" w:firstLineChars="300"/>
        <w:rPr>
          <w:rFonts w:ascii="Times New Roman" w:hAnsi="Times New Roman" w:cs="Times New Roman"/>
          <w:sz w:val="36"/>
          <w:szCs w:val="36"/>
          <w:lang w:val="en-US"/>
        </w:rPr>
      </w:pPr>
      <w:r>
        <w:rPr>
          <w:rFonts w:hint="eastAsia" w:ascii="Times New Roman" w:hAnsi="Times New Roman" w:cs="Times New Roman"/>
          <w:sz w:val="36"/>
          <w:szCs w:val="36"/>
          <w:lang w:val="en-US"/>
        </w:rPr>
        <w:t>编制日期：</w:t>
      </w:r>
      <w:r>
        <w:rPr>
          <w:rFonts w:hint="eastAsia" w:ascii="Times New Roman" w:hAnsi="Times New Roman" w:cs="Times New Roman"/>
          <w:sz w:val="36"/>
          <w:szCs w:val="36"/>
          <w:u w:val="single"/>
          <w:lang w:val="en-US"/>
        </w:rPr>
        <w:t xml:space="preserve">          2025年10月              </w:t>
      </w:r>
      <w:r>
        <w:rPr>
          <w:rFonts w:hint="eastAsia" w:ascii="Times New Roman" w:hAnsi="Times New Roman" w:cs="Times New Roman"/>
          <w:sz w:val="36"/>
          <w:szCs w:val="36"/>
          <w:lang w:val="en-US"/>
        </w:rPr>
        <w:t xml:space="preserve">   </w:t>
      </w:r>
    </w:p>
    <w:p w14:paraId="5E67642C">
      <w:pPr>
        <w:spacing w:before="183"/>
        <w:ind w:left="635" w:right="654" w:firstLine="720"/>
        <w:jc w:val="center"/>
        <w:rPr>
          <w:rFonts w:ascii="Times New Roman" w:hAnsi="Times New Roman"/>
          <w:sz w:val="36"/>
        </w:rPr>
      </w:pPr>
    </w:p>
    <w:p w14:paraId="3F7AC620">
      <w:pPr>
        <w:spacing w:before="183"/>
        <w:ind w:left="635" w:right="654" w:firstLine="720"/>
        <w:jc w:val="center"/>
        <w:rPr>
          <w:rFonts w:ascii="Times New Roman" w:hAnsi="Times New Roman"/>
          <w:sz w:val="36"/>
        </w:rPr>
      </w:pPr>
    </w:p>
    <w:p w14:paraId="640F80CE">
      <w:pPr>
        <w:spacing w:before="183"/>
        <w:ind w:right="654" w:firstLine="720"/>
        <w:rPr>
          <w:rFonts w:ascii="Times New Roman" w:hAnsi="Times New Roman"/>
          <w:sz w:val="36"/>
        </w:rPr>
      </w:pPr>
    </w:p>
    <w:p w14:paraId="41CD4E1B">
      <w:pPr>
        <w:pStyle w:val="5"/>
        <w:rPr>
          <w:sz w:val="36"/>
        </w:rPr>
      </w:pPr>
    </w:p>
    <w:p w14:paraId="7C3A3187">
      <w:pPr>
        <w:rPr>
          <w:rFonts w:ascii="Times New Roman" w:hAnsi="Times New Roman"/>
          <w:sz w:val="36"/>
        </w:rPr>
      </w:pPr>
    </w:p>
    <w:p w14:paraId="5F8B126F">
      <w:pPr>
        <w:pStyle w:val="5"/>
        <w:rPr>
          <w:sz w:val="36"/>
        </w:rPr>
      </w:pPr>
    </w:p>
    <w:p w14:paraId="754F190B">
      <w:pPr>
        <w:rPr>
          <w:rFonts w:hint="eastAsia"/>
        </w:rPr>
      </w:pPr>
    </w:p>
    <w:p w14:paraId="7680AA56">
      <w:pPr>
        <w:spacing w:before="183"/>
        <w:ind w:left="635" w:right="654" w:firstLine="720"/>
        <w:jc w:val="center"/>
        <w:rPr>
          <w:rFonts w:ascii="Times New Roman" w:hAnsi="Times New Roman"/>
          <w:sz w:val="36"/>
        </w:rPr>
      </w:pPr>
      <w:r>
        <w:rPr>
          <w:rFonts w:hint="eastAsia" w:ascii="Times New Roman" w:hAnsi="Times New Roman"/>
          <w:sz w:val="36"/>
        </w:rPr>
        <w:t>中华人民共和国生态环境部制</w:t>
      </w:r>
    </w:p>
    <w:p w14:paraId="4113A273">
      <w:pPr>
        <w:ind w:firstLine="720"/>
        <w:rPr>
          <w:rFonts w:ascii="Times New Roman" w:hAnsi="Times New Roman"/>
          <w:sz w:val="36"/>
        </w:rPr>
        <w:sectPr>
          <w:footerReference r:id="rId3" w:type="default"/>
          <w:footerReference r:id="rId4" w:type="even"/>
          <w:pgSz w:w="11910" w:h="16840"/>
          <w:pgMar w:top="1580" w:right="1320" w:bottom="1240" w:left="1340" w:header="0" w:footer="1043" w:gutter="0"/>
          <w:cols w:space="720" w:num="1"/>
        </w:sectPr>
      </w:pPr>
    </w:p>
    <w:sdt>
      <w:sdtPr>
        <w:rPr>
          <w:rFonts w:ascii="Times New Roman" w:hAnsi="Times New Roman" w:eastAsia="宋体" w:cs="宋体"/>
          <w:b w:val="0"/>
          <w:bCs w:val="0"/>
          <w:color w:val="auto"/>
          <w:sz w:val="22"/>
          <w:szCs w:val="22"/>
          <w:lang w:val="zh-CN" w:bidi="zh-CN"/>
        </w:rPr>
        <w:id w:val="8073094"/>
        <w:docPartObj>
          <w:docPartGallery w:val="Table of Contents"/>
          <w:docPartUnique/>
        </w:docPartObj>
      </w:sdtPr>
      <w:sdtEndPr>
        <w:rPr>
          <w:rFonts w:ascii="Times New Roman" w:hAnsi="Times New Roman" w:eastAsia="宋体" w:cs="宋体"/>
          <w:b w:val="0"/>
          <w:bCs w:val="0"/>
          <w:color w:val="auto"/>
          <w:sz w:val="22"/>
          <w:szCs w:val="22"/>
          <w:lang w:val="zh-CN" w:bidi="zh-CN"/>
        </w:rPr>
      </w:sdtEndPr>
      <w:sdtContent>
        <w:p w14:paraId="22BC2CAE">
          <w:pPr>
            <w:pStyle w:val="59"/>
            <w:spacing w:before="0" w:line="360" w:lineRule="auto"/>
            <w:ind w:firstLine="440"/>
            <w:jc w:val="center"/>
            <w:rPr>
              <w:rFonts w:ascii="Times New Roman" w:hAnsi="Times New Roman" w:eastAsia="宋体"/>
              <w:color w:val="auto"/>
              <w:sz w:val="24"/>
              <w:szCs w:val="24"/>
            </w:rPr>
          </w:pPr>
          <w:bookmarkStart w:id="0" w:name="_Toc16962"/>
          <w:bookmarkStart w:id="1" w:name="_Toc21975"/>
          <w:r>
            <w:rPr>
              <w:rFonts w:ascii="Times New Roman" w:hAnsi="Times New Roman" w:eastAsia="宋体"/>
              <w:color w:val="auto"/>
              <w:lang w:val="zh-CN"/>
            </w:rPr>
            <w:t>目录</w:t>
          </w:r>
        </w:p>
        <w:p w14:paraId="280AC948">
          <w:pPr>
            <w:pStyle w:val="15"/>
            <w:tabs>
              <w:tab w:val="right" w:leader="dot" w:pos="9250"/>
            </w:tabs>
            <w:spacing w:line="460" w:lineRule="exact"/>
            <w:rPr>
              <w:rFonts w:ascii="Times New Roman" w:hAnsi="Times New Roman" w:cs="Times New Roman"/>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TOC \o "1-3" \h \z \u </w:instrText>
          </w:r>
          <w:r>
            <w:rPr>
              <w:rFonts w:ascii="Times New Roman" w:hAnsi="Times New Roman"/>
              <w:b/>
              <w:bCs/>
              <w:sz w:val="24"/>
              <w:szCs w:val="24"/>
            </w:rPr>
            <w:fldChar w:fldCharType="separate"/>
          </w:r>
          <w:r>
            <w:fldChar w:fldCharType="begin"/>
          </w:r>
          <w:r>
            <w:instrText xml:space="preserve"> HYPERLINK \l "_Toc7012" </w:instrText>
          </w:r>
          <w:r>
            <w:fldChar w:fldCharType="separate"/>
          </w:r>
          <w:r>
            <w:rPr>
              <w:rFonts w:ascii="Times New Roman" w:hAnsi="Times New Roman" w:cs="Times New Roman"/>
              <w:b/>
              <w:bCs/>
              <w:sz w:val="24"/>
              <w:szCs w:val="24"/>
            </w:rPr>
            <w:t>一、建设项目基本情况</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_Toc7012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40D8A03B">
          <w:pPr>
            <w:pStyle w:val="15"/>
            <w:tabs>
              <w:tab w:val="right" w:leader="dot" w:pos="9250"/>
            </w:tabs>
            <w:spacing w:line="460" w:lineRule="exact"/>
            <w:rPr>
              <w:rFonts w:ascii="Times New Roman" w:hAnsi="Times New Roman" w:cs="Times New Roman"/>
              <w:b/>
              <w:bCs/>
              <w:sz w:val="24"/>
              <w:szCs w:val="24"/>
            </w:rPr>
          </w:pPr>
          <w:r>
            <w:fldChar w:fldCharType="begin"/>
          </w:r>
          <w:r>
            <w:instrText xml:space="preserve"> HYPERLINK \l "_Toc22778" </w:instrText>
          </w:r>
          <w:r>
            <w:fldChar w:fldCharType="separate"/>
          </w:r>
          <w:r>
            <w:rPr>
              <w:rFonts w:ascii="Times New Roman" w:hAnsi="Times New Roman" w:cs="Times New Roman"/>
              <w:b/>
              <w:bCs/>
              <w:sz w:val="24"/>
              <w:szCs w:val="24"/>
            </w:rPr>
            <w:t>二、建设项目工程分析</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_Toc22778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6</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5187BF70">
          <w:pPr>
            <w:pStyle w:val="15"/>
            <w:tabs>
              <w:tab w:val="right" w:leader="dot" w:pos="9250"/>
            </w:tabs>
            <w:spacing w:line="460" w:lineRule="exact"/>
            <w:rPr>
              <w:rFonts w:ascii="Times New Roman" w:hAnsi="Times New Roman" w:cs="Times New Roman"/>
              <w:b/>
              <w:bCs/>
              <w:sz w:val="24"/>
              <w:szCs w:val="24"/>
            </w:rPr>
          </w:pPr>
          <w:r>
            <w:fldChar w:fldCharType="begin"/>
          </w:r>
          <w:r>
            <w:instrText xml:space="preserve"> HYPERLINK \l "_Toc4121" </w:instrText>
          </w:r>
          <w:r>
            <w:fldChar w:fldCharType="separate"/>
          </w:r>
          <w:r>
            <w:rPr>
              <w:rFonts w:ascii="Times New Roman" w:hAnsi="Times New Roman" w:cs="Times New Roman"/>
              <w:b/>
              <w:bCs/>
              <w:sz w:val="24"/>
              <w:szCs w:val="24"/>
            </w:rPr>
            <w:t>三、区域环境质量现状、环境保护目标及评价标准</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_Toc4121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17</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5FC81AE1">
          <w:pPr>
            <w:pStyle w:val="15"/>
            <w:tabs>
              <w:tab w:val="right" w:leader="dot" w:pos="9250"/>
            </w:tabs>
            <w:spacing w:line="460" w:lineRule="exact"/>
            <w:rPr>
              <w:rFonts w:ascii="Times New Roman" w:hAnsi="Times New Roman" w:cs="Times New Roman"/>
              <w:b/>
              <w:bCs/>
              <w:sz w:val="24"/>
              <w:szCs w:val="24"/>
            </w:rPr>
          </w:pPr>
          <w:r>
            <w:fldChar w:fldCharType="begin"/>
          </w:r>
          <w:r>
            <w:instrText xml:space="preserve"> HYPERLINK \l "_Toc20357" </w:instrText>
          </w:r>
          <w:r>
            <w:fldChar w:fldCharType="separate"/>
          </w:r>
          <w:r>
            <w:rPr>
              <w:rFonts w:ascii="Times New Roman" w:hAnsi="Times New Roman" w:cs="Times New Roman"/>
              <w:b/>
              <w:bCs/>
              <w:sz w:val="24"/>
              <w:szCs w:val="24"/>
            </w:rPr>
            <w:t>四、主要环境影响和保护措施</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_Toc20357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32</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1ABC18DC">
          <w:pPr>
            <w:pStyle w:val="15"/>
            <w:tabs>
              <w:tab w:val="right" w:leader="dot" w:pos="9250"/>
            </w:tabs>
            <w:spacing w:line="460" w:lineRule="exact"/>
            <w:rPr>
              <w:rFonts w:ascii="Times New Roman" w:hAnsi="Times New Roman" w:cs="Times New Roman"/>
              <w:b/>
              <w:bCs/>
              <w:sz w:val="24"/>
              <w:szCs w:val="24"/>
            </w:rPr>
          </w:pPr>
          <w:r>
            <w:fldChar w:fldCharType="begin"/>
          </w:r>
          <w:r>
            <w:instrText xml:space="preserve"> HYPERLINK \l "_Toc1430" </w:instrText>
          </w:r>
          <w:r>
            <w:fldChar w:fldCharType="separate"/>
          </w:r>
          <w:r>
            <w:rPr>
              <w:rFonts w:ascii="Times New Roman" w:hAnsi="Times New Roman" w:cs="Times New Roman"/>
              <w:b/>
              <w:bCs/>
              <w:sz w:val="24"/>
              <w:szCs w:val="24"/>
              <w:lang w:val="en-US"/>
            </w:rPr>
            <w:t>五、环境保护措施监督检查清单</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_Toc1430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36</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3D1271B6">
          <w:pPr>
            <w:pStyle w:val="15"/>
            <w:tabs>
              <w:tab w:val="right" w:leader="dot" w:pos="9250"/>
            </w:tabs>
            <w:spacing w:line="460" w:lineRule="exact"/>
            <w:rPr>
              <w:rFonts w:hint="eastAsia"/>
              <w:b/>
              <w:bCs/>
            </w:rPr>
          </w:pPr>
          <w:r>
            <w:fldChar w:fldCharType="begin"/>
          </w:r>
          <w:r>
            <w:instrText xml:space="preserve"> HYPERLINK \l "_Toc24149" </w:instrText>
          </w:r>
          <w:r>
            <w:fldChar w:fldCharType="separate"/>
          </w:r>
          <w:r>
            <w:rPr>
              <w:rFonts w:ascii="Times New Roman" w:hAnsi="Times New Roman" w:cs="Times New Roman"/>
              <w:b/>
              <w:bCs/>
              <w:sz w:val="24"/>
              <w:szCs w:val="24"/>
            </w:rPr>
            <w:t>六、结论</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_Toc24149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58</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07A11907">
          <w:pPr>
            <w:spacing w:line="460" w:lineRule="exact"/>
            <w:rPr>
              <w:rFonts w:hint="eastAsia"/>
            </w:rPr>
          </w:pPr>
          <w:r>
            <w:rPr>
              <w:rFonts w:ascii="Times New Roman" w:hAnsi="Times New Roman"/>
              <w:b/>
              <w:bCs/>
              <w:szCs w:val="24"/>
            </w:rPr>
            <w:fldChar w:fldCharType="end"/>
          </w:r>
        </w:p>
      </w:sdtContent>
    </w:sdt>
    <w:p w14:paraId="443E8A94">
      <w:pPr>
        <w:pStyle w:val="2"/>
        <w:ind w:left="0" w:right="0"/>
        <w:jc w:val="both"/>
        <w:rPr>
          <w:rFonts w:ascii="Times New Roman" w:hAnsi="Times New Roman" w:eastAsia="宋体" w:cs="Times New Roman"/>
          <w:b/>
          <w:bCs/>
          <w:sz w:val="30"/>
          <w:szCs w:val="30"/>
        </w:rPr>
      </w:pPr>
      <w:bookmarkStart w:id="2" w:name="_Toc7012"/>
    </w:p>
    <w:p w14:paraId="2E5737B1">
      <w:pPr>
        <w:pStyle w:val="2"/>
        <w:ind w:left="0" w:right="0" w:firstLine="602"/>
        <w:rPr>
          <w:rFonts w:ascii="Times New Roman" w:hAnsi="Times New Roman" w:eastAsia="宋体" w:cs="Times New Roman"/>
          <w:b/>
          <w:bCs/>
          <w:sz w:val="30"/>
          <w:szCs w:val="30"/>
        </w:rPr>
        <w:sectPr>
          <w:footerReference r:id="rId5" w:type="default"/>
          <w:footerReference r:id="rId6" w:type="even"/>
          <w:pgSz w:w="11910" w:h="16840"/>
          <w:pgMar w:top="1580" w:right="1320" w:bottom="1240" w:left="1340" w:header="0" w:footer="1043" w:gutter="0"/>
          <w:pgNumType w:start="1"/>
          <w:cols w:space="720" w:num="1"/>
        </w:sectPr>
      </w:pPr>
    </w:p>
    <w:p w14:paraId="630058AA">
      <w:pPr>
        <w:pStyle w:val="2"/>
        <w:ind w:left="0" w:right="0" w:firstLine="602"/>
        <w:rPr>
          <w:rFonts w:ascii="Times New Roman" w:hAnsi="Times New Roman" w:eastAsia="宋体" w:cs="Times New Roman"/>
        </w:rPr>
      </w:pPr>
      <w:r>
        <w:rPr>
          <w:rFonts w:ascii="Times New Roman" w:hAnsi="Times New Roman" w:eastAsia="宋体" w:cs="Times New Roman"/>
          <w:b/>
          <w:bCs/>
          <w:sz w:val="30"/>
          <w:szCs w:val="30"/>
        </w:rPr>
        <w:t>一、建设项目基本情况</w:t>
      </w:r>
      <w:bookmarkEnd w:id="0"/>
      <w:bookmarkEnd w:id="1"/>
      <w:bookmarkEnd w:id="2"/>
    </w:p>
    <w:tbl>
      <w:tblPr>
        <w:tblStyle w:val="27"/>
        <w:tblW w:w="5114"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13"/>
        <w:gridCol w:w="2656"/>
        <w:gridCol w:w="2281"/>
        <w:gridCol w:w="2831"/>
      </w:tblGrid>
      <w:tr w14:paraId="6E38C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903" w:type="pct"/>
            <w:tcBorders>
              <w:bottom w:val="single" w:color="000000" w:sz="4" w:space="0"/>
              <w:right w:val="single" w:color="000000" w:sz="4" w:space="0"/>
            </w:tcBorders>
            <w:vAlign w:val="center"/>
          </w:tcPr>
          <w:p w14:paraId="1F566A05">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建设项目名称</w:t>
            </w:r>
          </w:p>
        </w:tc>
        <w:tc>
          <w:tcPr>
            <w:tcW w:w="4096" w:type="pct"/>
            <w:gridSpan w:val="3"/>
            <w:tcBorders>
              <w:left w:val="single" w:color="000000" w:sz="4" w:space="0"/>
              <w:bottom w:val="single" w:color="000000" w:sz="4" w:space="0"/>
            </w:tcBorders>
            <w:vAlign w:val="center"/>
          </w:tcPr>
          <w:p w14:paraId="512E09BF">
            <w:pPr>
              <w:pStyle w:val="40"/>
              <w:jc w:val="center"/>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永福县人民医院业务综合楼新增建设项目、永福县人民医院公共卫生救治能力提升项目</w:t>
            </w:r>
          </w:p>
        </w:tc>
      </w:tr>
      <w:tr w14:paraId="4CF62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3" w:type="pct"/>
            <w:tcBorders>
              <w:top w:val="single" w:color="000000" w:sz="4" w:space="0"/>
              <w:bottom w:val="single" w:color="000000" w:sz="4" w:space="0"/>
              <w:right w:val="single" w:color="000000" w:sz="4" w:space="0"/>
            </w:tcBorders>
            <w:vAlign w:val="center"/>
          </w:tcPr>
          <w:p w14:paraId="140E6FEA">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项目代码</w:t>
            </w:r>
          </w:p>
        </w:tc>
        <w:tc>
          <w:tcPr>
            <w:tcW w:w="4096" w:type="pct"/>
            <w:gridSpan w:val="3"/>
            <w:tcBorders>
              <w:top w:val="single" w:color="000000" w:sz="4" w:space="0"/>
              <w:left w:val="single" w:color="000000" w:sz="4" w:space="0"/>
              <w:bottom w:val="single" w:color="000000" w:sz="4" w:space="0"/>
            </w:tcBorders>
            <w:vAlign w:val="center"/>
          </w:tcPr>
          <w:p w14:paraId="08E82593">
            <w:pPr>
              <w:pStyle w:val="40"/>
              <w:jc w:val="center"/>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2020-450300-84-01-027150</w:t>
            </w:r>
          </w:p>
        </w:tc>
      </w:tr>
      <w:tr w14:paraId="043E1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3" w:type="pct"/>
            <w:tcBorders>
              <w:top w:val="single" w:color="000000" w:sz="4" w:space="0"/>
              <w:bottom w:val="single" w:color="000000" w:sz="4" w:space="0"/>
              <w:right w:val="single" w:color="000000" w:sz="4" w:space="0"/>
            </w:tcBorders>
            <w:vAlign w:val="center"/>
          </w:tcPr>
          <w:p w14:paraId="1A9F4CAE">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建设单位联系人</w:t>
            </w:r>
          </w:p>
        </w:tc>
        <w:tc>
          <w:tcPr>
            <w:tcW w:w="1400" w:type="pct"/>
            <w:tcBorders>
              <w:top w:val="single" w:color="000000" w:sz="4" w:space="0"/>
              <w:left w:val="single" w:color="000000" w:sz="4" w:space="0"/>
              <w:bottom w:val="single" w:color="000000" w:sz="4" w:space="0"/>
              <w:right w:val="single" w:color="000000" w:sz="4" w:space="0"/>
            </w:tcBorders>
            <w:vAlign w:val="center"/>
          </w:tcPr>
          <w:p w14:paraId="6C4D7724">
            <w:pPr>
              <w:pStyle w:val="40"/>
              <w:jc w:val="center"/>
              <w:rPr>
                <w:rFonts w:hint="default" w:ascii="Times New Roman" w:hAnsi="Times New Roman" w:eastAsia="宋体" w:cs="Times New Roman"/>
                <w:color w:val="000000" w:themeColor="text1"/>
                <w:sz w:val="24"/>
                <w:szCs w:val="24"/>
                <w:lang w:val="en-US" w:eastAsia="zh-CN"/>
              </w:rPr>
            </w:pPr>
            <w:r>
              <w:rPr>
                <w:rFonts w:hint="eastAsia" w:ascii="Times New Roman" w:hAnsi="Times New Roman" w:cs="Times New Roman"/>
                <w:color w:val="000000" w:themeColor="text1"/>
                <w:sz w:val="24"/>
                <w:szCs w:val="24"/>
                <w:lang w:val="en-US" w:eastAsia="zh-CN"/>
              </w:rPr>
              <w:t>***</w:t>
            </w:r>
          </w:p>
        </w:tc>
        <w:tc>
          <w:tcPr>
            <w:tcW w:w="1203" w:type="pct"/>
            <w:tcBorders>
              <w:top w:val="single" w:color="000000" w:sz="4" w:space="0"/>
              <w:left w:val="single" w:color="000000" w:sz="4" w:space="0"/>
              <w:bottom w:val="single" w:color="000000" w:sz="4" w:space="0"/>
              <w:right w:val="single" w:color="000000" w:sz="4" w:space="0"/>
            </w:tcBorders>
            <w:vAlign w:val="center"/>
          </w:tcPr>
          <w:p w14:paraId="72E0884D">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联系方式</w:t>
            </w:r>
          </w:p>
        </w:tc>
        <w:tc>
          <w:tcPr>
            <w:tcW w:w="1491" w:type="pct"/>
            <w:tcBorders>
              <w:top w:val="single" w:color="000000" w:sz="4" w:space="0"/>
              <w:left w:val="single" w:color="000000" w:sz="4" w:space="0"/>
              <w:bottom w:val="single" w:color="000000" w:sz="4" w:space="0"/>
            </w:tcBorders>
            <w:vAlign w:val="center"/>
          </w:tcPr>
          <w:p w14:paraId="2AD9E54A">
            <w:pPr>
              <w:pStyle w:val="40"/>
              <w:jc w:val="center"/>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eastAsia="zh-CN"/>
              </w:rPr>
              <w:t>***</w:t>
            </w:r>
          </w:p>
        </w:tc>
      </w:tr>
      <w:tr w14:paraId="700EB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3" w:type="pct"/>
            <w:tcBorders>
              <w:top w:val="single" w:color="000000" w:sz="4" w:space="0"/>
              <w:bottom w:val="single" w:color="000000" w:sz="4" w:space="0"/>
              <w:right w:val="single" w:color="000000" w:sz="4" w:space="0"/>
            </w:tcBorders>
            <w:vAlign w:val="center"/>
          </w:tcPr>
          <w:p w14:paraId="5C05A5E2">
            <w:pPr>
              <w:pStyle w:val="40"/>
              <w:jc w:val="center"/>
              <w:rPr>
                <w:rFonts w:ascii="Times New Roman" w:hAnsi="Times New Roman"/>
                <w:color w:val="000000" w:themeColor="text1"/>
                <w:sz w:val="24"/>
              </w:rPr>
            </w:pPr>
            <w:r>
              <w:rPr>
                <w:rFonts w:hint="eastAsia" w:ascii="Times New Roman" w:hAnsi="Times New Roman"/>
                <w:color w:val="000000" w:themeColor="text1"/>
                <w:sz w:val="24"/>
              </w:rPr>
              <w:t>建设地点</w:t>
            </w:r>
          </w:p>
        </w:tc>
        <w:tc>
          <w:tcPr>
            <w:tcW w:w="4096" w:type="pct"/>
            <w:gridSpan w:val="3"/>
            <w:tcBorders>
              <w:top w:val="single" w:color="000000" w:sz="4" w:space="0"/>
              <w:left w:val="single" w:color="000000" w:sz="4" w:space="0"/>
              <w:bottom w:val="single" w:color="000000" w:sz="4" w:space="0"/>
            </w:tcBorders>
            <w:vAlign w:val="center"/>
          </w:tcPr>
          <w:p w14:paraId="5FB9A57E">
            <w:pPr>
              <w:pStyle w:val="40"/>
              <w:jc w:val="center"/>
              <w:rPr>
                <w:rFonts w:ascii="Times New Roman" w:hAnsi="Times New Roman"/>
                <w:color w:val="000000" w:themeColor="text1"/>
                <w:sz w:val="24"/>
                <w:lang w:val="en-US"/>
              </w:rPr>
            </w:pPr>
            <w:r>
              <w:rPr>
                <w:rFonts w:hint="eastAsia" w:ascii="Times New Roman" w:hAnsi="Times New Roman"/>
                <w:color w:val="000000" w:themeColor="text1"/>
                <w:sz w:val="24"/>
                <w:lang w:val="en-US"/>
              </w:rPr>
              <w:t>广西壮族自治区桂林市永福县永福镇迎宾路132号永福县人民医院内</w:t>
            </w:r>
          </w:p>
        </w:tc>
      </w:tr>
      <w:tr w14:paraId="779C5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3" w:type="pct"/>
            <w:tcBorders>
              <w:top w:val="single" w:color="000000" w:sz="4" w:space="0"/>
              <w:bottom w:val="single" w:color="000000" w:sz="4" w:space="0"/>
              <w:right w:val="single" w:color="000000" w:sz="4" w:space="0"/>
            </w:tcBorders>
            <w:vAlign w:val="center"/>
          </w:tcPr>
          <w:p w14:paraId="007C1821">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地理坐标</w:t>
            </w:r>
          </w:p>
        </w:tc>
        <w:tc>
          <w:tcPr>
            <w:tcW w:w="4096" w:type="pct"/>
            <w:gridSpan w:val="3"/>
            <w:tcBorders>
              <w:top w:val="single" w:color="000000" w:sz="4" w:space="0"/>
              <w:left w:val="single" w:color="000000" w:sz="4" w:space="0"/>
              <w:bottom w:val="single" w:color="000000" w:sz="4" w:space="0"/>
            </w:tcBorders>
            <w:vAlign w:val="center"/>
          </w:tcPr>
          <w:p w14:paraId="33B6670E">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109°59′41.398″，24°59′49.017″</w:t>
            </w:r>
          </w:p>
        </w:tc>
      </w:tr>
      <w:tr w14:paraId="24566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3" w:type="pct"/>
            <w:tcBorders>
              <w:top w:val="single" w:color="000000" w:sz="4" w:space="0"/>
              <w:bottom w:val="single" w:color="000000" w:sz="4" w:space="0"/>
              <w:right w:val="single" w:color="000000" w:sz="4" w:space="0"/>
            </w:tcBorders>
            <w:vAlign w:val="center"/>
          </w:tcPr>
          <w:p w14:paraId="4502C7D0">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国民经济</w:t>
            </w:r>
          </w:p>
          <w:p w14:paraId="16B85D24">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行业类别</w:t>
            </w:r>
          </w:p>
        </w:tc>
        <w:tc>
          <w:tcPr>
            <w:tcW w:w="1400" w:type="pct"/>
            <w:tcBorders>
              <w:top w:val="single" w:color="000000" w:sz="4" w:space="0"/>
              <w:left w:val="single" w:color="000000" w:sz="4" w:space="0"/>
              <w:bottom w:val="single" w:color="000000" w:sz="4" w:space="0"/>
              <w:right w:val="single" w:color="000000" w:sz="4" w:space="0"/>
            </w:tcBorders>
            <w:vAlign w:val="center"/>
          </w:tcPr>
          <w:p w14:paraId="39D9FB1B">
            <w:pPr>
              <w:pStyle w:val="40"/>
              <w:jc w:val="center"/>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Q8411综合医院</w:t>
            </w:r>
          </w:p>
        </w:tc>
        <w:tc>
          <w:tcPr>
            <w:tcW w:w="1203" w:type="pct"/>
            <w:tcBorders>
              <w:top w:val="single" w:color="000000" w:sz="4" w:space="0"/>
              <w:left w:val="single" w:color="000000" w:sz="4" w:space="0"/>
              <w:bottom w:val="single" w:color="000000" w:sz="4" w:space="0"/>
              <w:right w:val="single" w:color="000000" w:sz="4" w:space="0"/>
            </w:tcBorders>
            <w:vAlign w:val="center"/>
          </w:tcPr>
          <w:p w14:paraId="7A830A28">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建设项目行业类别</w:t>
            </w:r>
          </w:p>
        </w:tc>
        <w:tc>
          <w:tcPr>
            <w:tcW w:w="1491" w:type="pct"/>
            <w:tcBorders>
              <w:top w:val="single" w:color="000000" w:sz="4" w:space="0"/>
              <w:left w:val="single" w:color="000000" w:sz="4" w:space="0"/>
              <w:bottom w:val="single" w:color="000000" w:sz="4" w:space="0"/>
            </w:tcBorders>
            <w:vAlign w:val="center"/>
          </w:tcPr>
          <w:p w14:paraId="10298816">
            <w:pPr>
              <w:pStyle w:val="40"/>
              <w:jc w:val="center"/>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108、医院（841）</w:t>
            </w:r>
          </w:p>
        </w:tc>
      </w:tr>
      <w:tr w14:paraId="52774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4" w:hRule="atLeast"/>
        </w:trPr>
        <w:tc>
          <w:tcPr>
            <w:tcW w:w="903" w:type="pct"/>
            <w:tcBorders>
              <w:top w:val="single" w:color="000000" w:sz="4" w:space="0"/>
              <w:bottom w:val="single" w:color="000000" w:sz="4" w:space="0"/>
              <w:right w:val="single" w:color="000000" w:sz="4" w:space="0"/>
            </w:tcBorders>
            <w:vAlign w:val="center"/>
          </w:tcPr>
          <w:p w14:paraId="21FA3633">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建设性质</w:t>
            </w:r>
          </w:p>
        </w:tc>
        <w:tc>
          <w:tcPr>
            <w:tcW w:w="1400" w:type="pct"/>
            <w:tcBorders>
              <w:top w:val="single" w:color="000000" w:sz="4" w:space="0"/>
              <w:left w:val="single" w:color="000000" w:sz="4" w:space="0"/>
              <w:bottom w:val="single" w:color="000000" w:sz="4" w:space="0"/>
              <w:right w:val="single" w:color="000000" w:sz="4" w:space="0"/>
            </w:tcBorders>
            <w:vAlign w:val="center"/>
          </w:tcPr>
          <w:p w14:paraId="16FE0059">
            <w:pPr>
              <w:pStyle w:val="40"/>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w:t>
            </w:r>
            <w:r>
              <w:rPr>
                <w:rFonts w:ascii="Times New Roman" w:hAnsi="Times New Roman" w:cs="Times New Roman"/>
                <w:color w:val="000000" w:themeColor="text1"/>
                <w:sz w:val="24"/>
                <w:szCs w:val="24"/>
              </w:rPr>
              <w:t>新建（迁建）</w:t>
            </w:r>
          </w:p>
          <w:p w14:paraId="29600431">
            <w:pPr>
              <w:pStyle w:val="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pacing w:val="-1"/>
                <w:sz w:val="24"/>
                <w:szCs w:val="24"/>
              </w:rPr>
              <w:t>改建</w:t>
            </w:r>
          </w:p>
          <w:p w14:paraId="638D8592">
            <w:pPr>
              <w:pStyle w:val="40"/>
              <w:jc w:val="both"/>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w:t>
            </w:r>
            <w:r>
              <w:rPr>
                <w:rFonts w:ascii="Times New Roman" w:hAnsi="Times New Roman" w:cs="Times New Roman"/>
                <w:color w:val="000000" w:themeColor="text1"/>
                <w:spacing w:val="-1"/>
                <w:sz w:val="24"/>
                <w:szCs w:val="24"/>
              </w:rPr>
              <w:t>扩建</w:t>
            </w:r>
          </w:p>
          <w:p w14:paraId="474A0D9A">
            <w:pPr>
              <w:pStyle w:val="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□技术改造</w:t>
            </w:r>
          </w:p>
        </w:tc>
        <w:tc>
          <w:tcPr>
            <w:tcW w:w="1203" w:type="pct"/>
            <w:tcBorders>
              <w:top w:val="single" w:color="000000" w:sz="4" w:space="0"/>
              <w:left w:val="single" w:color="000000" w:sz="4" w:space="0"/>
              <w:bottom w:val="single" w:color="000000" w:sz="4" w:space="0"/>
              <w:right w:val="single" w:color="000000" w:sz="4" w:space="0"/>
            </w:tcBorders>
            <w:vAlign w:val="center"/>
          </w:tcPr>
          <w:p w14:paraId="7EF8A56F">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建设项目申报情形</w:t>
            </w:r>
          </w:p>
        </w:tc>
        <w:tc>
          <w:tcPr>
            <w:tcW w:w="1491" w:type="pct"/>
            <w:tcBorders>
              <w:top w:val="single" w:color="000000" w:sz="4" w:space="0"/>
              <w:left w:val="single" w:color="000000" w:sz="4" w:space="0"/>
              <w:bottom w:val="single" w:color="000000" w:sz="4" w:space="0"/>
            </w:tcBorders>
            <w:vAlign w:val="center"/>
          </w:tcPr>
          <w:p w14:paraId="23EF8105">
            <w:pPr>
              <w:pStyle w:val="40"/>
              <w:tabs>
                <w:tab w:val="left" w:pos="200"/>
              </w:tabs>
              <w:jc w:val="both"/>
              <w:rPr>
                <w:rFonts w:ascii="Times New Roman" w:hAnsi="Times New Roman" w:cs="Times New Roman"/>
                <w:color w:val="000000" w:themeColor="text1"/>
                <w:sz w:val="24"/>
                <w:szCs w:val="24"/>
              </w:rPr>
            </w:pPr>
            <w:r>
              <w:rPr>
                <w:rFonts w:hint="eastAsia" w:ascii="Segoe UI Symbol" w:hAnsi="Segoe UI Symbol" w:cs="Segoe UI Symbol"/>
                <w:color w:val="000000" w:themeColor="text1"/>
                <w:spacing w:val="-3"/>
                <w:sz w:val="24"/>
                <w:szCs w:val="24"/>
                <w:lang w:val="en-US"/>
              </w:rPr>
              <w:t>☑</w:t>
            </w:r>
            <w:r>
              <w:rPr>
                <w:rFonts w:ascii="Times New Roman" w:hAnsi="Times New Roman" w:cs="Times New Roman"/>
                <w:color w:val="000000" w:themeColor="text1"/>
                <w:spacing w:val="-3"/>
                <w:sz w:val="24"/>
                <w:szCs w:val="24"/>
              </w:rPr>
              <w:t>首次申报项目</w:t>
            </w:r>
          </w:p>
          <w:p w14:paraId="363573A9">
            <w:pPr>
              <w:pStyle w:val="40"/>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3"/>
                <w:sz w:val="24"/>
                <w:szCs w:val="24"/>
              </w:rPr>
              <w:sym w:font="Wingdings 2" w:char="00A3"/>
            </w:r>
            <w:r>
              <w:rPr>
                <w:rFonts w:ascii="Times New Roman" w:hAnsi="Times New Roman" w:cs="Times New Roman"/>
                <w:color w:val="000000" w:themeColor="text1"/>
                <w:spacing w:val="-3"/>
                <w:sz w:val="24"/>
                <w:szCs w:val="24"/>
              </w:rPr>
              <w:t>不予批准后再次申报项目</w:t>
            </w:r>
          </w:p>
          <w:p w14:paraId="3BA2E1E0">
            <w:pPr>
              <w:pStyle w:val="40"/>
              <w:tabs>
                <w:tab w:val="left" w:pos="20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3"/>
                <w:sz w:val="24"/>
                <w:szCs w:val="24"/>
              </w:rPr>
              <w:sym w:font="Wingdings 2" w:char="00A3"/>
            </w:r>
            <w:r>
              <w:rPr>
                <w:rFonts w:ascii="Times New Roman" w:hAnsi="Times New Roman" w:cs="Times New Roman"/>
                <w:color w:val="000000" w:themeColor="text1"/>
                <w:spacing w:val="-3"/>
                <w:sz w:val="24"/>
                <w:szCs w:val="24"/>
              </w:rPr>
              <w:t>超五年重新审核项目</w:t>
            </w:r>
          </w:p>
          <w:p w14:paraId="72C03327">
            <w:pPr>
              <w:pStyle w:val="40"/>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3"/>
                <w:sz w:val="24"/>
                <w:szCs w:val="24"/>
              </w:rPr>
              <w:sym w:font="Wingdings 2" w:char="00A3"/>
            </w:r>
            <w:r>
              <w:rPr>
                <w:rFonts w:ascii="Times New Roman" w:hAnsi="Times New Roman" w:cs="Times New Roman"/>
                <w:color w:val="000000" w:themeColor="text1"/>
                <w:spacing w:val="-3"/>
                <w:sz w:val="24"/>
                <w:szCs w:val="24"/>
              </w:rPr>
              <w:t>重大变动重新报批项目</w:t>
            </w:r>
          </w:p>
        </w:tc>
      </w:tr>
      <w:tr w14:paraId="3D1D9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3" w:type="pct"/>
            <w:tcBorders>
              <w:top w:val="single" w:color="000000" w:sz="4" w:space="0"/>
              <w:bottom w:val="single" w:color="000000" w:sz="4" w:space="0"/>
              <w:right w:val="single" w:color="000000" w:sz="4" w:space="0"/>
            </w:tcBorders>
            <w:vAlign w:val="center"/>
          </w:tcPr>
          <w:p w14:paraId="44961F18">
            <w:pPr>
              <w:pStyle w:val="40"/>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项目审批</w:t>
            </w:r>
            <w:r>
              <w:rPr>
                <w:rFonts w:ascii="Times New Roman" w:hAnsi="Times New Roman" w:cs="Times New Roman"/>
                <w:color w:val="000000" w:themeColor="text1"/>
                <w:spacing w:val="-3"/>
                <w:sz w:val="24"/>
                <w:szCs w:val="24"/>
              </w:rPr>
              <w:t>（</w:t>
            </w:r>
            <w:r>
              <w:rPr>
                <w:rFonts w:ascii="Times New Roman" w:hAnsi="Times New Roman" w:cs="Times New Roman"/>
                <w:color w:val="000000" w:themeColor="text1"/>
                <w:spacing w:val="-2"/>
                <w:sz w:val="24"/>
                <w:szCs w:val="24"/>
              </w:rPr>
              <w:t>核准</w:t>
            </w:r>
            <w:r>
              <w:rPr>
                <w:rFonts w:ascii="Times New Roman" w:hAnsi="Times New Roman" w:cs="Times New Roman"/>
                <w:color w:val="000000" w:themeColor="text1"/>
                <w:spacing w:val="-3"/>
                <w:sz w:val="24"/>
                <w:szCs w:val="24"/>
              </w:rPr>
              <w:t>/</w:t>
            </w:r>
            <w:r>
              <w:rPr>
                <w:rFonts w:ascii="Times New Roman" w:hAnsi="Times New Roman" w:cs="Times New Roman"/>
                <w:color w:val="000000" w:themeColor="text1"/>
                <w:sz w:val="24"/>
                <w:szCs w:val="24"/>
              </w:rPr>
              <w:t>备案</w:t>
            </w:r>
            <w:r>
              <w:rPr>
                <w:rFonts w:ascii="Times New Roman" w:hAnsi="Times New Roman" w:cs="Times New Roman"/>
                <w:color w:val="000000" w:themeColor="text1"/>
                <w:spacing w:val="-3"/>
                <w:sz w:val="24"/>
                <w:szCs w:val="24"/>
              </w:rPr>
              <w:t>）</w:t>
            </w:r>
            <w:r>
              <w:rPr>
                <w:rFonts w:ascii="Times New Roman" w:hAnsi="Times New Roman" w:cs="Times New Roman"/>
                <w:color w:val="000000" w:themeColor="text1"/>
                <w:spacing w:val="-2"/>
                <w:sz w:val="24"/>
                <w:szCs w:val="24"/>
              </w:rPr>
              <w:t>部门</w:t>
            </w:r>
            <w:r>
              <w:rPr>
                <w:rFonts w:ascii="Times New Roman" w:hAnsi="Times New Roman" w:cs="Times New Roman"/>
                <w:color w:val="000000" w:themeColor="text1"/>
                <w:sz w:val="24"/>
                <w:szCs w:val="24"/>
              </w:rPr>
              <w:t>（</w:t>
            </w:r>
            <w:r>
              <w:rPr>
                <w:rFonts w:ascii="Times New Roman" w:hAnsi="Times New Roman" w:cs="Times New Roman"/>
                <w:color w:val="000000" w:themeColor="text1"/>
                <w:spacing w:val="-2"/>
                <w:sz w:val="24"/>
                <w:szCs w:val="24"/>
              </w:rPr>
              <w:t>选填</w:t>
            </w:r>
            <w:r>
              <w:rPr>
                <w:rFonts w:ascii="Times New Roman" w:hAnsi="Times New Roman" w:cs="Times New Roman"/>
                <w:color w:val="000000" w:themeColor="text1"/>
                <w:spacing w:val="-3"/>
                <w:sz w:val="24"/>
                <w:szCs w:val="24"/>
              </w:rPr>
              <w:t>）</w:t>
            </w:r>
          </w:p>
        </w:tc>
        <w:tc>
          <w:tcPr>
            <w:tcW w:w="1400" w:type="pct"/>
            <w:tcBorders>
              <w:top w:val="single" w:color="000000" w:sz="4" w:space="0"/>
              <w:left w:val="single" w:color="000000" w:sz="4" w:space="0"/>
              <w:bottom w:val="single" w:color="000000" w:sz="4" w:space="0"/>
              <w:right w:val="single" w:color="000000" w:sz="4" w:space="0"/>
            </w:tcBorders>
            <w:vAlign w:val="center"/>
          </w:tcPr>
          <w:p w14:paraId="4E33BA47">
            <w:pPr>
              <w:pStyle w:val="40"/>
              <w:jc w:val="center"/>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永福县发展和改革局</w:t>
            </w:r>
          </w:p>
          <w:p w14:paraId="317E187A">
            <w:pPr>
              <w:pStyle w:val="40"/>
              <w:jc w:val="center"/>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桂林市发展和改革委员会</w:t>
            </w:r>
          </w:p>
        </w:tc>
        <w:tc>
          <w:tcPr>
            <w:tcW w:w="1203" w:type="pct"/>
            <w:tcBorders>
              <w:top w:val="single" w:color="000000" w:sz="4" w:space="0"/>
              <w:left w:val="single" w:color="000000" w:sz="4" w:space="0"/>
              <w:bottom w:val="single" w:color="000000" w:sz="4" w:space="0"/>
              <w:right w:val="single" w:color="000000" w:sz="4" w:space="0"/>
            </w:tcBorders>
            <w:vAlign w:val="center"/>
          </w:tcPr>
          <w:p w14:paraId="4D7DBC43">
            <w:pPr>
              <w:pStyle w:val="40"/>
              <w:rPr>
                <w:rFonts w:ascii="Times New Roman" w:hAnsi="Times New Roman" w:cs="Times New Roman"/>
                <w:color w:val="000000" w:themeColor="text1"/>
                <w:spacing w:val="-3"/>
                <w:sz w:val="24"/>
                <w:szCs w:val="24"/>
              </w:rPr>
            </w:pPr>
            <w:r>
              <w:rPr>
                <w:rFonts w:ascii="Times New Roman" w:hAnsi="Times New Roman" w:cs="Times New Roman"/>
                <w:color w:val="000000" w:themeColor="text1"/>
                <w:spacing w:val="-1"/>
                <w:sz w:val="24"/>
                <w:szCs w:val="24"/>
              </w:rPr>
              <w:t>项目审批</w:t>
            </w:r>
            <w:r>
              <w:rPr>
                <w:rFonts w:ascii="Times New Roman" w:hAnsi="Times New Roman" w:cs="Times New Roman"/>
                <w:color w:val="000000" w:themeColor="text1"/>
                <w:spacing w:val="-3"/>
                <w:sz w:val="24"/>
                <w:szCs w:val="24"/>
              </w:rPr>
              <w:t>（</w:t>
            </w:r>
            <w:r>
              <w:rPr>
                <w:rFonts w:ascii="Times New Roman" w:hAnsi="Times New Roman" w:cs="Times New Roman"/>
                <w:color w:val="000000" w:themeColor="text1"/>
                <w:spacing w:val="-2"/>
                <w:sz w:val="24"/>
                <w:szCs w:val="24"/>
              </w:rPr>
              <w:t>核准</w:t>
            </w:r>
            <w:r>
              <w:rPr>
                <w:rFonts w:ascii="Times New Roman" w:hAnsi="Times New Roman" w:cs="Times New Roman"/>
                <w:color w:val="000000" w:themeColor="text1"/>
                <w:spacing w:val="-3"/>
                <w:sz w:val="24"/>
                <w:szCs w:val="24"/>
              </w:rPr>
              <w:t>/</w:t>
            </w:r>
          </w:p>
          <w:p w14:paraId="6BAC3C2A">
            <w:pPr>
              <w:pStyle w:val="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备案</w:t>
            </w:r>
            <w:r>
              <w:rPr>
                <w:rFonts w:ascii="Times New Roman" w:hAnsi="Times New Roman" w:cs="Times New Roman"/>
                <w:color w:val="000000" w:themeColor="text1"/>
                <w:spacing w:val="-3"/>
                <w:sz w:val="24"/>
                <w:szCs w:val="24"/>
              </w:rPr>
              <w:t>）</w:t>
            </w:r>
            <w:r>
              <w:rPr>
                <w:rFonts w:ascii="Times New Roman" w:hAnsi="Times New Roman" w:cs="Times New Roman"/>
                <w:color w:val="000000" w:themeColor="text1"/>
                <w:spacing w:val="-2"/>
                <w:sz w:val="24"/>
                <w:szCs w:val="24"/>
              </w:rPr>
              <w:t>文号</w:t>
            </w:r>
            <w:r>
              <w:rPr>
                <w:rFonts w:ascii="Times New Roman" w:hAnsi="Times New Roman" w:cs="Times New Roman"/>
                <w:color w:val="000000" w:themeColor="text1"/>
                <w:sz w:val="24"/>
                <w:szCs w:val="24"/>
              </w:rPr>
              <w:t>（</w:t>
            </w:r>
            <w:r>
              <w:rPr>
                <w:rFonts w:ascii="Times New Roman" w:hAnsi="Times New Roman" w:cs="Times New Roman"/>
                <w:color w:val="000000" w:themeColor="text1"/>
                <w:spacing w:val="-2"/>
                <w:sz w:val="24"/>
                <w:szCs w:val="24"/>
              </w:rPr>
              <w:t>选填</w:t>
            </w:r>
            <w:r>
              <w:rPr>
                <w:rFonts w:ascii="Times New Roman" w:hAnsi="Times New Roman" w:cs="Times New Roman"/>
                <w:color w:val="000000" w:themeColor="text1"/>
                <w:spacing w:val="-3"/>
                <w:sz w:val="24"/>
                <w:szCs w:val="24"/>
              </w:rPr>
              <w:t>）</w:t>
            </w:r>
          </w:p>
          <w:p w14:paraId="498D11B1">
            <w:pPr>
              <w:rPr>
                <w:rFonts w:hint="eastAsia"/>
                <w:color w:val="000000" w:themeColor="text1"/>
              </w:rPr>
            </w:pPr>
          </w:p>
        </w:tc>
        <w:tc>
          <w:tcPr>
            <w:tcW w:w="1491" w:type="pct"/>
            <w:tcBorders>
              <w:top w:val="single" w:color="000000" w:sz="4" w:space="0"/>
              <w:left w:val="single" w:color="000000" w:sz="4" w:space="0"/>
              <w:bottom w:val="single" w:color="000000" w:sz="4" w:space="0"/>
            </w:tcBorders>
            <w:vAlign w:val="center"/>
          </w:tcPr>
          <w:p w14:paraId="43EC85A6">
            <w:pPr>
              <w:pStyle w:val="4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永发改字〔2010〕01号</w:t>
            </w:r>
          </w:p>
          <w:p w14:paraId="63CFFCAE">
            <w:pPr>
              <w:pStyle w:val="40"/>
              <w:jc w:val="center"/>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市</w:t>
            </w:r>
            <w:r>
              <w:rPr>
                <w:rFonts w:ascii="Times New Roman" w:hAnsi="Times New Roman" w:cs="Times New Roman"/>
                <w:color w:val="000000" w:themeColor="text1"/>
                <w:sz w:val="24"/>
                <w:szCs w:val="24"/>
                <w:lang w:val="en-US"/>
              </w:rPr>
              <w:t>发改</w:t>
            </w:r>
            <w:r>
              <w:rPr>
                <w:rFonts w:hint="eastAsia" w:ascii="Times New Roman" w:hAnsi="Times New Roman" w:cs="Times New Roman"/>
                <w:color w:val="000000" w:themeColor="text1"/>
                <w:sz w:val="24"/>
                <w:szCs w:val="24"/>
                <w:lang w:val="en-US"/>
              </w:rPr>
              <w:t>管</w:t>
            </w:r>
            <w:r>
              <w:rPr>
                <w:rFonts w:ascii="Times New Roman" w:hAnsi="Times New Roman" w:cs="Times New Roman"/>
                <w:color w:val="000000" w:themeColor="text1"/>
                <w:sz w:val="24"/>
                <w:szCs w:val="24"/>
                <w:lang w:val="en-US"/>
              </w:rPr>
              <w:t>〔20</w:t>
            </w:r>
            <w:r>
              <w:rPr>
                <w:rFonts w:hint="eastAsia" w:ascii="Times New Roman" w:hAnsi="Times New Roman" w:cs="Times New Roman"/>
                <w:color w:val="000000" w:themeColor="text1"/>
                <w:sz w:val="24"/>
                <w:szCs w:val="24"/>
                <w:lang w:val="en-US"/>
              </w:rPr>
              <w:t>20</w:t>
            </w:r>
            <w:r>
              <w:rPr>
                <w:rFonts w:ascii="Times New Roman" w:hAnsi="Times New Roman" w:cs="Times New Roman"/>
                <w:color w:val="000000" w:themeColor="text1"/>
                <w:sz w:val="24"/>
                <w:szCs w:val="24"/>
                <w:lang w:val="en-US"/>
              </w:rPr>
              <w:t>〕</w:t>
            </w:r>
            <w:r>
              <w:rPr>
                <w:rFonts w:hint="eastAsia" w:ascii="Times New Roman" w:hAnsi="Times New Roman" w:cs="Times New Roman"/>
                <w:color w:val="000000" w:themeColor="text1"/>
                <w:sz w:val="24"/>
                <w:szCs w:val="24"/>
                <w:lang w:val="en-US"/>
              </w:rPr>
              <w:t>54</w:t>
            </w:r>
            <w:r>
              <w:rPr>
                <w:rFonts w:ascii="Times New Roman" w:hAnsi="Times New Roman" w:cs="Times New Roman"/>
                <w:color w:val="000000" w:themeColor="text1"/>
                <w:sz w:val="24"/>
                <w:szCs w:val="24"/>
                <w:lang w:val="en-US"/>
              </w:rPr>
              <w:t>号</w:t>
            </w:r>
          </w:p>
        </w:tc>
      </w:tr>
      <w:tr w14:paraId="6FC65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3" w:type="pct"/>
            <w:tcBorders>
              <w:top w:val="single" w:color="000000" w:sz="4" w:space="0"/>
              <w:bottom w:val="single" w:color="000000" w:sz="4" w:space="0"/>
              <w:right w:val="single" w:color="000000" w:sz="4" w:space="0"/>
            </w:tcBorders>
            <w:vAlign w:val="center"/>
          </w:tcPr>
          <w:p w14:paraId="32ECC907">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总投资（万元）</w:t>
            </w:r>
          </w:p>
        </w:tc>
        <w:tc>
          <w:tcPr>
            <w:tcW w:w="1400" w:type="pct"/>
            <w:tcBorders>
              <w:top w:val="single" w:color="000000" w:sz="4" w:space="0"/>
              <w:left w:val="single" w:color="000000" w:sz="4" w:space="0"/>
              <w:bottom w:val="single" w:color="000000" w:sz="4" w:space="0"/>
              <w:right w:val="single" w:color="000000" w:sz="4" w:space="0"/>
            </w:tcBorders>
            <w:vAlign w:val="center"/>
          </w:tcPr>
          <w:p w14:paraId="40E8E430">
            <w:pPr>
              <w:pStyle w:val="40"/>
              <w:jc w:val="center"/>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1485.00</w:t>
            </w:r>
          </w:p>
        </w:tc>
        <w:tc>
          <w:tcPr>
            <w:tcW w:w="1203" w:type="pct"/>
            <w:tcBorders>
              <w:top w:val="single" w:color="000000" w:sz="4" w:space="0"/>
              <w:left w:val="single" w:color="000000" w:sz="4" w:space="0"/>
              <w:bottom w:val="single" w:color="000000" w:sz="4" w:space="0"/>
              <w:right w:val="single" w:color="000000" w:sz="4" w:space="0"/>
            </w:tcBorders>
            <w:vAlign w:val="center"/>
          </w:tcPr>
          <w:p w14:paraId="4186ECB0">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环保投资（万元）</w:t>
            </w:r>
          </w:p>
        </w:tc>
        <w:tc>
          <w:tcPr>
            <w:tcW w:w="1491" w:type="pct"/>
            <w:tcBorders>
              <w:top w:val="single" w:color="000000" w:sz="4" w:space="0"/>
              <w:left w:val="single" w:color="000000" w:sz="4" w:space="0"/>
              <w:bottom w:val="single" w:color="000000" w:sz="4" w:space="0"/>
            </w:tcBorders>
            <w:vAlign w:val="center"/>
          </w:tcPr>
          <w:p w14:paraId="70330150">
            <w:pPr>
              <w:pStyle w:val="40"/>
              <w:jc w:val="center"/>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25.0</w:t>
            </w:r>
            <w:r>
              <w:rPr>
                <w:rFonts w:ascii="Times New Roman" w:hAnsi="Times New Roman" w:cs="Times New Roman"/>
                <w:color w:val="000000" w:themeColor="text1"/>
                <w:sz w:val="24"/>
                <w:szCs w:val="24"/>
                <w:lang w:val="en-US"/>
              </w:rPr>
              <w:t>0</w:t>
            </w:r>
          </w:p>
        </w:tc>
      </w:tr>
      <w:tr w14:paraId="5AA9A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3" w:type="pct"/>
            <w:tcBorders>
              <w:top w:val="single" w:color="000000" w:sz="4" w:space="0"/>
              <w:bottom w:val="single" w:color="000000" w:sz="4" w:space="0"/>
              <w:right w:val="single" w:color="000000" w:sz="4" w:space="0"/>
            </w:tcBorders>
            <w:vAlign w:val="center"/>
          </w:tcPr>
          <w:p w14:paraId="26202449">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环保投资占比（%）</w:t>
            </w:r>
          </w:p>
        </w:tc>
        <w:tc>
          <w:tcPr>
            <w:tcW w:w="1400" w:type="pct"/>
            <w:tcBorders>
              <w:top w:val="single" w:color="000000" w:sz="4" w:space="0"/>
              <w:left w:val="single" w:color="000000" w:sz="4" w:space="0"/>
              <w:bottom w:val="single" w:color="000000" w:sz="4" w:space="0"/>
              <w:right w:val="single" w:color="000000" w:sz="4" w:space="0"/>
            </w:tcBorders>
            <w:vAlign w:val="center"/>
          </w:tcPr>
          <w:p w14:paraId="3A1CBFCA">
            <w:pPr>
              <w:pStyle w:val="40"/>
              <w:jc w:val="center"/>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1.7</w:t>
            </w:r>
          </w:p>
        </w:tc>
        <w:tc>
          <w:tcPr>
            <w:tcW w:w="1203" w:type="pct"/>
            <w:tcBorders>
              <w:top w:val="single" w:color="000000" w:sz="4" w:space="0"/>
              <w:left w:val="single" w:color="000000" w:sz="4" w:space="0"/>
              <w:bottom w:val="single" w:color="000000" w:sz="4" w:space="0"/>
              <w:right w:val="single" w:color="000000" w:sz="4" w:space="0"/>
            </w:tcBorders>
            <w:vAlign w:val="center"/>
          </w:tcPr>
          <w:p w14:paraId="7BF675DB">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施工工期</w:t>
            </w:r>
          </w:p>
        </w:tc>
        <w:tc>
          <w:tcPr>
            <w:tcW w:w="1491" w:type="pct"/>
            <w:tcBorders>
              <w:top w:val="single" w:color="000000" w:sz="4" w:space="0"/>
              <w:left w:val="single" w:color="000000" w:sz="4" w:space="0"/>
              <w:bottom w:val="single" w:color="000000" w:sz="4" w:space="0"/>
            </w:tcBorders>
            <w:vAlign w:val="center"/>
          </w:tcPr>
          <w:p w14:paraId="39144BB8">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2个月</w:t>
            </w:r>
          </w:p>
        </w:tc>
      </w:tr>
      <w:tr w14:paraId="23AC0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3" w:type="pct"/>
            <w:tcBorders>
              <w:top w:val="single" w:color="000000" w:sz="4" w:space="0"/>
              <w:bottom w:val="single" w:color="000000" w:sz="4" w:space="0"/>
              <w:right w:val="single" w:color="000000" w:sz="4" w:space="0"/>
            </w:tcBorders>
            <w:vAlign w:val="center"/>
          </w:tcPr>
          <w:p w14:paraId="38887D21">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是否开工建设</w:t>
            </w:r>
          </w:p>
        </w:tc>
        <w:tc>
          <w:tcPr>
            <w:tcW w:w="1400" w:type="pct"/>
            <w:tcBorders>
              <w:top w:val="single" w:color="000000" w:sz="4" w:space="0"/>
              <w:left w:val="single" w:color="000000" w:sz="4" w:space="0"/>
              <w:bottom w:val="single" w:color="000000" w:sz="4" w:space="0"/>
              <w:right w:val="single" w:color="000000" w:sz="4" w:space="0"/>
            </w:tcBorders>
            <w:vAlign w:val="center"/>
          </w:tcPr>
          <w:p w14:paraId="6735283D">
            <w:pPr>
              <w:pStyle w:val="40"/>
              <w:tabs>
                <w:tab w:val="left" w:pos="199"/>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3"/>
                <w:sz w:val="24"/>
                <w:szCs w:val="24"/>
                <w:lang w:val="en-US"/>
              </w:rPr>
              <w:t>□</w:t>
            </w:r>
            <w:r>
              <w:rPr>
                <w:rFonts w:ascii="Times New Roman" w:hAnsi="Times New Roman" w:cs="Times New Roman"/>
                <w:color w:val="000000" w:themeColor="text1"/>
                <w:spacing w:val="-3"/>
                <w:sz w:val="24"/>
                <w:szCs w:val="24"/>
              </w:rPr>
              <w:t>否</w:t>
            </w:r>
          </w:p>
          <w:p w14:paraId="7D559069">
            <w:pPr>
              <w:pStyle w:val="40"/>
              <w:tabs>
                <w:tab w:val="left" w:pos="199"/>
              </w:tabs>
              <w:jc w:val="both"/>
              <w:rPr>
                <w:rFonts w:ascii="Times New Roman" w:hAnsi="Times New Roman" w:cs="Times New Roman"/>
                <w:color w:val="000000" w:themeColor="text1"/>
                <w:sz w:val="24"/>
                <w:szCs w:val="24"/>
              </w:rPr>
            </w:pPr>
            <w:r>
              <w:rPr>
                <w:rFonts w:hint="eastAsia" w:ascii="Times New Roman" w:hAnsi="Times New Roman" w:cs="Times New Roman"/>
                <w:color w:val="000000" w:themeColor="text1"/>
                <w:spacing w:val="-3"/>
                <w:sz w:val="24"/>
                <w:szCs w:val="24"/>
                <w:lang w:val="en-US"/>
              </w:rPr>
              <w:t>☑</w:t>
            </w:r>
            <w:r>
              <w:rPr>
                <w:rFonts w:ascii="Times New Roman" w:hAnsi="Times New Roman" w:cs="Times New Roman"/>
                <w:color w:val="000000" w:themeColor="text1"/>
                <w:sz w:val="24"/>
                <w:szCs w:val="24"/>
              </w:rPr>
              <w:t>是：</w:t>
            </w:r>
            <w:r>
              <w:rPr>
                <w:rFonts w:ascii="Times New Roman" w:hAnsi="Times New Roman" w:cs="Times New Roman"/>
                <w:color w:val="000000" w:themeColor="text1"/>
                <w:sz w:val="24"/>
                <w:u w:val="single"/>
                <w:lang w:val="en-US"/>
              </w:rPr>
              <w:t>已建内容：</w:t>
            </w:r>
            <w:r>
              <w:rPr>
                <w:rFonts w:ascii="Times New Roman" w:hAnsi="Times New Roman" w:cs="Times New Roman"/>
                <w:color w:val="000000" w:themeColor="text1"/>
                <w:sz w:val="24"/>
                <w:szCs w:val="24"/>
                <w:u w:val="single"/>
                <w:lang w:val="en-US"/>
              </w:rPr>
              <w:t>已</w:t>
            </w:r>
            <w:r>
              <w:rPr>
                <w:rFonts w:hint="eastAsia" w:ascii="Times New Roman" w:hAnsi="Times New Roman" w:cs="Times New Roman"/>
                <w:color w:val="000000" w:themeColor="text1"/>
                <w:sz w:val="24"/>
                <w:szCs w:val="24"/>
                <w:u w:val="single"/>
                <w:lang w:val="en-US"/>
              </w:rPr>
              <w:t>建成一栋两层传染病楼、对原有六层医技楼完成三层扩建，最终已建成一栋九层业务综合楼（原名医技楼）及相关环保设施</w:t>
            </w:r>
            <w:r>
              <w:rPr>
                <w:rFonts w:ascii="Times New Roman" w:hAnsi="Times New Roman" w:cs="Times New Roman"/>
                <w:color w:val="000000" w:themeColor="text1"/>
                <w:sz w:val="24"/>
                <w:u w:val="single"/>
                <w:lang w:val="en-US"/>
              </w:rPr>
              <w:t>。</w:t>
            </w:r>
          </w:p>
        </w:tc>
        <w:tc>
          <w:tcPr>
            <w:tcW w:w="1203" w:type="pct"/>
            <w:tcBorders>
              <w:top w:val="single" w:color="000000" w:sz="4" w:space="0"/>
              <w:left w:val="single" w:color="000000" w:sz="4" w:space="0"/>
              <w:bottom w:val="single" w:color="000000" w:sz="4" w:space="0"/>
              <w:right w:val="single" w:color="000000" w:sz="4" w:space="0"/>
            </w:tcBorders>
            <w:vAlign w:val="center"/>
          </w:tcPr>
          <w:p w14:paraId="56920DB2">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用地（用海）</w:t>
            </w:r>
          </w:p>
          <w:p w14:paraId="3C2441C0">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面积（m</w:t>
            </w:r>
            <w:r>
              <w:rPr>
                <w:rFonts w:ascii="Times New Roman" w:hAnsi="Times New Roman" w:cs="Times New Roman"/>
                <w:color w:val="000000" w:themeColor="text1"/>
                <w:sz w:val="24"/>
                <w:szCs w:val="24"/>
                <w:vertAlign w:val="superscript"/>
                <w:lang w:val="en-US"/>
              </w:rPr>
              <w:t>2</w:t>
            </w:r>
            <w:r>
              <w:rPr>
                <w:rFonts w:ascii="Times New Roman" w:hAnsi="Times New Roman" w:cs="Times New Roman"/>
                <w:color w:val="000000" w:themeColor="text1"/>
                <w:sz w:val="24"/>
                <w:szCs w:val="24"/>
              </w:rPr>
              <w:t>）</w:t>
            </w:r>
          </w:p>
        </w:tc>
        <w:tc>
          <w:tcPr>
            <w:tcW w:w="1491" w:type="pct"/>
            <w:tcBorders>
              <w:top w:val="single" w:color="000000" w:sz="4" w:space="0"/>
              <w:left w:val="single" w:color="000000" w:sz="4" w:space="0"/>
              <w:bottom w:val="single" w:color="000000" w:sz="4" w:space="0"/>
            </w:tcBorders>
            <w:vAlign w:val="center"/>
          </w:tcPr>
          <w:p w14:paraId="55FB45A8">
            <w:pPr>
              <w:pStyle w:val="40"/>
              <w:jc w:val="center"/>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0</w:t>
            </w:r>
            <w:r>
              <w:rPr>
                <w:rFonts w:ascii="Times New Roman" w:hAnsi="Times New Roman" w:cs="Times New Roman"/>
                <w:color w:val="000000" w:themeColor="text1"/>
                <w:sz w:val="24"/>
                <w:szCs w:val="24"/>
                <w:lang w:val="en-US"/>
              </w:rPr>
              <w:t>/不新增占地</w:t>
            </w:r>
          </w:p>
        </w:tc>
      </w:tr>
      <w:tr w14:paraId="10375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3" w:type="pct"/>
            <w:tcBorders>
              <w:top w:val="single" w:color="000000" w:sz="4" w:space="0"/>
              <w:bottom w:val="single" w:color="000000" w:sz="4" w:space="0"/>
              <w:right w:val="single" w:color="000000" w:sz="4" w:space="0"/>
            </w:tcBorders>
            <w:vAlign w:val="center"/>
          </w:tcPr>
          <w:p w14:paraId="1AC3A735">
            <w:pPr>
              <w:pStyle w:val="40"/>
              <w:ind w:left="327" w:right="2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专项评价设置情况</w:t>
            </w:r>
          </w:p>
        </w:tc>
        <w:tc>
          <w:tcPr>
            <w:tcW w:w="4096" w:type="pct"/>
            <w:gridSpan w:val="3"/>
            <w:tcBorders>
              <w:top w:val="single" w:color="000000" w:sz="4" w:space="0"/>
              <w:left w:val="single" w:color="000000" w:sz="4" w:space="0"/>
              <w:bottom w:val="single" w:color="000000" w:sz="4" w:space="0"/>
            </w:tcBorders>
            <w:vAlign w:val="center"/>
          </w:tcPr>
          <w:p w14:paraId="5EF24B15">
            <w:pPr>
              <w:pStyle w:val="40"/>
              <w:ind w:left="12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无</w:t>
            </w:r>
          </w:p>
        </w:tc>
      </w:tr>
      <w:tr w14:paraId="64277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903" w:type="pct"/>
            <w:tcBorders>
              <w:top w:val="single" w:color="000000" w:sz="4" w:space="0"/>
              <w:bottom w:val="single" w:color="000000" w:sz="4" w:space="0"/>
              <w:right w:val="single" w:color="000000" w:sz="4" w:space="0"/>
            </w:tcBorders>
            <w:vAlign w:val="center"/>
          </w:tcPr>
          <w:p w14:paraId="3569907A">
            <w:pPr>
              <w:pStyle w:val="40"/>
              <w:ind w:left="327" w:right="2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规划情况</w:t>
            </w:r>
          </w:p>
        </w:tc>
        <w:tc>
          <w:tcPr>
            <w:tcW w:w="4096" w:type="pct"/>
            <w:gridSpan w:val="3"/>
            <w:tcBorders>
              <w:top w:val="single" w:color="000000" w:sz="4" w:space="0"/>
              <w:left w:val="single" w:color="000000" w:sz="4" w:space="0"/>
              <w:bottom w:val="single" w:color="000000" w:sz="4" w:space="0"/>
            </w:tcBorders>
            <w:vAlign w:val="center"/>
          </w:tcPr>
          <w:p w14:paraId="2DD875AF">
            <w:pPr>
              <w:pStyle w:val="40"/>
              <w:ind w:left="11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无</w:t>
            </w:r>
          </w:p>
        </w:tc>
      </w:tr>
      <w:tr w14:paraId="0D1F8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03" w:type="pct"/>
            <w:tcBorders>
              <w:top w:val="single" w:color="000000" w:sz="4" w:space="0"/>
              <w:bottom w:val="single" w:color="000000" w:sz="4" w:space="0"/>
              <w:right w:val="single" w:color="000000" w:sz="4" w:space="0"/>
            </w:tcBorders>
            <w:vAlign w:val="center"/>
          </w:tcPr>
          <w:p w14:paraId="5992E4ED">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规划环境影响评价情况</w:t>
            </w:r>
          </w:p>
        </w:tc>
        <w:tc>
          <w:tcPr>
            <w:tcW w:w="4096" w:type="pct"/>
            <w:gridSpan w:val="3"/>
            <w:tcBorders>
              <w:top w:val="single" w:color="000000" w:sz="4" w:space="0"/>
              <w:left w:val="single" w:color="000000" w:sz="4" w:space="0"/>
              <w:bottom w:val="single" w:color="000000" w:sz="4" w:space="0"/>
            </w:tcBorders>
            <w:vAlign w:val="center"/>
          </w:tcPr>
          <w:p w14:paraId="736537EE">
            <w:pPr>
              <w:pStyle w:val="40"/>
              <w:ind w:left="11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无</w:t>
            </w:r>
          </w:p>
        </w:tc>
      </w:tr>
      <w:tr w14:paraId="31D9C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3" w:type="pct"/>
            <w:tcBorders>
              <w:top w:val="single" w:color="000000" w:sz="4" w:space="0"/>
              <w:bottom w:val="single" w:color="000000" w:sz="4" w:space="0"/>
              <w:right w:val="single" w:color="000000" w:sz="4" w:space="0"/>
            </w:tcBorders>
            <w:vAlign w:val="center"/>
          </w:tcPr>
          <w:p w14:paraId="0E3809B8">
            <w:pPr>
              <w:pStyle w:val="40"/>
              <w:spacing w:line="244" w:lineRule="auto"/>
              <w:ind w:right="122"/>
              <w:jc w:val="center"/>
              <w:rPr>
                <w:rFonts w:ascii="Times New Roman" w:hAnsi="Times New Roman" w:cs="Times New Roman"/>
                <w:color w:val="000000" w:themeColor="text1"/>
                <w:sz w:val="24"/>
                <w:szCs w:val="24"/>
              </w:rPr>
            </w:pPr>
            <w:r>
              <w:rPr>
                <w:rFonts w:ascii="Times New Roman" w:hAnsi="Times New Roman" w:cs="Times New Roman"/>
                <w:color w:val="000000" w:themeColor="text1"/>
                <w:spacing w:val="-3"/>
                <w:sz w:val="24"/>
                <w:szCs w:val="24"/>
              </w:rPr>
              <w:t>规划及规划环境影响评价符合性分析</w:t>
            </w:r>
          </w:p>
        </w:tc>
        <w:tc>
          <w:tcPr>
            <w:tcW w:w="4096" w:type="pct"/>
            <w:gridSpan w:val="3"/>
            <w:tcBorders>
              <w:top w:val="single" w:color="000000" w:sz="4" w:space="0"/>
              <w:left w:val="single" w:color="000000" w:sz="4" w:space="0"/>
              <w:bottom w:val="single" w:color="000000" w:sz="4" w:space="0"/>
            </w:tcBorders>
            <w:vAlign w:val="center"/>
          </w:tcPr>
          <w:p w14:paraId="16D98541">
            <w:pPr>
              <w:pStyle w:val="40"/>
              <w:ind w:left="12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无</w:t>
            </w:r>
          </w:p>
        </w:tc>
      </w:tr>
      <w:tr w14:paraId="1252D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3" w:type="pct"/>
            <w:tcBorders>
              <w:top w:val="single" w:color="000000" w:sz="4" w:space="0"/>
              <w:bottom w:val="single" w:color="000000" w:sz="4" w:space="0"/>
              <w:right w:val="single" w:color="000000" w:sz="4" w:space="0"/>
            </w:tcBorders>
            <w:vAlign w:val="center"/>
          </w:tcPr>
          <w:p w14:paraId="0A64F91E">
            <w:pPr>
              <w:pStyle w:val="40"/>
              <w:spacing w:before="1"/>
              <w:ind w:left="327" w:right="206"/>
              <w:jc w:val="center"/>
              <w:rPr>
                <w:rFonts w:ascii="Times New Roman" w:hAnsi="Times New Roman" w:cs="Times New Roman"/>
                <w:color w:val="000000" w:themeColor="text1"/>
                <w:spacing w:val="-3"/>
                <w:sz w:val="24"/>
                <w:szCs w:val="24"/>
              </w:rPr>
            </w:pPr>
            <w:r>
              <w:rPr>
                <w:rFonts w:ascii="Times New Roman" w:hAnsi="Times New Roman" w:cs="Times New Roman"/>
                <w:color w:val="000000" w:themeColor="text1"/>
                <w:sz w:val="24"/>
                <w:szCs w:val="24"/>
              </w:rPr>
              <w:t>其他符合性分析</w:t>
            </w:r>
          </w:p>
        </w:tc>
        <w:tc>
          <w:tcPr>
            <w:tcW w:w="4096" w:type="pct"/>
            <w:gridSpan w:val="3"/>
            <w:tcBorders>
              <w:top w:val="single" w:color="000000" w:sz="4" w:space="0"/>
              <w:left w:val="single" w:color="000000" w:sz="4" w:space="0"/>
              <w:bottom w:val="single" w:color="000000" w:sz="4" w:space="0"/>
            </w:tcBorders>
            <w:vAlign w:val="center"/>
          </w:tcPr>
          <w:p w14:paraId="5EB5A3C7">
            <w:pPr>
              <w:autoSpaceDE/>
              <w:autoSpaceDN/>
              <w:spacing w:line="360" w:lineRule="auto"/>
              <w:ind w:firstLine="482" w:firstLineChars="200"/>
              <w:jc w:val="both"/>
              <w:rPr>
                <w:rFonts w:ascii="Times New Roman" w:hAnsi="Times New Roman"/>
                <w:b/>
                <w:bCs/>
                <w:color w:val="000000" w:themeColor="text1"/>
                <w:sz w:val="24"/>
                <w:szCs w:val="24"/>
              </w:rPr>
            </w:pPr>
            <w:r>
              <w:rPr>
                <w:rFonts w:hint="eastAsia" w:ascii="Times New Roman" w:hAnsi="Times New Roman"/>
                <w:b/>
                <w:bCs/>
                <w:color w:val="000000" w:themeColor="text1"/>
                <w:sz w:val="24"/>
                <w:szCs w:val="24"/>
              </w:rPr>
              <w:t>一、</w:t>
            </w:r>
            <w:r>
              <w:rPr>
                <w:rFonts w:ascii="Times New Roman" w:hAnsi="Times New Roman"/>
                <w:b/>
                <w:bCs/>
                <w:color w:val="000000" w:themeColor="text1"/>
                <w:sz w:val="24"/>
                <w:szCs w:val="24"/>
              </w:rPr>
              <w:t>“三线一单”相符性分析</w:t>
            </w:r>
          </w:p>
          <w:p w14:paraId="7958E5C0">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（1）生态保护红线</w:t>
            </w:r>
          </w:p>
          <w:p w14:paraId="6272FC7F">
            <w:pPr>
              <w:widowControl/>
              <w:autoSpaceDE/>
              <w:autoSpaceDN/>
              <w:spacing w:line="360" w:lineRule="auto"/>
              <w:ind w:firstLine="480" w:firstLineChars="200"/>
              <w:jc w:val="both"/>
              <w:rPr>
                <w:rFonts w:ascii="Times New Roman" w:hAnsi="Times New Roman" w:cs="Times New Roman"/>
                <w:color w:val="000000" w:themeColor="text1"/>
                <w:sz w:val="24"/>
                <w:lang w:val="en-US" w:bidi="ar-SA"/>
              </w:rPr>
            </w:pPr>
            <w:r>
              <w:rPr>
                <w:rFonts w:ascii="Times New Roman" w:hAnsi="Times New Roman" w:cs="Times New Roman"/>
                <w:color w:val="000000" w:themeColor="text1"/>
                <w:sz w:val="24"/>
                <w:lang w:val="en-US" w:bidi="ar-SA"/>
              </w:rPr>
              <w:t>根据《广西生态保护红线划定方案》，我区陆海统筹后全区生态保护红线面积6.276万平方公里，占全区管辖面积的25.68%。广西生态保护红线基本格局为“两屏四区”：“两屏”为桂西生态屏障和北部湾沿海生态屏障，主要生态功能是水源涵养、生物多样性维护和海岸生态稳定。“四区”即桂东北生态功能区（包括都庞岭、越城岭、萌渚岭山地）、桂西南生态功能区（西大明山地）、桂中生态功能区（包括大瑶山地）、十万大山生态保护区，主要生态功能为水源涵养、生物多样性维护和水土保持。此外，生态保护红线还包括桂东南云开大山地、西江上游源头区等。</w:t>
            </w:r>
          </w:p>
          <w:p w14:paraId="704D76D1">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根据现场调查及查阅相关资料，项目位于</w:t>
            </w:r>
            <w:r>
              <w:rPr>
                <w:rFonts w:hint="eastAsia" w:ascii="Times New Roman" w:hAnsi="Times New Roman" w:cs="Times New Roman"/>
                <w:color w:val="000000" w:themeColor="text1"/>
                <w:kern w:val="2"/>
                <w:sz w:val="24"/>
                <w:szCs w:val="24"/>
                <w:lang w:val="en-US" w:bidi="ar-SA"/>
              </w:rPr>
              <w:t>广西壮族自治区桂林市永福县永福镇迎宾路132号永福县人民医院内</w:t>
            </w:r>
            <w:r>
              <w:rPr>
                <w:rFonts w:ascii="Times New Roman" w:hAnsi="Times New Roman" w:cs="Times New Roman"/>
                <w:color w:val="000000" w:themeColor="text1"/>
                <w:kern w:val="2"/>
                <w:sz w:val="24"/>
                <w:szCs w:val="24"/>
                <w:lang w:val="en-US" w:bidi="ar-SA"/>
              </w:rPr>
              <w:t>，不新增占地，</w:t>
            </w:r>
            <w:r>
              <w:rPr>
                <w:rFonts w:hint="eastAsia" w:ascii="Times New Roman" w:hAnsi="Times New Roman" w:cs="Times New Roman"/>
                <w:color w:val="000000" w:themeColor="text1"/>
                <w:kern w:val="2"/>
                <w:sz w:val="24"/>
                <w:szCs w:val="24"/>
                <w:lang w:val="en-US" w:bidi="ar-SA"/>
              </w:rPr>
              <w:t>项目</w:t>
            </w:r>
            <w:r>
              <w:rPr>
                <w:rFonts w:ascii="Times New Roman" w:hAnsi="Times New Roman" w:cs="Times New Roman"/>
                <w:color w:val="000000" w:themeColor="text1"/>
                <w:kern w:val="2"/>
                <w:sz w:val="24"/>
                <w:szCs w:val="24"/>
                <w:lang w:val="en-US" w:bidi="ar-SA"/>
              </w:rPr>
              <w:t>所在地不涉及生态保护红线</w:t>
            </w:r>
            <w:r>
              <w:rPr>
                <w:rFonts w:hint="eastAsia"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不涉及《广西生态保护红线划定方案》内规定的特殊生态敏感区，不占用基本农田，项目建设符合生态红线管理办法的规定。</w:t>
            </w:r>
          </w:p>
          <w:p w14:paraId="66D4123B">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（2）环境质量底线</w:t>
            </w:r>
          </w:p>
          <w:p w14:paraId="70CC4742">
            <w:pPr>
              <w:autoSpaceDE/>
              <w:autoSpaceDN/>
              <w:adjustRightInd w:val="0"/>
              <w:snapToGrid w:val="0"/>
              <w:spacing w:line="360" w:lineRule="auto"/>
              <w:ind w:firstLine="480" w:firstLineChars="200"/>
              <w:jc w:val="both"/>
              <w:rPr>
                <w:rFonts w:ascii="Times New Roman" w:hAnsi="Times New Roman"/>
                <w:color w:val="000000" w:themeColor="text1"/>
                <w:kern w:val="2"/>
                <w:sz w:val="24"/>
                <w:lang w:val="en-US"/>
              </w:rPr>
            </w:pPr>
            <w:r>
              <w:rPr>
                <w:rFonts w:hint="eastAsia" w:ascii="Times New Roman" w:hAnsi="Times New Roman"/>
                <w:color w:val="000000" w:themeColor="text1"/>
                <w:kern w:val="2"/>
                <w:sz w:val="24"/>
                <w:lang w:val="en-US"/>
              </w:rPr>
              <w:t>根据《2024年桂林市生态环境状况公报》结论：桂林市12县（区、市）按照《环境空气质量标准》（GB 3095-2012）对自动监测数据进行评价。二氧化硫、二氧化氮、一氧化碳：所有县城均达到一级标准；可吸入颗粒物：全州县和灵川县达到二级标准，其余县城达到一级标准；臭氧（8小时）、细颗粒物：所有县城均达到二级标准。</w:t>
            </w:r>
            <w:r>
              <w:rPr>
                <w:rFonts w:ascii="Times New Roman" w:hAnsi="Times New Roman"/>
                <w:color w:val="000000" w:themeColor="text1"/>
                <w:kern w:val="2"/>
                <w:sz w:val="24"/>
                <w:lang w:val="en-US"/>
              </w:rPr>
              <w:t>由此可知，</w:t>
            </w:r>
            <w:r>
              <w:rPr>
                <w:rFonts w:hint="eastAsia" w:ascii="Times New Roman" w:hAnsi="Times New Roman"/>
                <w:color w:val="000000" w:themeColor="text1"/>
                <w:kern w:val="2"/>
                <w:sz w:val="24"/>
                <w:lang w:val="en-US"/>
              </w:rPr>
              <w:t>永福县</w:t>
            </w:r>
            <w:r>
              <w:rPr>
                <w:rFonts w:ascii="Times New Roman" w:hAnsi="Times New Roman"/>
                <w:color w:val="000000" w:themeColor="text1"/>
                <w:kern w:val="2"/>
                <w:sz w:val="24"/>
                <w:lang w:val="en-US"/>
              </w:rPr>
              <w:t>环境空气质量达到《环境空气质量标准》（GB3095-2012）二级标准相应限值，属于达标区范围，本项目通过采取相应的环保措施，可将污染物排放降至最低程度，保持区域环境质量。</w:t>
            </w:r>
          </w:p>
          <w:p w14:paraId="67D6A968">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（3）资源利用上线</w:t>
            </w:r>
          </w:p>
          <w:p w14:paraId="312DF37E">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本项目为</w:t>
            </w:r>
            <w:r>
              <w:rPr>
                <w:rFonts w:hint="eastAsia" w:ascii="Times New Roman" w:hAnsi="Times New Roman" w:cs="Times New Roman"/>
                <w:color w:val="000000" w:themeColor="text1"/>
                <w:kern w:val="2"/>
                <w:sz w:val="24"/>
                <w:szCs w:val="24"/>
                <w:lang w:val="en-US" w:bidi="ar-SA"/>
              </w:rPr>
              <w:t>医院建设</w:t>
            </w:r>
            <w:r>
              <w:rPr>
                <w:rFonts w:ascii="Times New Roman" w:hAnsi="Times New Roman" w:cs="Times New Roman"/>
                <w:color w:val="000000" w:themeColor="text1"/>
                <w:kern w:val="2"/>
                <w:sz w:val="24"/>
                <w:szCs w:val="24"/>
                <w:lang w:val="en-US" w:bidi="ar-SA"/>
              </w:rPr>
              <w:t>项目，主要用到的原辅材料为</w:t>
            </w:r>
            <w:r>
              <w:rPr>
                <w:rFonts w:hint="eastAsia" w:ascii="Times New Roman" w:hAnsi="Times New Roman" w:cs="Times New Roman"/>
                <w:color w:val="000000" w:themeColor="text1"/>
                <w:kern w:val="2"/>
                <w:sz w:val="24"/>
                <w:szCs w:val="24"/>
                <w:lang w:val="en-US" w:bidi="ar-SA"/>
              </w:rPr>
              <w:t>药品</w:t>
            </w:r>
            <w:r>
              <w:rPr>
                <w:rFonts w:ascii="Times New Roman" w:hAnsi="Times New Roman" w:cs="Times New Roman"/>
                <w:color w:val="000000" w:themeColor="text1"/>
                <w:kern w:val="2"/>
                <w:sz w:val="24"/>
                <w:szCs w:val="24"/>
                <w:lang w:val="en-US" w:bidi="ar-SA"/>
              </w:rPr>
              <w:t>、水、电等，</w:t>
            </w:r>
            <w:r>
              <w:rPr>
                <w:rFonts w:hint="eastAsia" w:ascii="Times New Roman" w:hAnsi="Times New Roman" w:cs="Times New Roman"/>
                <w:color w:val="000000" w:themeColor="text1"/>
                <w:kern w:val="2"/>
                <w:sz w:val="24"/>
                <w:szCs w:val="24"/>
                <w:lang w:val="en-US" w:bidi="ar-SA"/>
              </w:rPr>
              <w:t>药品为</w:t>
            </w:r>
            <w:r>
              <w:rPr>
                <w:rFonts w:ascii="Times New Roman" w:hAnsi="Times New Roman" w:cs="Times New Roman"/>
                <w:color w:val="000000" w:themeColor="text1"/>
                <w:kern w:val="2"/>
                <w:sz w:val="24"/>
                <w:szCs w:val="24"/>
                <w:lang w:val="en-US" w:bidi="ar-SA"/>
              </w:rPr>
              <w:t>外购；供水取用</w:t>
            </w:r>
            <w:r>
              <w:rPr>
                <w:rFonts w:hint="eastAsia" w:ascii="Times New Roman" w:hAnsi="Times New Roman" w:cs="Times New Roman"/>
                <w:color w:val="000000" w:themeColor="text1"/>
                <w:kern w:val="2"/>
                <w:sz w:val="24"/>
                <w:szCs w:val="24"/>
                <w:lang w:val="en-US" w:bidi="ar-SA"/>
              </w:rPr>
              <w:t>市政自来水管网，供电来自市政电网</w:t>
            </w:r>
            <w:r>
              <w:rPr>
                <w:rFonts w:ascii="Times New Roman" w:hAnsi="Times New Roman" w:cs="Times New Roman"/>
                <w:color w:val="000000" w:themeColor="text1"/>
                <w:kern w:val="2"/>
                <w:sz w:val="24"/>
                <w:szCs w:val="24"/>
                <w:lang w:val="en-US" w:bidi="ar-SA"/>
              </w:rPr>
              <w:t>，对区域资源的消耗</w:t>
            </w:r>
            <w:r>
              <w:rPr>
                <w:rFonts w:hint="eastAsia" w:ascii="Times New Roman" w:hAnsi="Times New Roman" w:cs="Times New Roman"/>
                <w:color w:val="000000" w:themeColor="text1"/>
                <w:kern w:val="2"/>
                <w:sz w:val="24"/>
                <w:szCs w:val="24"/>
                <w:lang w:val="en-US" w:bidi="ar-SA"/>
              </w:rPr>
              <w:t>均在规划内</w:t>
            </w:r>
            <w:r>
              <w:rPr>
                <w:rFonts w:ascii="Times New Roman" w:hAnsi="Times New Roman" w:cs="Times New Roman"/>
                <w:color w:val="000000" w:themeColor="text1"/>
                <w:kern w:val="2"/>
                <w:sz w:val="24"/>
                <w:szCs w:val="24"/>
                <w:lang w:val="en-US" w:bidi="ar-SA"/>
              </w:rPr>
              <w:t>，符合资源利用上线的要求。</w:t>
            </w:r>
          </w:p>
          <w:p w14:paraId="4AE2F427">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（4）</w:t>
            </w:r>
            <w:r>
              <w:rPr>
                <w:rFonts w:hint="eastAsia" w:ascii="Times New Roman" w:hAnsi="Times New Roman" w:cs="Times New Roman"/>
                <w:color w:val="000000" w:themeColor="text1"/>
                <w:kern w:val="2"/>
                <w:sz w:val="24"/>
                <w:szCs w:val="24"/>
                <w:lang w:val="en-US" w:bidi="ar-SA"/>
              </w:rPr>
              <w:t>生态环境准入清单</w:t>
            </w:r>
          </w:p>
          <w:p w14:paraId="7FBD4BAA">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本项目为</w:t>
            </w:r>
            <w:r>
              <w:rPr>
                <w:rFonts w:hint="eastAsia" w:ascii="Times New Roman" w:hAnsi="Times New Roman" w:cs="Times New Roman"/>
                <w:color w:val="000000" w:themeColor="text1"/>
                <w:kern w:val="2"/>
                <w:sz w:val="24"/>
                <w:szCs w:val="24"/>
                <w:lang w:val="en-US" w:bidi="ar-SA"/>
              </w:rPr>
              <w:t>医院建设</w:t>
            </w:r>
            <w:r>
              <w:rPr>
                <w:rFonts w:ascii="Times New Roman" w:hAnsi="Times New Roman" w:cs="Times New Roman"/>
                <w:color w:val="000000" w:themeColor="text1"/>
                <w:kern w:val="2"/>
                <w:sz w:val="24"/>
                <w:szCs w:val="24"/>
                <w:lang w:val="en-US" w:bidi="ar-SA"/>
              </w:rPr>
              <w:t>项目，</w:t>
            </w:r>
            <w:r>
              <w:rPr>
                <w:rFonts w:hint="eastAsia" w:ascii="Times New Roman" w:hAnsi="Times New Roman" w:cs="Times New Roman"/>
                <w:color w:val="000000" w:themeColor="text1"/>
                <w:kern w:val="2"/>
                <w:sz w:val="24"/>
                <w:szCs w:val="24"/>
                <w:lang w:val="en-US" w:bidi="ar-SA"/>
              </w:rPr>
              <w:t>位于永福县城镇空间重点管控单元，编码为ZH45032620002。</w:t>
            </w:r>
            <w:r>
              <w:rPr>
                <w:rFonts w:ascii="Times New Roman" w:hAnsi="Times New Roman" w:cs="Times New Roman"/>
                <w:color w:val="000000" w:themeColor="text1"/>
                <w:sz w:val="24"/>
                <w:szCs w:val="24"/>
                <w:lang w:val="en-US"/>
              </w:rPr>
              <w:t>本项目</w:t>
            </w:r>
            <w:r>
              <w:rPr>
                <w:rFonts w:hint="eastAsia" w:ascii="Times New Roman" w:hAnsi="Times New Roman" w:cs="Times New Roman"/>
                <w:color w:val="000000" w:themeColor="text1"/>
                <w:sz w:val="24"/>
                <w:szCs w:val="24"/>
                <w:lang w:val="en-US"/>
              </w:rPr>
              <w:t>符合永福县城镇空间重点管控要求，具体分析详见下文“四、项目与永福县城镇空间重点管控单元符合性分析”</w:t>
            </w:r>
          </w:p>
          <w:p w14:paraId="1C0CAE3F">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综上，本项目能够符合“三线一单”的管理要求。</w:t>
            </w:r>
          </w:p>
          <w:p w14:paraId="2D857989">
            <w:pPr>
              <w:autoSpaceDE/>
              <w:autoSpaceDN/>
              <w:spacing w:line="360" w:lineRule="auto"/>
              <w:ind w:firstLine="482" w:firstLineChars="200"/>
              <w:jc w:val="both"/>
              <w:rPr>
                <w:rFonts w:ascii="Times New Roman" w:hAnsi="Times New Roman" w:cs="Times New Roman"/>
                <w:b/>
                <w:color w:val="000000" w:themeColor="text1"/>
                <w:kern w:val="2"/>
                <w:sz w:val="24"/>
                <w:szCs w:val="20"/>
                <w:lang w:val="en-US" w:bidi="ar-SA"/>
              </w:rPr>
            </w:pPr>
            <w:r>
              <w:rPr>
                <w:rFonts w:hint="eastAsia" w:ascii="Times New Roman" w:hAnsi="Times New Roman" w:cs="Times New Roman"/>
                <w:b/>
                <w:color w:val="000000" w:themeColor="text1"/>
                <w:kern w:val="2"/>
                <w:sz w:val="24"/>
                <w:szCs w:val="20"/>
                <w:lang w:val="en-US" w:bidi="ar-SA"/>
              </w:rPr>
              <w:t>二</w:t>
            </w:r>
            <w:r>
              <w:rPr>
                <w:rFonts w:ascii="Times New Roman" w:hAnsi="Times New Roman" w:cs="Times New Roman"/>
                <w:b/>
                <w:color w:val="000000" w:themeColor="text1"/>
                <w:kern w:val="2"/>
                <w:sz w:val="24"/>
                <w:szCs w:val="20"/>
                <w:lang w:val="en-US" w:bidi="ar-SA"/>
              </w:rPr>
              <w:t>、产业政策的符合性分析</w:t>
            </w:r>
          </w:p>
          <w:p w14:paraId="74943DA8">
            <w:pPr>
              <w:autoSpaceDE/>
              <w:autoSpaceDN/>
              <w:spacing w:line="360" w:lineRule="auto"/>
              <w:ind w:firstLine="480" w:firstLineChars="20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kern w:val="2"/>
                <w:sz w:val="24"/>
                <w:szCs w:val="24"/>
                <w:lang w:val="en-US" w:bidi="ar-SA"/>
              </w:rPr>
              <w:t>本项目为</w:t>
            </w:r>
            <w:r>
              <w:rPr>
                <w:rFonts w:hint="eastAsia" w:ascii="Times New Roman" w:hAnsi="Times New Roman" w:cs="Times New Roman"/>
                <w:color w:val="000000" w:themeColor="text1"/>
                <w:sz w:val="24"/>
                <w:szCs w:val="24"/>
                <w:lang w:val="en-US"/>
              </w:rPr>
              <w:t>综合</w:t>
            </w:r>
            <w:r>
              <w:rPr>
                <w:rFonts w:hint="eastAsia" w:ascii="Times New Roman" w:hAnsi="Times New Roman" w:cs="Times New Roman"/>
                <w:color w:val="000000" w:themeColor="text1"/>
                <w:sz w:val="24"/>
                <w:szCs w:val="24"/>
              </w:rPr>
              <w:t>医院</w:t>
            </w:r>
            <w:r>
              <w:rPr>
                <w:rFonts w:ascii="Times New Roman" w:hAnsi="Times New Roman" w:cs="Times New Roman"/>
                <w:color w:val="000000" w:themeColor="text1"/>
                <w:kern w:val="2"/>
                <w:sz w:val="24"/>
                <w:szCs w:val="24"/>
                <w:lang w:val="en-US" w:bidi="ar-SA"/>
              </w:rPr>
              <w:t>，</w:t>
            </w:r>
            <w:bookmarkStart w:id="3" w:name="_Hlk105592485"/>
            <w:r>
              <w:rPr>
                <w:rFonts w:ascii="Times New Roman" w:hAnsi="Times New Roman" w:cs="Times New Roman"/>
                <w:color w:val="000000" w:themeColor="text1"/>
                <w:kern w:val="2"/>
                <w:sz w:val="24"/>
                <w:szCs w:val="24"/>
                <w:lang w:val="en-US" w:bidi="ar-SA"/>
              </w:rPr>
              <w:t>本项目属于《产业结构调整指导目录（</w:t>
            </w:r>
            <w:r>
              <w:rPr>
                <w:rFonts w:hint="eastAsia" w:ascii="Times New Roman" w:hAnsi="Times New Roman" w:cs="Times New Roman"/>
                <w:color w:val="000000" w:themeColor="text1"/>
                <w:kern w:val="2"/>
                <w:sz w:val="24"/>
                <w:szCs w:val="24"/>
                <w:lang w:val="en-US" w:bidi="ar-SA"/>
              </w:rPr>
              <w:t>2024</w:t>
            </w:r>
            <w:r>
              <w:rPr>
                <w:rFonts w:ascii="Times New Roman" w:hAnsi="Times New Roman" w:cs="Times New Roman"/>
                <w:color w:val="000000" w:themeColor="text1"/>
                <w:kern w:val="2"/>
                <w:sz w:val="24"/>
                <w:szCs w:val="24"/>
                <w:lang w:val="en-US" w:bidi="ar-SA"/>
              </w:rPr>
              <w:t>年本）》中</w:t>
            </w:r>
            <w:r>
              <w:rPr>
                <w:rFonts w:hint="eastAsia" w:ascii="Times New Roman" w:hAnsi="Times New Roman" w:cs="Times New Roman"/>
                <w:color w:val="000000" w:themeColor="text1"/>
                <w:kern w:val="2"/>
                <w:sz w:val="24"/>
                <w:szCs w:val="24"/>
                <w:lang w:val="en-US" w:bidi="ar-SA"/>
              </w:rPr>
              <w:t>三十七、卫生健康，为</w:t>
            </w:r>
            <w:r>
              <w:rPr>
                <w:rFonts w:ascii="Times New Roman" w:hAnsi="Times New Roman" w:cs="Times New Roman"/>
                <w:color w:val="000000" w:themeColor="text1"/>
                <w:kern w:val="2"/>
                <w:sz w:val="24"/>
                <w:szCs w:val="24"/>
                <w:lang w:val="en-US" w:bidi="ar-SA"/>
              </w:rPr>
              <w:t>“鼓励类”，</w:t>
            </w:r>
            <w:bookmarkEnd w:id="3"/>
            <w:r>
              <w:rPr>
                <w:rFonts w:hint="eastAsia" w:ascii="Times New Roman" w:hAnsi="Times New Roman" w:cs="Times New Roman"/>
                <w:color w:val="000000" w:themeColor="text1"/>
                <w:kern w:val="2"/>
                <w:sz w:val="24"/>
                <w:szCs w:val="24"/>
                <w:lang w:val="en-US" w:bidi="ar-SA"/>
              </w:rPr>
              <w:t>“永福县人民医院业务综合楼新增建设项目”</w:t>
            </w:r>
            <w:r>
              <w:rPr>
                <w:rFonts w:hint="eastAsia" w:ascii="Times New Roman" w:hAnsi="Times New Roman" w:cs="Times New Roman"/>
                <w:color w:val="000000" w:themeColor="text1"/>
                <w:kern w:val="2"/>
                <w:sz w:val="24"/>
                <w:szCs w:val="28"/>
              </w:rPr>
              <w:t>已</w:t>
            </w:r>
            <w:r>
              <w:rPr>
                <w:rFonts w:hint="eastAsia" w:ascii="Times New Roman" w:hAnsi="Times New Roman" w:cs="Times New Roman"/>
                <w:color w:val="000000" w:themeColor="text1"/>
                <w:kern w:val="2"/>
                <w:sz w:val="24"/>
                <w:szCs w:val="28"/>
                <w:lang w:val="en-US"/>
              </w:rPr>
              <w:t>取得</w:t>
            </w:r>
            <w:r>
              <w:rPr>
                <w:rFonts w:hint="eastAsia" w:ascii="Times New Roman" w:hAnsi="Times New Roman" w:cs="Times New Roman"/>
                <w:color w:val="000000" w:themeColor="text1"/>
                <w:sz w:val="24"/>
                <w:szCs w:val="24"/>
                <w:lang w:val="en-US"/>
              </w:rPr>
              <w:t>永福县发展和改革局立项</w:t>
            </w:r>
            <w:r>
              <w:rPr>
                <w:rFonts w:hint="eastAsia" w:ascii="Times New Roman" w:hAnsi="Times New Roman" w:cs="Times New Roman"/>
                <w:color w:val="000000" w:themeColor="text1"/>
                <w:kern w:val="2"/>
                <w:sz w:val="24"/>
                <w:szCs w:val="28"/>
                <w:lang w:val="en-US"/>
              </w:rPr>
              <w:t>批复</w:t>
            </w:r>
            <w:r>
              <w:rPr>
                <w:rFonts w:hint="eastAsia" w:ascii="Times New Roman" w:hAnsi="Times New Roman" w:cs="Times New Roman"/>
                <w:color w:val="000000" w:themeColor="text1"/>
                <w:kern w:val="2"/>
                <w:sz w:val="24"/>
                <w:szCs w:val="28"/>
              </w:rPr>
              <w:t>，</w:t>
            </w:r>
            <w:r>
              <w:rPr>
                <w:rFonts w:hint="eastAsia" w:ascii="Times New Roman" w:hAnsi="Times New Roman" w:cs="Times New Roman"/>
                <w:color w:val="000000" w:themeColor="text1"/>
                <w:kern w:val="2"/>
                <w:sz w:val="24"/>
                <w:szCs w:val="28"/>
                <w:lang w:val="en-US"/>
              </w:rPr>
              <w:t>文号：永发改字</w:t>
            </w:r>
            <w:r>
              <w:rPr>
                <w:rFonts w:hint="eastAsia" w:ascii="Times New Roman" w:hAnsi="Times New Roman" w:cs="Times New Roman"/>
                <w:bCs/>
                <w:color w:val="000000" w:themeColor="text1"/>
                <w:sz w:val="24"/>
                <w:szCs w:val="24"/>
              </w:rPr>
              <w:t>〔20</w:t>
            </w:r>
            <w:r>
              <w:rPr>
                <w:rFonts w:hint="eastAsia" w:ascii="Times New Roman" w:hAnsi="Times New Roman" w:cs="Times New Roman"/>
                <w:bCs/>
                <w:color w:val="000000" w:themeColor="text1"/>
                <w:sz w:val="24"/>
                <w:szCs w:val="24"/>
                <w:lang w:val="en-US"/>
              </w:rPr>
              <w:t>10</w:t>
            </w:r>
            <w:r>
              <w:rPr>
                <w:rFonts w:hint="eastAsia" w:ascii="Times New Roman" w:hAnsi="Times New Roman" w:cs="Times New Roman"/>
                <w:bCs/>
                <w:color w:val="000000" w:themeColor="text1"/>
                <w:sz w:val="24"/>
                <w:szCs w:val="24"/>
              </w:rPr>
              <w:t>〕</w:t>
            </w:r>
            <w:r>
              <w:rPr>
                <w:rFonts w:hint="eastAsia" w:ascii="Times New Roman" w:hAnsi="Times New Roman" w:cs="Times New Roman"/>
                <w:bCs/>
                <w:color w:val="000000" w:themeColor="text1"/>
                <w:sz w:val="24"/>
                <w:szCs w:val="24"/>
                <w:lang w:val="en-US"/>
              </w:rPr>
              <w:t>01</w:t>
            </w:r>
            <w:r>
              <w:rPr>
                <w:rFonts w:hint="eastAsia" w:ascii="Times New Roman" w:hAnsi="Times New Roman" w:cs="Times New Roman"/>
                <w:bCs/>
                <w:color w:val="000000" w:themeColor="text1"/>
                <w:sz w:val="24"/>
                <w:szCs w:val="24"/>
              </w:rPr>
              <w:t>号，《永福县人民医院公共卫生救治能力提升项目</w:t>
            </w:r>
            <w:r>
              <w:rPr>
                <w:rFonts w:hint="eastAsia" w:ascii="Times New Roman" w:hAnsi="Times New Roman" w:cs="Times New Roman"/>
                <w:bCs/>
                <w:color w:val="000000" w:themeColor="text1"/>
                <w:sz w:val="24"/>
                <w:szCs w:val="24"/>
                <w:lang w:val="en-US"/>
              </w:rPr>
              <w:t>建议书</w:t>
            </w:r>
            <w:r>
              <w:rPr>
                <w:rFonts w:hint="eastAsia" w:ascii="Times New Roman" w:hAnsi="Times New Roman" w:cs="Times New Roman"/>
                <w:bCs/>
                <w:color w:val="000000" w:themeColor="text1"/>
                <w:sz w:val="24"/>
                <w:szCs w:val="24"/>
              </w:rPr>
              <w:t>》</w:t>
            </w:r>
            <w:r>
              <w:rPr>
                <w:rFonts w:hint="eastAsia" w:ascii="Times New Roman" w:hAnsi="Times New Roman" w:cs="Times New Roman"/>
                <w:color w:val="000000" w:themeColor="text1"/>
                <w:kern w:val="2"/>
                <w:sz w:val="24"/>
                <w:szCs w:val="28"/>
              </w:rPr>
              <w:t>已</w:t>
            </w:r>
            <w:r>
              <w:rPr>
                <w:rFonts w:hint="eastAsia" w:ascii="Times New Roman" w:hAnsi="Times New Roman" w:cs="Times New Roman"/>
                <w:color w:val="000000" w:themeColor="text1"/>
                <w:kern w:val="2"/>
                <w:sz w:val="24"/>
                <w:szCs w:val="28"/>
                <w:lang w:val="en-US"/>
              </w:rPr>
              <w:t>取得桂林市发展和改革委员会批复，文号：</w:t>
            </w:r>
            <w:r>
              <w:rPr>
                <w:rFonts w:hint="eastAsia" w:ascii="Times New Roman" w:hAnsi="Times New Roman" w:cs="Times New Roman"/>
                <w:color w:val="000000" w:themeColor="text1"/>
                <w:sz w:val="24"/>
                <w:szCs w:val="24"/>
                <w:lang w:val="en-US"/>
              </w:rPr>
              <w:t>市</w:t>
            </w:r>
            <w:r>
              <w:rPr>
                <w:rFonts w:ascii="Times New Roman" w:hAnsi="Times New Roman" w:cs="Times New Roman"/>
                <w:color w:val="000000" w:themeColor="text1"/>
                <w:sz w:val="24"/>
                <w:szCs w:val="24"/>
                <w:lang w:val="en-US"/>
              </w:rPr>
              <w:t>发改</w:t>
            </w:r>
            <w:r>
              <w:rPr>
                <w:rFonts w:hint="eastAsia" w:ascii="Times New Roman" w:hAnsi="Times New Roman" w:cs="Times New Roman"/>
                <w:color w:val="000000" w:themeColor="text1"/>
                <w:sz w:val="24"/>
                <w:szCs w:val="24"/>
                <w:lang w:val="en-US"/>
              </w:rPr>
              <w:t>管</w:t>
            </w:r>
            <w:r>
              <w:rPr>
                <w:rFonts w:ascii="Times New Roman" w:hAnsi="Times New Roman" w:cs="Times New Roman"/>
                <w:color w:val="000000" w:themeColor="text1"/>
                <w:sz w:val="24"/>
                <w:szCs w:val="24"/>
                <w:lang w:val="en-US"/>
              </w:rPr>
              <w:t>〔20</w:t>
            </w:r>
            <w:r>
              <w:rPr>
                <w:rFonts w:hint="eastAsia" w:ascii="Times New Roman" w:hAnsi="Times New Roman" w:cs="Times New Roman"/>
                <w:color w:val="000000" w:themeColor="text1"/>
                <w:sz w:val="24"/>
                <w:szCs w:val="24"/>
                <w:lang w:val="en-US"/>
              </w:rPr>
              <w:t>20</w:t>
            </w:r>
            <w:r>
              <w:rPr>
                <w:rFonts w:ascii="Times New Roman" w:hAnsi="Times New Roman" w:cs="Times New Roman"/>
                <w:color w:val="000000" w:themeColor="text1"/>
                <w:sz w:val="24"/>
                <w:szCs w:val="24"/>
                <w:lang w:val="en-US"/>
              </w:rPr>
              <w:t>〕</w:t>
            </w:r>
            <w:r>
              <w:rPr>
                <w:rFonts w:hint="eastAsia" w:ascii="Times New Roman" w:hAnsi="Times New Roman" w:cs="Times New Roman"/>
                <w:color w:val="000000" w:themeColor="text1"/>
                <w:sz w:val="24"/>
                <w:szCs w:val="24"/>
                <w:lang w:val="en-US"/>
              </w:rPr>
              <w:t>54</w:t>
            </w:r>
            <w:r>
              <w:rPr>
                <w:rFonts w:ascii="Times New Roman" w:hAnsi="Times New Roman" w:cs="Times New Roman"/>
                <w:color w:val="000000" w:themeColor="text1"/>
                <w:sz w:val="24"/>
                <w:szCs w:val="24"/>
                <w:lang w:val="en-US"/>
              </w:rPr>
              <w:t>号</w:t>
            </w:r>
            <w:r>
              <w:rPr>
                <w:rFonts w:ascii="Times New Roman" w:hAnsi="Times New Roman" w:cs="Times New Roman"/>
                <w:color w:val="000000" w:themeColor="text1"/>
                <w:kern w:val="2"/>
                <w:sz w:val="24"/>
                <w:szCs w:val="24"/>
                <w:lang w:val="en-US" w:bidi="ar-SA"/>
              </w:rPr>
              <w:t>。</w:t>
            </w:r>
            <w:r>
              <w:rPr>
                <w:rFonts w:hint="eastAsia" w:ascii="Times New Roman" w:hAnsi="Times New Roman" w:cs="Times New Roman"/>
                <w:color w:val="000000" w:themeColor="text1"/>
                <w:sz w:val="24"/>
                <w:szCs w:val="24"/>
                <w:lang w:val="en-US"/>
              </w:rPr>
              <w:t>因此，本项目建设符合国家产业政策的要求。</w:t>
            </w:r>
          </w:p>
          <w:p w14:paraId="760E3B68">
            <w:pPr>
              <w:autoSpaceDE/>
              <w:autoSpaceDN/>
              <w:spacing w:line="360" w:lineRule="auto"/>
              <w:ind w:firstLine="482" w:firstLineChars="200"/>
              <w:jc w:val="both"/>
              <w:rPr>
                <w:rFonts w:ascii="Times New Roman" w:hAnsi="Times New Roman" w:cs="Times New Roman"/>
                <w:b/>
                <w:color w:val="000000" w:themeColor="text1"/>
                <w:kern w:val="2"/>
                <w:sz w:val="24"/>
                <w:szCs w:val="20"/>
                <w:lang w:val="en-US" w:bidi="ar-SA"/>
              </w:rPr>
            </w:pPr>
            <w:r>
              <w:rPr>
                <w:rFonts w:hint="eastAsia" w:ascii="Times New Roman" w:hAnsi="Times New Roman" w:cs="Times New Roman"/>
                <w:b/>
                <w:color w:val="000000" w:themeColor="text1"/>
                <w:kern w:val="2"/>
                <w:sz w:val="24"/>
                <w:szCs w:val="20"/>
                <w:lang w:val="en-US" w:bidi="ar-SA"/>
              </w:rPr>
              <w:t>三</w:t>
            </w:r>
            <w:r>
              <w:rPr>
                <w:rFonts w:ascii="Times New Roman" w:hAnsi="Times New Roman" w:cs="Times New Roman"/>
                <w:b/>
                <w:color w:val="000000" w:themeColor="text1"/>
                <w:kern w:val="2"/>
                <w:sz w:val="24"/>
                <w:szCs w:val="20"/>
                <w:lang w:val="en-US" w:bidi="ar-SA"/>
              </w:rPr>
              <w:t>、项目选址合理性分析</w:t>
            </w:r>
          </w:p>
          <w:p w14:paraId="1B09FBD8">
            <w:pPr>
              <w:autoSpaceDE/>
              <w:autoSpaceDN/>
              <w:spacing w:line="360" w:lineRule="auto"/>
              <w:ind w:firstLine="480" w:firstLineChars="200"/>
              <w:rPr>
                <w:rFonts w:ascii="Times New Roman" w:hAnsi="Times New Roman" w:cs="Times New Roman"/>
                <w:color w:val="000000" w:themeColor="text1"/>
                <w:sz w:val="24"/>
                <w:szCs w:val="24"/>
                <w:lang w:val="en-US" w:bidi="ar-SA"/>
              </w:rPr>
            </w:pPr>
            <w:r>
              <w:rPr>
                <w:rFonts w:ascii="Times New Roman" w:hAnsi="Times New Roman" w:cs="Times New Roman"/>
                <w:color w:val="000000" w:themeColor="text1"/>
                <w:sz w:val="24"/>
                <w:szCs w:val="24"/>
                <w:lang w:val="en-US" w:bidi="ar-SA"/>
              </w:rPr>
              <w:t>项目建设地址位于</w:t>
            </w:r>
            <w:r>
              <w:rPr>
                <w:rFonts w:hint="eastAsia" w:ascii="Times New Roman" w:hAnsi="Times New Roman" w:cs="Times New Roman"/>
                <w:color w:val="000000" w:themeColor="text1"/>
                <w:sz w:val="24"/>
                <w:szCs w:val="24"/>
                <w:lang w:val="en-US" w:bidi="ar-SA"/>
              </w:rPr>
              <w:t>广西壮族自治区桂林市永福县永福镇迎宾路132号永福县人民医院内</w:t>
            </w:r>
            <w:r>
              <w:rPr>
                <w:rFonts w:ascii="Times New Roman" w:hAnsi="Times New Roman" w:cs="Times New Roman"/>
                <w:color w:val="000000" w:themeColor="text1"/>
                <w:sz w:val="24"/>
                <w:szCs w:val="24"/>
                <w:lang w:val="en-US" w:bidi="ar-SA"/>
              </w:rPr>
              <w:t>，</w:t>
            </w:r>
            <w:r>
              <w:rPr>
                <w:rFonts w:ascii="Times New Roman" w:hAnsi="Times New Roman" w:cs="Times New Roman"/>
                <w:color w:val="000000" w:themeColor="text1"/>
                <w:kern w:val="2"/>
                <w:sz w:val="24"/>
                <w:szCs w:val="24"/>
                <w:lang w:val="en-US" w:bidi="ar-SA"/>
              </w:rPr>
              <w:t>不新增占地，</w:t>
            </w:r>
            <w:r>
              <w:rPr>
                <w:rFonts w:ascii="Times New Roman" w:hAnsi="Times New Roman" w:cs="Times New Roman"/>
                <w:color w:val="000000" w:themeColor="text1"/>
                <w:sz w:val="24"/>
                <w:szCs w:val="24"/>
                <w:lang w:val="en-US" w:bidi="ar-SA"/>
              </w:rPr>
              <w:t>在交通、通信、供电、供水等方面具备良好的条件，项目用电来自当地电网，交通、能源均有保障。</w:t>
            </w:r>
            <w:r>
              <w:rPr>
                <w:rFonts w:hint="eastAsia" w:ascii="Times New Roman" w:hAnsi="Times New Roman" w:cs="Times New Roman"/>
                <w:color w:val="000000" w:themeColor="text1"/>
                <w:sz w:val="24"/>
                <w:szCs w:val="24"/>
                <w:lang w:val="en-US" w:bidi="ar-SA"/>
              </w:rPr>
              <w:t>项目周边主要为永福镇商业及小区居民，本项目为医院类项目</w:t>
            </w:r>
            <w:r>
              <w:rPr>
                <w:rFonts w:hint="eastAsia" w:ascii="Times New Roman" w:hAnsi="Times New Roman"/>
                <w:color w:val="000000" w:themeColor="text1"/>
                <w:sz w:val="24"/>
              </w:rPr>
              <w:t>，位于原</w:t>
            </w:r>
            <w:r>
              <w:rPr>
                <w:rFonts w:hint="eastAsia" w:ascii="Times New Roman" w:hAnsi="Times New Roman" w:cs="Times New Roman"/>
                <w:color w:val="000000" w:themeColor="text1"/>
                <w:sz w:val="24"/>
                <w:szCs w:val="24"/>
                <w:lang w:val="en-US" w:bidi="ar-SA"/>
              </w:rPr>
              <w:t>医院内，</w:t>
            </w:r>
            <w:r>
              <w:rPr>
                <w:rFonts w:ascii="Times New Roman" w:hAnsi="Times New Roman" w:cs="Times New Roman"/>
                <w:color w:val="000000" w:themeColor="text1"/>
                <w:sz w:val="24"/>
                <w:szCs w:val="24"/>
                <w:lang w:val="en-US" w:bidi="ar-SA"/>
              </w:rPr>
              <w:t>外环境对本项目建设没有较大限制，本项目建设后也不会对周围环境产生较大的影响。</w:t>
            </w:r>
            <w:r>
              <w:rPr>
                <w:rFonts w:hint="eastAsia" w:ascii="Times New Roman" w:hAnsi="Times New Roman" w:cs="Times New Roman"/>
                <w:color w:val="000000" w:themeColor="text1"/>
                <w:sz w:val="24"/>
                <w:szCs w:val="24"/>
                <w:lang w:val="en-US" w:bidi="ar-SA"/>
              </w:rPr>
              <w:t>因此，</w:t>
            </w:r>
            <w:r>
              <w:rPr>
                <w:rFonts w:ascii="Times New Roman" w:hAnsi="Times New Roman" w:cs="Times New Roman"/>
                <w:color w:val="000000" w:themeColor="text1"/>
                <w:sz w:val="24"/>
                <w:szCs w:val="24"/>
                <w:lang w:val="en-US" w:bidi="ar-SA"/>
              </w:rPr>
              <w:t>本项目选址合理</w:t>
            </w:r>
            <w:r>
              <w:rPr>
                <w:rFonts w:hint="eastAsia" w:ascii="Times New Roman" w:hAnsi="Times New Roman" w:cs="Times New Roman"/>
                <w:color w:val="000000" w:themeColor="text1"/>
                <w:sz w:val="24"/>
                <w:szCs w:val="24"/>
                <w:lang w:val="en-US" w:bidi="ar-SA"/>
              </w:rPr>
              <w:t>。</w:t>
            </w:r>
          </w:p>
          <w:p w14:paraId="690F5912">
            <w:pPr>
              <w:pStyle w:val="40"/>
              <w:spacing w:line="360" w:lineRule="auto"/>
              <w:ind w:firstLine="482" w:firstLineChars="200"/>
              <w:rPr>
                <w:rFonts w:ascii="Times New Roman" w:hAnsi="Times New Roman" w:cs="Times New Roman"/>
                <w:b/>
                <w:color w:val="000000" w:themeColor="text1"/>
                <w:sz w:val="24"/>
                <w:szCs w:val="24"/>
                <w:lang w:val="en-US"/>
              </w:rPr>
            </w:pPr>
            <w:r>
              <w:rPr>
                <w:rFonts w:hint="eastAsia" w:ascii="Times New Roman" w:hAnsi="Times New Roman" w:cs="Times New Roman"/>
                <w:b/>
                <w:color w:val="000000" w:themeColor="text1"/>
                <w:sz w:val="24"/>
                <w:szCs w:val="24"/>
                <w:lang w:val="en-US"/>
              </w:rPr>
              <w:t>四、项目与永福县城镇空间重点管控单元符合性分析</w:t>
            </w:r>
          </w:p>
          <w:p w14:paraId="0CD8EBF2">
            <w:pPr>
              <w:spacing w:line="360" w:lineRule="auto"/>
              <w:ind w:firstLine="480" w:firstLineChars="200"/>
              <w:rPr>
                <w:rFonts w:ascii="Times New Roman" w:hAnsi="Times New Roman" w:cs="Times New Roman"/>
                <w:bCs/>
                <w:color w:val="000000" w:themeColor="text1"/>
                <w:sz w:val="24"/>
                <w:szCs w:val="24"/>
              </w:rPr>
            </w:pPr>
            <w:r>
              <w:rPr>
                <w:rFonts w:hint="eastAsia" w:ascii="Times New Roman" w:hAnsi="Times New Roman" w:cs="Times New Roman"/>
                <w:bCs/>
                <w:color w:val="000000" w:themeColor="text1"/>
                <w:sz w:val="24"/>
                <w:szCs w:val="24"/>
              </w:rPr>
              <w:t>根据《桂林市生态环境局关于印发实施桂林市生态环境分区管控动态更新成果（2023年）的通知》（市环规范〔2024〕3号），并结合广西“生态云”平台建设项目智能研判报告，项目涉及1个环境管控单元，为</w:t>
            </w:r>
            <w:r>
              <w:rPr>
                <w:rFonts w:hint="eastAsia" w:ascii="Times New Roman" w:hAnsi="Times New Roman" w:cs="Times New Roman"/>
                <w:color w:val="000000" w:themeColor="text1"/>
                <w:kern w:val="2"/>
                <w:sz w:val="24"/>
                <w:szCs w:val="24"/>
                <w:lang w:val="en-US" w:bidi="ar-SA"/>
              </w:rPr>
              <w:t>永福县城镇空间重点管控单元</w:t>
            </w:r>
            <w:r>
              <w:rPr>
                <w:rFonts w:hint="eastAsia" w:ascii="Times New Roman" w:hAnsi="Times New Roman" w:cs="Times New Roman"/>
                <w:bCs/>
                <w:color w:val="000000" w:themeColor="text1"/>
                <w:sz w:val="24"/>
                <w:szCs w:val="24"/>
              </w:rPr>
              <w:t>，编码为</w:t>
            </w:r>
            <w:r>
              <w:rPr>
                <w:rFonts w:hint="eastAsia" w:ascii="Times New Roman" w:hAnsi="Times New Roman" w:cs="Times New Roman"/>
                <w:color w:val="000000" w:themeColor="text1"/>
                <w:kern w:val="2"/>
                <w:sz w:val="24"/>
                <w:szCs w:val="24"/>
                <w:lang w:val="en-US" w:bidi="ar-SA"/>
              </w:rPr>
              <w:t>ZH45032620002</w:t>
            </w:r>
            <w:r>
              <w:rPr>
                <w:rFonts w:hint="eastAsia" w:ascii="Times New Roman" w:hAnsi="Times New Roman" w:cs="Times New Roman"/>
                <w:bCs/>
                <w:color w:val="000000" w:themeColor="text1"/>
                <w:sz w:val="24"/>
                <w:szCs w:val="24"/>
              </w:rPr>
              <w:t>。项目与</w:t>
            </w:r>
            <w:r>
              <w:rPr>
                <w:rFonts w:hint="eastAsia" w:ascii="Times New Roman" w:hAnsi="Times New Roman" w:cs="Times New Roman"/>
                <w:color w:val="000000" w:themeColor="text1"/>
                <w:kern w:val="2"/>
                <w:sz w:val="24"/>
                <w:szCs w:val="24"/>
                <w:lang w:val="en-US" w:bidi="ar-SA"/>
              </w:rPr>
              <w:t>永福县城镇空间重点管控单元管控</w:t>
            </w:r>
            <w:r>
              <w:rPr>
                <w:rFonts w:hint="eastAsia" w:ascii="Times New Roman" w:hAnsi="Times New Roman" w:cs="Times New Roman"/>
                <w:bCs/>
                <w:color w:val="000000" w:themeColor="text1"/>
                <w:sz w:val="24"/>
                <w:szCs w:val="24"/>
                <w:lang w:val="en-US"/>
              </w:rPr>
              <w:t>要求</w:t>
            </w:r>
            <w:r>
              <w:rPr>
                <w:rFonts w:ascii="Times New Roman" w:hAnsi="Times New Roman" w:cs="Times New Roman"/>
                <w:bCs/>
                <w:color w:val="000000" w:themeColor="text1"/>
                <w:sz w:val="24"/>
                <w:szCs w:val="24"/>
              </w:rPr>
              <w:t>相符性分析见下表</w:t>
            </w:r>
            <w:r>
              <w:rPr>
                <w:rFonts w:hint="eastAsia" w:ascii="Times New Roman" w:hAnsi="Times New Roman" w:cs="Times New Roman"/>
                <w:bCs/>
                <w:color w:val="000000" w:themeColor="text1"/>
                <w:sz w:val="24"/>
                <w:szCs w:val="24"/>
              </w:rPr>
              <w:t>。</w:t>
            </w:r>
          </w:p>
          <w:p w14:paraId="78E065AC">
            <w:pPr>
              <w:jc w:val="center"/>
              <w:rPr>
                <w:rFonts w:ascii="Times New Roman" w:hAnsi="Times New Roman" w:cs="Times New Roman"/>
                <w:b/>
                <w:color w:val="000000" w:themeColor="text1"/>
                <w:sz w:val="24"/>
                <w:szCs w:val="24"/>
                <w:lang w:val="en-US"/>
              </w:rPr>
            </w:pPr>
            <w:r>
              <w:rPr>
                <w:rFonts w:hint="eastAsia" w:ascii="Times New Roman" w:hAnsi="Times New Roman" w:cs="Times New Roman"/>
                <w:b/>
                <w:bCs/>
                <w:color w:val="000000" w:themeColor="text1"/>
                <w:sz w:val="24"/>
                <w:szCs w:val="24"/>
              </w:rPr>
              <w:t>表1-</w:t>
            </w:r>
            <w:r>
              <w:rPr>
                <w:rFonts w:hint="eastAsia" w:ascii="Times New Roman" w:hAnsi="Times New Roman" w:cs="Times New Roman"/>
                <w:b/>
                <w:bCs/>
                <w:color w:val="000000" w:themeColor="text1"/>
                <w:sz w:val="24"/>
                <w:szCs w:val="24"/>
                <w:lang w:val="en-US"/>
              </w:rPr>
              <w:t>1</w:t>
            </w:r>
            <w:r>
              <w:rPr>
                <w:rFonts w:hint="eastAsia" w:ascii="Times New Roman" w:hAnsi="Times New Roman" w:cs="Times New Roman"/>
                <w:b/>
                <w:bCs/>
                <w:color w:val="000000" w:themeColor="text1"/>
                <w:sz w:val="24"/>
                <w:szCs w:val="24"/>
              </w:rPr>
              <w:t xml:space="preserve"> 项目与永福县城镇空间重点管控单元管控要求符合性分析表</w:t>
            </w:r>
          </w:p>
          <w:tbl>
            <w:tblPr>
              <w:tblStyle w:val="27"/>
              <w:tblW w:w="48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904"/>
              <w:gridCol w:w="612"/>
              <w:gridCol w:w="2731"/>
              <w:gridCol w:w="2025"/>
              <w:gridCol w:w="364"/>
            </w:tblGrid>
            <w:tr w14:paraId="5C29E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jc w:val="center"/>
              </w:trPr>
              <w:tc>
                <w:tcPr>
                  <w:tcW w:w="601" w:type="pct"/>
                  <w:shd w:val="clear" w:color="auto" w:fill="FFFFFF"/>
                  <w:vAlign w:val="center"/>
                </w:tcPr>
                <w:p w14:paraId="53A9719E">
                  <w:pPr>
                    <w:spacing w:line="340" w:lineRule="exact"/>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管控单元</w:t>
                  </w:r>
                </w:p>
                <w:p w14:paraId="2678973D">
                  <w:pPr>
                    <w:spacing w:line="340" w:lineRule="exact"/>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编码</w:t>
                  </w:r>
                </w:p>
              </w:tc>
              <w:tc>
                <w:tcPr>
                  <w:tcW w:w="599" w:type="pct"/>
                  <w:shd w:val="clear" w:color="auto" w:fill="FFFFFF"/>
                  <w:vAlign w:val="center"/>
                </w:tcPr>
                <w:p w14:paraId="7B4EB4A8">
                  <w:pPr>
                    <w:spacing w:line="340" w:lineRule="exact"/>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管控单元名称</w:t>
                  </w:r>
                </w:p>
              </w:tc>
              <w:tc>
                <w:tcPr>
                  <w:tcW w:w="2215" w:type="pct"/>
                  <w:gridSpan w:val="2"/>
                  <w:shd w:val="clear" w:color="auto" w:fill="FFFFFF"/>
                  <w:vAlign w:val="center"/>
                </w:tcPr>
                <w:p w14:paraId="15758566">
                  <w:pPr>
                    <w:spacing w:line="340" w:lineRule="exact"/>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生态环境准入及管控要求</w:t>
                  </w:r>
                </w:p>
              </w:tc>
              <w:tc>
                <w:tcPr>
                  <w:tcW w:w="1341" w:type="pct"/>
                  <w:shd w:val="clear" w:color="auto" w:fill="FFFFFF"/>
                  <w:vAlign w:val="center"/>
                </w:tcPr>
                <w:p w14:paraId="588B50FA">
                  <w:pPr>
                    <w:spacing w:line="340" w:lineRule="exact"/>
                    <w:jc w:val="center"/>
                    <w:rPr>
                      <w:rFonts w:ascii="Times New Roman" w:hAnsi="Times New Roman" w:cs="Times New Roman"/>
                      <w:b/>
                      <w:color w:val="000000" w:themeColor="text1"/>
                      <w:sz w:val="21"/>
                      <w:szCs w:val="21"/>
                    </w:rPr>
                  </w:pPr>
                  <w:r>
                    <w:rPr>
                      <w:rFonts w:ascii="Times New Roman" w:hAnsi="Times New Roman" w:cs="Times New Roman"/>
                      <w:b/>
                      <w:color w:val="000000" w:themeColor="text1"/>
                      <w:sz w:val="21"/>
                      <w:szCs w:val="21"/>
                    </w:rPr>
                    <w:t>项目对应</w:t>
                  </w:r>
                </w:p>
                <w:p w14:paraId="73AE6620">
                  <w:pPr>
                    <w:spacing w:line="340" w:lineRule="exact"/>
                    <w:jc w:val="center"/>
                    <w:rPr>
                      <w:rFonts w:ascii="Times New Roman" w:hAnsi="Times New Roman" w:cs="Times New Roman"/>
                      <w:b/>
                      <w:bCs/>
                      <w:color w:val="000000" w:themeColor="text1"/>
                      <w:sz w:val="21"/>
                      <w:szCs w:val="21"/>
                    </w:rPr>
                  </w:pPr>
                  <w:r>
                    <w:rPr>
                      <w:rFonts w:ascii="Times New Roman" w:hAnsi="Times New Roman" w:cs="Times New Roman"/>
                      <w:b/>
                      <w:color w:val="000000" w:themeColor="text1"/>
                      <w:sz w:val="21"/>
                      <w:szCs w:val="21"/>
                    </w:rPr>
                    <w:t>情况介绍</w:t>
                  </w:r>
                </w:p>
              </w:tc>
              <w:tc>
                <w:tcPr>
                  <w:tcW w:w="241" w:type="pct"/>
                  <w:shd w:val="clear" w:color="auto" w:fill="FFFFFF"/>
                  <w:vAlign w:val="center"/>
                </w:tcPr>
                <w:p w14:paraId="0490DBA1">
                  <w:pPr>
                    <w:spacing w:line="340" w:lineRule="exact"/>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符合性</w:t>
                  </w:r>
                </w:p>
                <w:p w14:paraId="444668A9">
                  <w:pPr>
                    <w:spacing w:line="340" w:lineRule="exact"/>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分析</w:t>
                  </w:r>
                </w:p>
              </w:tc>
            </w:tr>
            <w:tr w14:paraId="4E42A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601" w:type="pct"/>
                  <w:vMerge w:val="restart"/>
                  <w:shd w:val="clear" w:color="auto" w:fill="FFFFFF"/>
                  <w:vAlign w:val="center"/>
                </w:tcPr>
                <w:p w14:paraId="4E590B7F">
                  <w:pPr>
                    <w:jc w:val="center"/>
                    <w:rPr>
                      <w:rFonts w:ascii="Times New Roman" w:hAnsi="Times New Roman" w:cs="Times New Roman"/>
                      <w:bCs/>
                      <w:color w:val="000000" w:themeColor="text1"/>
                      <w:sz w:val="21"/>
                      <w:szCs w:val="21"/>
                      <w:lang w:val="en-US"/>
                    </w:rPr>
                  </w:pPr>
                  <w:r>
                    <w:rPr>
                      <w:rFonts w:hint="eastAsia" w:ascii="Times New Roman" w:hAnsi="Times New Roman" w:cs="Times New Roman"/>
                      <w:bCs/>
                      <w:color w:val="000000" w:themeColor="text1"/>
                      <w:sz w:val="21"/>
                      <w:szCs w:val="21"/>
                      <w:lang w:val="en-US"/>
                    </w:rPr>
                    <w:t>ZH45032620002</w:t>
                  </w:r>
                </w:p>
              </w:tc>
              <w:tc>
                <w:tcPr>
                  <w:tcW w:w="599" w:type="pct"/>
                  <w:vMerge w:val="restart"/>
                  <w:shd w:val="clear" w:color="auto" w:fill="FFFFFF"/>
                  <w:vAlign w:val="center"/>
                </w:tcPr>
                <w:p w14:paraId="491AF1D6">
                  <w:pPr>
                    <w:pStyle w:val="75"/>
                    <w:spacing w:before="72"/>
                    <w:ind w:left="102"/>
                    <w:jc w:val="center"/>
                    <w:rPr>
                      <w:rFonts w:ascii="Times New Roman" w:hAnsi="Times New Roman" w:cs="Times New Roman"/>
                      <w:color w:val="000000" w:themeColor="text1"/>
                      <w:sz w:val="21"/>
                      <w:szCs w:val="21"/>
                      <w:lang w:eastAsia="zh-CN"/>
                    </w:rPr>
                  </w:pPr>
                  <w:r>
                    <w:rPr>
                      <w:rFonts w:hint="eastAsia" w:ascii="Times New Roman" w:hAnsi="Times New Roman" w:cs="Times New Roman"/>
                      <w:color w:val="000000" w:themeColor="text1"/>
                      <w:sz w:val="21"/>
                      <w:szCs w:val="21"/>
                      <w:lang w:eastAsia="zh-CN"/>
                    </w:rPr>
                    <w:t>永福县城镇空间重点管控单元</w:t>
                  </w:r>
                </w:p>
              </w:tc>
              <w:tc>
                <w:tcPr>
                  <w:tcW w:w="406" w:type="pct"/>
                  <w:vMerge w:val="restart"/>
                  <w:shd w:val="clear" w:color="auto" w:fill="FFFFFF"/>
                  <w:vAlign w:val="center"/>
                </w:tcPr>
                <w:p w14:paraId="29BC6B65">
                  <w:pPr>
                    <w:jc w:val="both"/>
                    <w:rPr>
                      <w:rFonts w:ascii="Times New Roman" w:hAnsi="Times New Roman" w:cs="Times New Roman"/>
                      <w:bCs/>
                      <w:color w:val="000000" w:themeColor="text1"/>
                      <w:sz w:val="21"/>
                      <w:szCs w:val="21"/>
                    </w:rPr>
                  </w:pPr>
                  <w:r>
                    <w:rPr>
                      <w:color w:val="000000" w:themeColor="text1"/>
                      <w:spacing w:val="3"/>
                      <w:sz w:val="21"/>
                      <w:szCs w:val="21"/>
                    </w:rPr>
                    <w:t>空间</w:t>
                  </w:r>
                  <w:r>
                    <w:rPr>
                      <w:rFonts w:hint="eastAsia"/>
                      <w:color w:val="000000" w:themeColor="text1"/>
                      <w:spacing w:val="3"/>
                      <w:sz w:val="21"/>
                      <w:szCs w:val="21"/>
                      <w:lang w:val="en-US"/>
                    </w:rPr>
                    <w:t>布</w:t>
                  </w:r>
                  <w:r>
                    <w:rPr>
                      <w:color w:val="000000" w:themeColor="text1"/>
                      <w:spacing w:val="3"/>
                      <w:sz w:val="21"/>
                      <w:szCs w:val="21"/>
                    </w:rPr>
                    <w:t>局约束</w:t>
                  </w:r>
                </w:p>
              </w:tc>
              <w:tc>
                <w:tcPr>
                  <w:tcW w:w="1808" w:type="pct"/>
                  <w:shd w:val="clear" w:color="auto" w:fill="FFFFFF"/>
                  <w:vAlign w:val="center"/>
                </w:tcPr>
                <w:p w14:paraId="3C70D490">
                  <w:pPr>
                    <w:jc w:val="both"/>
                    <w:rPr>
                      <w:rFonts w:ascii="Times New Roman" w:hAnsi="Times New Roman" w:cs="Times New Roman"/>
                      <w:bCs/>
                      <w:color w:val="000000" w:themeColor="text1"/>
                      <w:sz w:val="21"/>
                      <w:szCs w:val="21"/>
                    </w:rPr>
                  </w:pPr>
                  <w:r>
                    <w:rPr>
                      <w:rFonts w:ascii="Times New Roman" w:hAnsi="Times New Roman" w:cs="Times New Roman"/>
                      <w:color w:val="000000" w:themeColor="text1"/>
                      <w:spacing w:val="-5"/>
                      <w:sz w:val="21"/>
                      <w:szCs w:val="21"/>
                    </w:rPr>
                    <w:t>1.在城市建成区内，禁止贮存、加工、制造或者使用产生恶臭气体的物质；公共服务设施垃圾转运站项目可按《生活垃圾转运站技术规范》（CJJ/T47-2016）实施。</w:t>
                  </w:r>
                </w:p>
              </w:tc>
              <w:tc>
                <w:tcPr>
                  <w:tcW w:w="1341" w:type="pct"/>
                  <w:shd w:val="clear" w:color="auto" w:fill="FFFFFF"/>
                  <w:vAlign w:val="center"/>
                </w:tcPr>
                <w:p w14:paraId="4F976E1B">
                  <w:pPr>
                    <w:jc w:val="both"/>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rPr>
                    <w:t>项目为医院类项目，未贮存、加工、制造或者使用产生恶臭气体的物质，</w:t>
                  </w:r>
                  <w:r>
                    <w:rPr>
                      <w:rFonts w:hint="eastAsia" w:ascii="Times New Roman" w:hAnsi="Times New Roman" w:cs="Times New Roman"/>
                      <w:color w:val="000000" w:themeColor="text1"/>
                      <w:sz w:val="21"/>
                      <w:szCs w:val="21"/>
                      <w:lang w:val="en-US"/>
                    </w:rPr>
                    <w:t>不涉及公共服务设施垃圾转运站，配套建设的</w:t>
                  </w:r>
                  <w:r>
                    <w:rPr>
                      <w:rFonts w:ascii="Times New Roman" w:hAnsi="Times New Roman" w:cs="Times New Roman"/>
                      <w:color w:val="000000" w:themeColor="text1"/>
                      <w:sz w:val="21"/>
                      <w:szCs w:val="21"/>
                    </w:rPr>
                    <w:t>污水处理站为地埋</w:t>
                  </w:r>
                  <w:r>
                    <w:rPr>
                      <w:rFonts w:ascii="Times New Roman" w:hAnsi="Times New Roman" w:cs="Times New Roman"/>
                      <w:color w:val="000000" w:themeColor="text1"/>
                      <w:sz w:val="21"/>
                      <w:szCs w:val="21"/>
                      <w:lang w:val="en-US"/>
                    </w:rPr>
                    <w:t>式</w:t>
                  </w:r>
                  <w:r>
                    <w:rPr>
                      <w:rFonts w:ascii="Times New Roman" w:hAnsi="Times New Roman" w:cs="Times New Roman"/>
                      <w:color w:val="000000" w:themeColor="text1"/>
                      <w:sz w:val="21"/>
                      <w:szCs w:val="21"/>
                    </w:rPr>
                    <w:t>，经过医院绿化等措施后，基本无恶臭气体产生</w:t>
                  </w:r>
                  <w:r>
                    <w:rPr>
                      <w:rFonts w:hint="eastAsia" w:ascii="Times New Roman" w:hAnsi="Times New Roman" w:cs="Times New Roman"/>
                      <w:color w:val="000000" w:themeColor="text1"/>
                      <w:sz w:val="21"/>
                      <w:szCs w:val="21"/>
                    </w:rPr>
                    <w:t>。</w:t>
                  </w:r>
                </w:p>
              </w:tc>
              <w:tc>
                <w:tcPr>
                  <w:tcW w:w="241" w:type="pct"/>
                  <w:shd w:val="clear" w:color="auto" w:fill="FFFFFF"/>
                  <w:vAlign w:val="center"/>
                </w:tcPr>
                <w:p w14:paraId="7F67DAD2">
                  <w:pPr>
                    <w:jc w:val="center"/>
                    <w:rPr>
                      <w:rFonts w:ascii="Times New Roman" w:hAnsi="Times New Roman" w:cs="Times New Roman"/>
                      <w:bCs/>
                      <w:color w:val="000000" w:themeColor="text1"/>
                      <w:sz w:val="21"/>
                      <w:szCs w:val="21"/>
                    </w:rPr>
                  </w:pPr>
                  <w:r>
                    <w:rPr>
                      <w:rFonts w:ascii="Times New Roman" w:hAnsi="Times New Roman" w:cs="Times New Roman"/>
                      <w:bCs/>
                      <w:color w:val="000000" w:themeColor="text1"/>
                      <w:sz w:val="21"/>
                      <w:szCs w:val="21"/>
                    </w:rPr>
                    <w:t>符合</w:t>
                  </w:r>
                </w:p>
              </w:tc>
            </w:tr>
            <w:tr w14:paraId="22C16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jc w:val="center"/>
              </w:trPr>
              <w:tc>
                <w:tcPr>
                  <w:tcW w:w="601" w:type="pct"/>
                  <w:vMerge w:val="continue"/>
                  <w:shd w:val="clear" w:color="auto" w:fill="FFFFFF"/>
                  <w:vAlign w:val="center"/>
                </w:tcPr>
                <w:p w14:paraId="6D5D037C">
                  <w:pPr>
                    <w:jc w:val="both"/>
                    <w:rPr>
                      <w:rFonts w:hint="eastAsia"/>
                      <w:color w:val="000000" w:themeColor="text1"/>
                      <w:spacing w:val="-1"/>
                      <w:sz w:val="21"/>
                      <w:szCs w:val="21"/>
                    </w:rPr>
                  </w:pPr>
                </w:p>
              </w:tc>
              <w:tc>
                <w:tcPr>
                  <w:tcW w:w="599" w:type="pct"/>
                  <w:vMerge w:val="continue"/>
                  <w:shd w:val="clear" w:color="auto" w:fill="FFFFFF"/>
                  <w:vAlign w:val="center"/>
                </w:tcPr>
                <w:p w14:paraId="245BA37C">
                  <w:pPr>
                    <w:pStyle w:val="75"/>
                    <w:spacing w:before="72"/>
                    <w:ind w:left="102"/>
                    <w:jc w:val="both"/>
                    <w:rPr>
                      <w:rFonts w:hint="eastAsia"/>
                      <w:color w:val="000000" w:themeColor="text1"/>
                      <w:spacing w:val="1"/>
                      <w:sz w:val="21"/>
                      <w:szCs w:val="21"/>
                    </w:rPr>
                  </w:pPr>
                </w:p>
              </w:tc>
              <w:tc>
                <w:tcPr>
                  <w:tcW w:w="406" w:type="pct"/>
                  <w:vMerge w:val="continue"/>
                  <w:shd w:val="clear" w:color="auto" w:fill="FFFFFF"/>
                  <w:vAlign w:val="center"/>
                </w:tcPr>
                <w:p w14:paraId="6A9B9433">
                  <w:pPr>
                    <w:jc w:val="both"/>
                    <w:rPr>
                      <w:rFonts w:hint="eastAsia"/>
                      <w:color w:val="000000" w:themeColor="text1"/>
                      <w:spacing w:val="3"/>
                      <w:sz w:val="21"/>
                      <w:szCs w:val="21"/>
                    </w:rPr>
                  </w:pPr>
                </w:p>
              </w:tc>
              <w:tc>
                <w:tcPr>
                  <w:tcW w:w="1808" w:type="pct"/>
                  <w:shd w:val="clear" w:color="auto" w:fill="FFFFFF"/>
                  <w:vAlign w:val="center"/>
                </w:tcPr>
                <w:p w14:paraId="6D9165A8">
                  <w:pPr>
                    <w:pStyle w:val="75"/>
                    <w:spacing w:before="7"/>
                    <w:jc w:val="both"/>
                    <w:rPr>
                      <w:rFonts w:ascii="Times New Roman" w:hAnsi="Times New Roman" w:cs="Times New Roman"/>
                      <w:color w:val="000000" w:themeColor="text1"/>
                      <w:spacing w:val="-5"/>
                      <w:sz w:val="21"/>
                      <w:szCs w:val="21"/>
                      <w:lang w:eastAsia="zh-CN"/>
                    </w:rPr>
                  </w:pPr>
                  <w:r>
                    <w:rPr>
                      <w:rFonts w:ascii="Times New Roman" w:hAnsi="Times New Roman" w:cs="Times New Roman"/>
                      <w:color w:val="000000" w:themeColor="text1"/>
                      <w:spacing w:val="-5"/>
                      <w:sz w:val="21"/>
                      <w:szCs w:val="21"/>
                      <w:lang w:eastAsia="zh-CN"/>
                    </w:rPr>
                    <w:t>2.禁止新建、扩建煤电、石化、化工、现代煤化工、钢铁、焦化、有色金属冶炼、建材等高耗能、高排放项目；禁止新建、改建、扩建产生恶臭气体的项目。</w:t>
                  </w:r>
                </w:p>
              </w:tc>
              <w:tc>
                <w:tcPr>
                  <w:tcW w:w="1341" w:type="pct"/>
                  <w:shd w:val="clear" w:color="auto" w:fill="FFFFFF"/>
                  <w:vAlign w:val="center"/>
                </w:tcPr>
                <w:p w14:paraId="7DF5C4E8">
                  <w:pPr>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rPr>
                    <w:t>本项目为医院类项目，不属于高耗能、高排放项目，配套的污水处理站为地埋式，经过医院绿化等措施后，基本无恶臭气体产生</w:t>
                  </w:r>
                </w:p>
              </w:tc>
              <w:tc>
                <w:tcPr>
                  <w:tcW w:w="241" w:type="pct"/>
                  <w:shd w:val="clear" w:color="auto" w:fill="FFFFFF"/>
                  <w:vAlign w:val="center"/>
                </w:tcPr>
                <w:p w14:paraId="588FE141">
                  <w:pPr>
                    <w:jc w:val="center"/>
                    <w:rPr>
                      <w:rFonts w:ascii="Times New Roman" w:hAnsi="Times New Roman" w:cs="Times New Roman"/>
                      <w:bCs/>
                      <w:color w:val="000000" w:themeColor="text1"/>
                      <w:sz w:val="21"/>
                      <w:szCs w:val="21"/>
                    </w:rPr>
                  </w:pPr>
                  <w:r>
                    <w:rPr>
                      <w:rFonts w:ascii="Times New Roman" w:hAnsi="Times New Roman" w:cs="Times New Roman"/>
                      <w:bCs/>
                      <w:color w:val="000000" w:themeColor="text1"/>
                      <w:sz w:val="21"/>
                      <w:szCs w:val="21"/>
                    </w:rPr>
                    <w:t>符合</w:t>
                  </w:r>
                </w:p>
              </w:tc>
            </w:tr>
            <w:tr w14:paraId="528CE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jc w:val="center"/>
              </w:trPr>
              <w:tc>
                <w:tcPr>
                  <w:tcW w:w="601" w:type="pct"/>
                  <w:vMerge w:val="continue"/>
                  <w:shd w:val="clear" w:color="auto" w:fill="FFFFFF"/>
                  <w:vAlign w:val="center"/>
                </w:tcPr>
                <w:p w14:paraId="7094D7FF">
                  <w:pPr>
                    <w:jc w:val="both"/>
                    <w:rPr>
                      <w:rFonts w:hint="eastAsia"/>
                      <w:color w:val="000000" w:themeColor="text1"/>
                      <w:spacing w:val="-1"/>
                      <w:sz w:val="21"/>
                      <w:szCs w:val="21"/>
                    </w:rPr>
                  </w:pPr>
                </w:p>
              </w:tc>
              <w:tc>
                <w:tcPr>
                  <w:tcW w:w="599" w:type="pct"/>
                  <w:vMerge w:val="continue"/>
                  <w:shd w:val="clear" w:color="auto" w:fill="FFFFFF"/>
                  <w:vAlign w:val="center"/>
                </w:tcPr>
                <w:p w14:paraId="192F410F">
                  <w:pPr>
                    <w:pStyle w:val="75"/>
                    <w:spacing w:before="72"/>
                    <w:ind w:left="102"/>
                    <w:jc w:val="both"/>
                    <w:rPr>
                      <w:rFonts w:hint="eastAsia"/>
                      <w:color w:val="000000" w:themeColor="text1"/>
                      <w:spacing w:val="1"/>
                      <w:sz w:val="21"/>
                      <w:szCs w:val="21"/>
                      <w:lang w:eastAsia="zh-CN"/>
                    </w:rPr>
                  </w:pPr>
                </w:p>
              </w:tc>
              <w:tc>
                <w:tcPr>
                  <w:tcW w:w="406" w:type="pct"/>
                  <w:vMerge w:val="continue"/>
                  <w:shd w:val="clear" w:color="auto" w:fill="FFFFFF"/>
                  <w:vAlign w:val="center"/>
                </w:tcPr>
                <w:p w14:paraId="44DF93D2">
                  <w:pPr>
                    <w:jc w:val="both"/>
                    <w:rPr>
                      <w:rFonts w:hint="eastAsia"/>
                      <w:color w:val="000000" w:themeColor="text1"/>
                      <w:spacing w:val="3"/>
                      <w:sz w:val="21"/>
                      <w:szCs w:val="21"/>
                    </w:rPr>
                  </w:pPr>
                </w:p>
              </w:tc>
              <w:tc>
                <w:tcPr>
                  <w:tcW w:w="1808" w:type="pct"/>
                  <w:shd w:val="clear" w:color="auto" w:fill="FFFFFF"/>
                  <w:vAlign w:val="center"/>
                </w:tcPr>
                <w:p w14:paraId="5036C20B">
                  <w:pPr>
                    <w:pStyle w:val="75"/>
                    <w:spacing w:before="24"/>
                    <w:jc w:val="both"/>
                    <w:rPr>
                      <w:rFonts w:ascii="Times New Roman" w:hAnsi="Times New Roman" w:cs="Times New Roman"/>
                      <w:color w:val="000000" w:themeColor="text1"/>
                      <w:spacing w:val="-4"/>
                      <w:sz w:val="21"/>
                      <w:szCs w:val="21"/>
                      <w:lang w:eastAsia="zh-CN"/>
                    </w:rPr>
                  </w:pPr>
                  <w:r>
                    <w:rPr>
                      <w:rFonts w:ascii="Times New Roman" w:hAnsi="Times New Roman" w:cs="Times New Roman"/>
                      <w:color w:val="000000" w:themeColor="text1"/>
                      <w:spacing w:val="-5"/>
                      <w:sz w:val="21"/>
                      <w:szCs w:val="21"/>
                      <w:lang w:eastAsia="zh-CN"/>
                    </w:rPr>
                    <w:t>3.城市市区、镇和村庄居民区、文化教育科学研究区等人口集中区域禁止设置畜禽养殖场、养殖小区。</w:t>
                  </w:r>
                </w:p>
              </w:tc>
              <w:tc>
                <w:tcPr>
                  <w:tcW w:w="1341" w:type="pct"/>
                  <w:shd w:val="clear" w:color="auto" w:fill="FFFFFF"/>
                  <w:vAlign w:val="center"/>
                </w:tcPr>
                <w:p w14:paraId="5FBF0945">
                  <w:pPr>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不涉及</w:t>
                  </w:r>
                </w:p>
              </w:tc>
              <w:tc>
                <w:tcPr>
                  <w:tcW w:w="241" w:type="pct"/>
                  <w:shd w:val="clear" w:color="auto" w:fill="FFFFFF"/>
                  <w:vAlign w:val="center"/>
                </w:tcPr>
                <w:p w14:paraId="3ED37DC6">
                  <w:pPr>
                    <w:jc w:val="center"/>
                    <w:rPr>
                      <w:rFonts w:ascii="Times New Roman" w:hAnsi="Times New Roman" w:cs="Times New Roman"/>
                      <w:bCs/>
                      <w:color w:val="000000" w:themeColor="text1"/>
                      <w:sz w:val="21"/>
                      <w:szCs w:val="21"/>
                    </w:rPr>
                  </w:pPr>
                  <w:r>
                    <w:rPr>
                      <w:rFonts w:ascii="Times New Roman" w:hAnsi="Times New Roman" w:cs="Times New Roman"/>
                      <w:bCs/>
                      <w:color w:val="000000" w:themeColor="text1"/>
                      <w:sz w:val="21"/>
                      <w:szCs w:val="21"/>
                    </w:rPr>
                    <w:t>符合</w:t>
                  </w:r>
                </w:p>
              </w:tc>
            </w:tr>
            <w:tr w14:paraId="3861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1" w:type="pct"/>
                  <w:vMerge w:val="continue"/>
                  <w:shd w:val="clear" w:color="auto" w:fill="FFFFFF"/>
                  <w:vAlign w:val="center"/>
                </w:tcPr>
                <w:p w14:paraId="02E1D68E">
                  <w:pPr>
                    <w:jc w:val="both"/>
                    <w:rPr>
                      <w:rFonts w:hint="eastAsia"/>
                      <w:color w:val="000000" w:themeColor="text1"/>
                      <w:spacing w:val="-1"/>
                      <w:sz w:val="21"/>
                      <w:szCs w:val="21"/>
                    </w:rPr>
                  </w:pPr>
                </w:p>
              </w:tc>
              <w:tc>
                <w:tcPr>
                  <w:tcW w:w="599" w:type="pct"/>
                  <w:vMerge w:val="continue"/>
                  <w:shd w:val="clear" w:color="auto" w:fill="FFFFFF"/>
                  <w:vAlign w:val="center"/>
                </w:tcPr>
                <w:p w14:paraId="2CF0AE6C">
                  <w:pPr>
                    <w:pStyle w:val="75"/>
                    <w:spacing w:before="72"/>
                    <w:ind w:left="102"/>
                    <w:jc w:val="both"/>
                    <w:rPr>
                      <w:rFonts w:hint="eastAsia"/>
                      <w:color w:val="000000" w:themeColor="text1"/>
                      <w:spacing w:val="1"/>
                      <w:sz w:val="21"/>
                      <w:szCs w:val="21"/>
                      <w:lang w:eastAsia="zh-CN"/>
                    </w:rPr>
                  </w:pPr>
                </w:p>
              </w:tc>
              <w:tc>
                <w:tcPr>
                  <w:tcW w:w="406" w:type="pct"/>
                  <w:vMerge w:val="restart"/>
                  <w:shd w:val="clear" w:color="auto" w:fill="FFFFFF"/>
                  <w:vAlign w:val="center"/>
                </w:tcPr>
                <w:p w14:paraId="28603EDA">
                  <w:pPr>
                    <w:jc w:val="both"/>
                    <w:rPr>
                      <w:rFonts w:hint="eastAsia"/>
                      <w:color w:val="000000" w:themeColor="text1"/>
                      <w:spacing w:val="3"/>
                      <w:sz w:val="21"/>
                      <w:szCs w:val="21"/>
                    </w:rPr>
                  </w:pPr>
                  <w:r>
                    <w:rPr>
                      <w:rFonts w:hint="eastAsia"/>
                      <w:color w:val="000000" w:themeColor="text1"/>
                      <w:spacing w:val="3"/>
                      <w:sz w:val="21"/>
                      <w:szCs w:val="21"/>
                    </w:rPr>
                    <w:t>污染物排放管</w:t>
                  </w:r>
                </w:p>
                <w:p w14:paraId="0F5804F8">
                  <w:pPr>
                    <w:jc w:val="both"/>
                    <w:rPr>
                      <w:rFonts w:hint="eastAsia"/>
                      <w:color w:val="000000" w:themeColor="text1"/>
                      <w:spacing w:val="3"/>
                      <w:sz w:val="21"/>
                      <w:szCs w:val="21"/>
                    </w:rPr>
                  </w:pPr>
                  <w:r>
                    <w:rPr>
                      <w:rFonts w:hint="eastAsia"/>
                      <w:color w:val="000000" w:themeColor="text1"/>
                      <w:spacing w:val="3"/>
                      <w:sz w:val="21"/>
                      <w:szCs w:val="21"/>
                    </w:rPr>
                    <w:t>控</w:t>
                  </w:r>
                </w:p>
              </w:tc>
              <w:tc>
                <w:tcPr>
                  <w:tcW w:w="1808" w:type="pct"/>
                  <w:shd w:val="clear" w:color="auto" w:fill="FFFFFF"/>
                  <w:vAlign w:val="center"/>
                </w:tcPr>
                <w:p w14:paraId="3EC3546B">
                  <w:pPr>
                    <w:jc w:val="both"/>
                    <w:rPr>
                      <w:rFonts w:ascii="Times New Roman" w:hAnsi="Times New Roman" w:cs="Times New Roman"/>
                      <w:color w:val="000000" w:themeColor="text1"/>
                      <w:spacing w:val="-4"/>
                      <w:sz w:val="21"/>
                      <w:szCs w:val="21"/>
                    </w:rPr>
                  </w:pPr>
                  <w:r>
                    <w:rPr>
                      <w:rFonts w:ascii="Times New Roman" w:hAnsi="Times New Roman" w:cs="Times New Roman"/>
                      <w:color w:val="000000" w:themeColor="text1"/>
                      <w:spacing w:val="-4"/>
                      <w:sz w:val="21"/>
                      <w:szCs w:val="21"/>
                    </w:rPr>
                    <w:t>1</w:t>
                  </w:r>
                  <w:r>
                    <w:rPr>
                      <w:rFonts w:hint="eastAsia" w:ascii="Times New Roman" w:hAnsi="Times New Roman" w:cs="Times New Roman"/>
                      <w:color w:val="000000" w:themeColor="text1"/>
                      <w:spacing w:val="-4"/>
                      <w:sz w:val="21"/>
                      <w:szCs w:val="21"/>
                    </w:rPr>
                    <w:t>.</w:t>
                  </w:r>
                  <w:r>
                    <w:rPr>
                      <w:rFonts w:ascii="Times New Roman" w:hAnsi="Times New Roman" w:cs="Times New Roman"/>
                      <w:color w:val="000000" w:themeColor="text1"/>
                      <w:spacing w:val="-4"/>
                      <w:sz w:val="21"/>
                      <w:szCs w:val="21"/>
                    </w:rPr>
                    <w:t>加大淘汰35蒸吨/小时以下燃煤锅炉力度。依法依规加快淘汰老旧柴油货车。严格控制施工和道路扬尘污染。禁止露天焚烧产生有毒有害烟尘和恶臭气体的物质。</w:t>
                  </w:r>
                </w:p>
              </w:tc>
              <w:tc>
                <w:tcPr>
                  <w:tcW w:w="1341" w:type="pct"/>
                  <w:shd w:val="clear" w:color="auto" w:fill="FFFFFF"/>
                  <w:vAlign w:val="center"/>
                </w:tcPr>
                <w:p w14:paraId="668A5ACB">
                  <w:pPr>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本项目不涉及锅炉，且已建设完成</w:t>
                  </w:r>
                  <w:r>
                    <w:rPr>
                      <w:rFonts w:ascii="Times New Roman" w:hAnsi="Times New Roman" w:cs="Times New Roman"/>
                      <w:color w:val="000000" w:themeColor="text1"/>
                      <w:sz w:val="21"/>
                      <w:szCs w:val="21"/>
                      <w:lang w:val="en-US"/>
                    </w:rPr>
                    <w:t>，</w:t>
                  </w:r>
                  <w:r>
                    <w:rPr>
                      <w:rFonts w:hint="eastAsia" w:ascii="Times New Roman" w:hAnsi="Times New Roman" w:cs="Times New Roman"/>
                      <w:color w:val="000000" w:themeColor="text1"/>
                      <w:sz w:val="21"/>
                      <w:szCs w:val="21"/>
                      <w:lang w:val="en-US"/>
                    </w:rPr>
                    <w:t>未发生环境投诉事件，</w:t>
                  </w:r>
                  <w:r>
                    <w:rPr>
                      <w:rFonts w:ascii="Times New Roman" w:hAnsi="Times New Roman" w:cs="Times New Roman"/>
                      <w:color w:val="000000" w:themeColor="text1"/>
                      <w:sz w:val="21"/>
                      <w:szCs w:val="21"/>
                      <w:lang w:val="en-US"/>
                    </w:rPr>
                    <w:t>施工</w:t>
                  </w:r>
                  <w:r>
                    <w:rPr>
                      <w:rFonts w:hint="eastAsia" w:ascii="Times New Roman" w:hAnsi="Times New Roman" w:cs="Times New Roman"/>
                      <w:color w:val="000000" w:themeColor="text1"/>
                      <w:sz w:val="21"/>
                      <w:szCs w:val="21"/>
                      <w:lang w:val="en-US"/>
                    </w:rPr>
                    <w:t>时采取相应抑尘措施后</w:t>
                  </w:r>
                  <w:r>
                    <w:rPr>
                      <w:rFonts w:ascii="Times New Roman" w:hAnsi="Times New Roman" w:cs="Times New Roman"/>
                      <w:color w:val="000000" w:themeColor="text1"/>
                      <w:sz w:val="21"/>
                      <w:szCs w:val="21"/>
                      <w:lang w:val="en-US"/>
                    </w:rPr>
                    <w:t>扬尘产生量较小，</w:t>
                  </w:r>
                  <w:r>
                    <w:rPr>
                      <w:rFonts w:hint="eastAsia" w:ascii="Times New Roman" w:hAnsi="Times New Roman" w:cs="Times New Roman"/>
                      <w:color w:val="000000" w:themeColor="text1"/>
                      <w:sz w:val="21"/>
                      <w:szCs w:val="21"/>
                      <w:lang w:val="en-US"/>
                    </w:rPr>
                    <w:t>本项目</w:t>
                  </w:r>
                  <w:r>
                    <w:rPr>
                      <w:rFonts w:ascii="Times New Roman" w:hAnsi="Times New Roman" w:cs="Times New Roman"/>
                      <w:color w:val="000000" w:themeColor="text1"/>
                      <w:sz w:val="21"/>
                      <w:szCs w:val="21"/>
                      <w:lang w:val="en-US"/>
                    </w:rPr>
                    <w:t>对外环境影响较小。</w:t>
                  </w:r>
                </w:p>
              </w:tc>
              <w:tc>
                <w:tcPr>
                  <w:tcW w:w="241" w:type="pct"/>
                  <w:shd w:val="clear" w:color="auto" w:fill="FFFFFF"/>
                  <w:vAlign w:val="center"/>
                </w:tcPr>
                <w:p w14:paraId="64CA1A5A">
                  <w:pPr>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符合</w:t>
                  </w:r>
                </w:p>
              </w:tc>
            </w:tr>
            <w:tr w14:paraId="7C095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1" w:type="pct"/>
                  <w:vMerge w:val="continue"/>
                  <w:shd w:val="clear" w:color="auto" w:fill="FFFFFF"/>
                  <w:vAlign w:val="center"/>
                </w:tcPr>
                <w:p w14:paraId="1ABB9CEB">
                  <w:pPr>
                    <w:jc w:val="both"/>
                    <w:rPr>
                      <w:rFonts w:hint="eastAsia"/>
                      <w:color w:val="000000" w:themeColor="text1"/>
                      <w:spacing w:val="-1"/>
                      <w:sz w:val="21"/>
                      <w:szCs w:val="21"/>
                    </w:rPr>
                  </w:pPr>
                </w:p>
              </w:tc>
              <w:tc>
                <w:tcPr>
                  <w:tcW w:w="599" w:type="pct"/>
                  <w:vMerge w:val="continue"/>
                  <w:shd w:val="clear" w:color="auto" w:fill="FFFFFF"/>
                  <w:vAlign w:val="center"/>
                </w:tcPr>
                <w:p w14:paraId="2A7F9F9D">
                  <w:pPr>
                    <w:pStyle w:val="75"/>
                    <w:spacing w:before="72"/>
                    <w:ind w:left="102"/>
                    <w:jc w:val="both"/>
                    <w:rPr>
                      <w:rFonts w:hint="eastAsia"/>
                      <w:color w:val="000000" w:themeColor="text1"/>
                      <w:spacing w:val="1"/>
                      <w:sz w:val="21"/>
                      <w:szCs w:val="21"/>
                      <w:lang w:eastAsia="zh-CN"/>
                    </w:rPr>
                  </w:pPr>
                </w:p>
              </w:tc>
              <w:tc>
                <w:tcPr>
                  <w:tcW w:w="406" w:type="pct"/>
                  <w:vMerge w:val="continue"/>
                  <w:shd w:val="clear" w:color="auto" w:fill="FFFFFF"/>
                  <w:vAlign w:val="center"/>
                </w:tcPr>
                <w:p w14:paraId="7D1B255F">
                  <w:pPr>
                    <w:jc w:val="both"/>
                    <w:rPr>
                      <w:rFonts w:hint="eastAsia"/>
                      <w:color w:val="000000" w:themeColor="text1"/>
                      <w:spacing w:val="3"/>
                      <w:sz w:val="21"/>
                      <w:szCs w:val="21"/>
                    </w:rPr>
                  </w:pPr>
                </w:p>
              </w:tc>
              <w:tc>
                <w:tcPr>
                  <w:tcW w:w="1808" w:type="pct"/>
                  <w:shd w:val="clear" w:color="auto" w:fill="FFFFFF"/>
                  <w:vAlign w:val="center"/>
                </w:tcPr>
                <w:p w14:paraId="15759777">
                  <w:pPr>
                    <w:jc w:val="both"/>
                    <w:rPr>
                      <w:rFonts w:ascii="Times New Roman" w:hAnsi="Times New Roman" w:cs="Times New Roman"/>
                      <w:color w:val="000000" w:themeColor="text1"/>
                      <w:spacing w:val="-4"/>
                      <w:sz w:val="21"/>
                      <w:szCs w:val="21"/>
                    </w:rPr>
                  </w:pPr>
                  <w:r>
                    <w:rPr>
                      <w:rFonts w:ascii="Times New Roman" w:hAnsi="Times New Roman" w:cs="Times New Roman"/>
                      <w:color w:val="000000" w:themeColor="text1"/>
                      <w:spacing w:val="-4"/>
                      <w:sz w:val="21"/>
                      <w:szCs w:val="21"/>
                    </w:rPr>
                    <w:t>2</w:t>
                  </w:r>
                  <w:r>
                    <w:rPr>
                      <w:rFonts w:hint="eastAsia" w:ascii="Times New Roman" w:hAnsi="Times New Roman" w:cs="Times New Roman"/>
                      <w:color w:val="000000" w:themeColor="text1"/>
                      <w:spacing w:val="-4"/>
                      <w:sz w:val="21"/>
                      <w:szCs w:val="21"/>
                    </w:rPr>
                    <w:t>.</w:t>
                  </w:r>
                  <w:r>
                    <w:rPr>
                      <w:rFonts w:ascii="Times New Roman" w:hAnsi="Times New Roman" w:cs="Times New Roman"/>
                      <w:color w:val="000000" w:themeColor="text1"/>
                      <w:spacing w:val="-4"/>
                      <w:sz w:val="21"/>
                      <w:szCs w:val="21"/>
                    </w:rPr>
                    <w:t>在房屋建筑和市政工程中，全面推广使用低VOCs含量涂料和胶粘剂。</w:t>
                  </w:r>
                </w:p>
              </w:tc>
              <w:tc>
                <w:tcPr>
                  <w:tcW w:w="1341" w:type="pct"/>
                  <w:shd w:val="clear" w:color="auto" w:fill="FFFFFF"/>
                  <w:vAlign w:val="center"/>
                </w:tcPr>
                <w:p w14:paraId="5B405DB6">
                  <w:pPr>
                    <w:jc w:val="both"/>
                    <w:textAlignment w:val="center"/>
                    <w:rPr>
                      <w:rFonts w:ascii="Times New Roman" w:hAnsi="Times New Roman" w:cs="Times New Roman"/>
                      <w:color w:val="000000" w:themeColor="text1"/>
                      <w:spacing w:val="-4"/>
                      <w:sz w:val="21"/>
                      <w:szCs w:val="21"/>
                      <w:lang w:val="en-US"/>
                    </w:rPr>
                  </w:pPr>
                  <w:r>
                    <w:rPr>
                      <w:rFonts w:hint="eastAsia" w:ascii="Times New Roman" w:hAnsi="Times New Roman" w:cs="Times New Roman"/>
                      <w:color w:val="000000" w:themeColor="text1"/>
                      <w:sz w:val="21"/>
                      <w:szCs w:val="21"/>
                      <w:lang w:val="en-US"/>
                    </w:rPr>
                    <w:t>本项目已建设完成</w:t>
                  </w:r>
                  <w:r>
                    <w:rPr>
                      <w:rFonts w:ascii="Times New Roman" w:hAnsi="Times New Roman" w:cs="Times New Roman"/>
                      <w:color w:val="000000" w:themeColor="text1"/>
                      <w:sz w:val="21"/>
                      <w:szCs w:val="21"/>
                      <w:lang w:val="en-US"/>
                    </w:rPr>
                    <w:t>，</w:t>
                  </w:r>
                  <w:r>
                    <w:rPr>
                      <w:rFonts w:hint="eastAsia" w:ascii="Times New Roman" w:hAnsi="Times New Roman" w:cs="Times New Roman"/>
                      <w:color w:val="000000" w:themeColor="text1"/>
                      <w:sz w:val="21"/>
                      <w:szCs w:val="21"/>
                      <w:lang w:val="en-US"/>
                    </w:rPr>
                    <w:t>装修时</w:t>
                  </w:r>
                  <w:r>
                    <w:rPr>
                      <w:rFonts w:cs="Times New Roman"/>
                      <w:color w:val="000000" w:themeColor="text1"/>
                      <w:sz w:val="21"/>
                      <w:szCs w:val="21"/>
                      <w:lang w:bidi="ar"/>
                    </w:rPr>
                    <w:t>使用低</w:t>
                  </w:r>
                  <w:r>
                    <w:rPr>
                      <w:rFonts w:ascii="Times New Roman" w:hAnsi="Times New Roman" w:cs="Times New Roman"/>
                      <w:color w:val="000000" w:themeColor="text1"/>
                      <w:spacing w:val="-4"/>
                      <w:sz w:val="21"/>
                      <w:szCs w:val="21"/>
                    </w:rPr>
                    <w:t>VOCs</w:t>
                  </w:r>
                  <w:r>
                    <w:rPr>
                      <w:rFonts w:cs="Times New Roman"/>
                      <w:color w:val="000000" w:themeColor="text1"/>
                      <w:sz w:val="21"/>
                      <w:szCs w:val="21"/>
                      <w:lang w:bidi="ar"/>
                    </w:rPr>
                    <w:t>含量涂料和胶粘剂。</w:t>
                  </w:r>
                </w:p>
              </w:tc>
              <w:tc>
                <w:tcPr>
                  <w:tcW w:w="241" w:type="pct"/>
                  <w:shd w:val="clear" w:color="auto" w:fill="FFFFFF"/>
                  <w:vAlign w:val="center"/>
                </w:tcPr>
                <w:p w14:paraId="4F57F2C5">
                  <w:pPr>
                    <w:jc w:val="center"/>
                    <w:rPr>
                      <w:rFonts w:ascii="Times New Roman" w:hAnsi="Times New Roman" w:cs="Times New Roman"/>
                      <w:color w:val="000000" w:themeColor="text1"/>
                      <w:spacing w:val="-4"/>
                      <w:sz w:val="21"/>
                      <w:szCs w:val="21"/>
                    </w:rPr>
                  </w:pPr>
                  <w:r>
                    <w:rPr>
                      <w:rFonts w:cs="Times New Roman"/>
                      <w:color w:val="000000" w:themeColor="text1"/>
                      <w:sz w:val="21"/>
                      <w:szCs w:val="21"/>
                    </w:rPr>
                    <w:t>符合</w:t>
                  </w:r>
                </w:p>
              </w:tc>
            </w:tr>
            <w:tr w14:paraId="20999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1" w:type="pct"/>
                  <w:vMerge w:val="continue"/>
                  <w:shd w:val="clear" w:color="auto" w:fill="FFFFFF"/>
                  <w:vAlign w:val="center"/>
                </w:tcPr>
                <w:p w14:paraId="0EAA85EB">
                  <w:pPr>
                    <w:jc w:val="both"/>
                    <w:rPr>
                      <w:rFonts w:hint="eastAsia"/>
                      <w:color w:val="000000" w:themeColor="text1"/>
                      <w:spacing w:val="-1"/>
                      <w:sz w:val="21"/>
                      <w:szCs w:val="21"/>
                    </w:rPr>
                  </w:pPr>
                </w:p>
              </w:tc>
              <w:tc>
                <w:tcPr>
                  <w:tcW w:w="599" w:type="pct"/>
                  <w:vMerge w:val="continue"/>
                  <w:shd w:val="clear" w:color="auto" w:fill="FFFFFF"/>
                  <w:vAlign w:val="center"/>
                </w:tcPr>
                <w:p w14:paraId="3EE03AF3">
                  <w:pPr>
                    <w:pStyle w:val="75"/>
                    <w:spacing w:before="72"/>
                    <w:ind w:left="102"/>
                    <w:jc w:val="both"/>
                    <w:rPr>
                      <w:rFonts w:hint="eastAsia"/>
                      <w:color w:val="000000" w:themeColor="text1"/>
                      <w:spacing w:val="1"/>
                      <w:sz w:val="21"/>
                      <w:szCs w:val="21"/>
                      <w:lang w:eastAsia="zh-CN"/>
                    </w:rPr>
                  </w:pPr>
                </w:p>
              </w:tc>
              <w:tc>
                <w:tcPr>
                  <w:tcW w:w="406" w:type="pct"/>
                  <w:vMerge w:val="continue"/>
                  <w:shd w:val="clear" w:color="auto" w:fill="FFFFFF"/>
                  <w:vAlign w:val="center"/>
                </w:tcPr>
                <w:p w14:paraId="3B42470E">
                  <w:pPr>
                    <w:jc w:val="both"/>
                    <w:rPr>
                      <w:rFonts w:hint="eastAsia"/>
                      <w:color w:val="000000" w:themeColor="text1"/>
                      <w:spacing w:val="3"/>
                      <w:sz w:val="21"/>
                      <w:szCs w:val="21"/>
                    </w:rPr>
                  </w:pPr>
                </w:p>
              </w:tc>
              <w:tc>
                <w:tcPr>
                  <w:tcW w:w="1808" w:type="pct"/>
                  <w:shd w:val="clear" w:color="auto" w:fill="FFFFFF"/>
                  <w:vAlign w:val="center"/>
                </w:tcPr>
                <w:p w14:paraId="78ACC890">
                  <w:pPr>
                    <w:jc w:val="both"/>
                    <w:rPr>
                      <w:rFonts w:ascii="Times New Roman" w:hAnsi="Times New Roman" w:cs="Times New Roman"/>
                      <w:color w:val="000000" w:themeColor="text1"/>
                      <w:spacing w:val="-4"/>
                      <w:sz w:val="21"/>
                      <w:szCs w:val="21"/>
                    </w:rPr>
                  </w:pPr>
                  <w:r>
                    <w:rPr>
                      <w:rFonts w:ascii="Times New Roman" w:hAnsi="Times New Roman" w:cs="Times New Roman"/>
                      <w:color w:val="000000" w:themeColor="text1"/>
                      <w:spacing w:val="-4"/>
                      <w:sz w:val="21"/>
                      <w:szCs w:val="21"/>
                    </w:rPr>
                    <w:t>3</w:t>
                  </w:r>
                  <w:r>
                    <w:rPr>
                      <w:rFonts w:hint="eastAsia" w:ascii="Times New Roman" w:hAnsi="Times New Roman" w:cs="Times New Roman"/>
                      <w:color w:val="000000" w:themeColor="text1"/>
                      <w:spacing w:val="-4"/>
                      <w:sz w:val="21"/>
                      <w:szCs w:val="21"/>
                    </w:rPr>
                    <w:t>.</w:t>
                  </w:r>
                  <w:r>
                    <w:rPr>
                      <w:rFonts w:ascii="Times New Roman" w:hAnsi="Times New Roman" w:cs="Times New Roman"/>
                      <w:color w:val="000000" w:themeColor="text1"/>
                      <w:spacing w:val="-4"/>
                      <w:sz w:val="21"/>
                      <w:szCs w:val="21"/>
                    </w:rPr>
                    <w:t>推进新区、新城、污水直排、污水处理厂超负荷运行等区域生活污水处理设施建设，提高城镇污水处理能力和效能，确保出水水质达标排放，水环境敏感地区污水处理设施排放标准基本达到一级A标准。</w:t>
                  </w:r>
                </w:p>
              </w:tc>
              <w:tc>
                <w:tcPr>
                  <w:tcW w:w="1341" w:type="pct"/>
                  <w:shd w:val="clear" w:color="auto" w:fill="FFFFFF"/>
                  <w:vAlign w:val="center"/>
                </w:tcPr>
                <w:p w14:paraId="17972C68">
                  <w:pPr>
                    <w:jc w:val="both"/>
                    <w:rPr>
                      <w:rFonts w:ascii="Times New Roman" w:hAnsi="Times New Roman" w:cs="Times New Roman"/>
                      <w:color w:val="000000" w:themeColor="text1"/>
                      <w:spacing w:val="-4"/>
                      <w:sz w:val="21"/>
                      <w:szCs w:val="21"/>
                      <w:lang w:val="en-US"/>
                    </w:rPr>
                  </w:pPr>
                  <w:r>
                    <w:rPr>
                      <w:rFonts w:hint="eastAsia" w:ascii="Times New Roman" w:hAnsi="Times New Roman" w:cs="Times New Roman"/>
                      <w:color w:val="000000" w:themeColor="text1"/>
                      <w:spacing w:val="-4"/>
                      <w:sz w:val="21"/>
                      <w:szCs w:val="21"/>
                      <w:lang w:val="en-US"/>
                    </w:rPr>
                    <w:t>医疗废水处理达标接入市政管网，对污水处理厂冲击不大。</w:t>
                  </w:r>
                </w:p>
              </w:tc>
              <w:tc>
                <w:tcPr>
                  <w:tcW w:w="241" w:type="pct"/>
                  <w:shd w:val="clear" w:color="auto" w:fill="FFFFFF"/>
                  <w:vAlign w:val="center"/>
                </w:tcPr>
                <w:p w14:paraId="1D8F616F">
                  <w:pPr>
                    <w:jc w:val="center"/>
                    <w:rPr>
                      <w:rFonts w:ascii="Times New Roman" w:hAnsi="Times New Roman" w:cs="Times New Roman"/>
                      <w:color w:val="000000" w:themeColor="text1"/>
                      <w:spacing w:val="-4"/>
                      <w:sz w:val="21"/>
                      <w:szCs w:val="21"/>
                    </w:rPr>
                  </w:pPr>
                  <w:r>
                    <w:rPr>
                      <w:rFonts w:cs="Times New Roman"/>
                      <w:color w:val="000000" w:themeColor="text1"/>
                      <w:sz w:val="21"/>
                      <w:szCs w:val="21"/>
                    </w:rPr>
                    <w:t>符合</w:t>
                  </w:r>
                </w:p>
              </w:tc>
            </w:tr>
            <w:tr w14:paraId="41F88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1" w:type="pct"/>
                  <w:vMerge w:val="continue"/>
                  <w:shd w:val="clear" w:color="auto" w:fill="FFFFFF"/>
                  <w:vAlign w:val="center"/>
                </w:tcPr>
                <w:p w14:paraId="3F1D2E95">
                  <w:pPr>
                    <w:jc w:val="both"/>
                    <w:rPr>
                      <w:rFonts w:hint="eastAsia"/>
                      <w:color w:val="000000" w:themeColor="text1"/>
                      <w:spacing w:val="-1"/>
                      <w:sz w:val="21"/>
                      <w:szCs w:val="21"/>
                    </w:rPr>
                  </w:pPr>
                </w:p>
              </w:tc>
              <w:tc>
                <w:tcPr>
                  <w:tcW w:w="599" w:type="pct"/>
                  <w:vMerge w:val="continue"/>
                  <w:shd w:val="clear" w:color="auto" w:fill="FFFFFF"/>
                  <w:vAlign w:val="center"/>
                </w:tcPr>
                <w:p w14:paraId="5D90F221">
                  <w:pPr>
                    <w:pStyle w:val="75"/>
                    <w:spacing w:before="72"/>
                    <w:ind w:left="102"/>
                    <w:jc w:val="both"/>
                    <w:rPr>
                      <w:rFonts w:hint="eastAsia"/>
                      <w:color w:val="000000" w:themeColor="text1"/>
                      <w:spacing w:val="1"/>
                      <w:sz w:val="21"/>
                      <w:szCs w:val="21"/>
                      <w:lang w:eastAsia="zh-CN"/>
                    </w:rPr>
                  </w:pPr>
                </w:p>
              </w:tc>
              <w:tc>
                <w:tcPr>
                  <w:tcW w:w="406" w:type="pct"/>
                  <w:vMerge w:val="continue"/>
                  <w:shd w:val="clear" w:color="auto" w:fill="FFFFFF"/>
                  <w:vAlign w:val="center"/>
                </w:tcPr>
                <w:p w14:paraId="1CA5BA53">
                  <w:pPr>
                    <w:jc w:val="both"/>
                    <w:rPr>
                      <w:rFonts w:hint="eastAsia"/>
                      <w:color w:val="000000" w:themeColor="text1"/>
                      <w:spacing w:val="3"/>
                      <w:sz w:val="21"/>
                      <w:szCs w:val="21"/>
                    </w:rPr>
                  </w:pPr>
                </w:p>
              </w:tc>
              <w:tc>
                <w:tcPr>
                  <w:tcW w:w="1808" w:type="pct"/>
                  <w:shd w:val="clear" w:color="auto" w:fill="FFFFFF"/>
                  <w:vAlign w:val="center"/>
                </w:tcPr>
                <w:p w14:paraId="1CE9CFEE">
                  <w:pPr>
                    <w:jc w:val="both"/>
                    <w:textAlignment w:val="center"/>
                    <w:rPr>
                      <w:rFonts w:ascii="Times New Roman" w:hAnsi="Times New Roman" w:cs="Times New Roman"/>
                      <w:color w:val="000000" w:themeColor="text1"/>
                      <w:spacing w:val="-4"/>
                      <w:sz w:val="21"/>
                      <w:szCs w:val="21"/>
                    </w:rPr>
                  </w:pPr>
                  <w:r>
                    <w:rPr>
                      <w:rFonts w:ascii="Times New Roman" w:hAnsi="Times New Roman" w:cs="Times New Roman"/>
                      <w:color w:val="000000" w:themeColor="text1"/>
                      <w:sz w:val="21"/>
                      <w:szCs w:val="21"/>
                      <w:lang w:bidi="ar"/>
                    </w:rPr>
                    <w:t>4.城镇新区建设同步建设雨水收集利用和污水处理设施。城中村、老旧城区和城乡接合部应当推行污水截流、收集，对现有合流制排水系统逐步实施雨污分流改造；难以改造的，采取截流、调蓄和治理等污染防治措施。</w:t>
                  </w:r>
                </w:p>
              </w:tc>
              <w:tc>
                <w:tcPr>
                  <w:tcW w:w="1341" w:type="pct"/>
                  <w:shd w:val="clear" w:color="auto" w:fill="FFFFFF"/>
                  <w:vAlign w:val="center"/>
                </w:tcPr>
                <w:p w14:paraId="50DAA5C4">
                  <w:pPr>
                    <w:jc w:val="both"/>
                    <w:textAlignment w:val="center"/>
                    <w:rPr>
                      <w:rFonts w:ascii="Times New Roman" w:hAnsi="Times New Roman" w:cs="Times New Roman"/>
                      <w:color w:val="000000" w:themeColor="text1"/>
                      <w:spacing w:val="-4"/>
                      <w:sz w:val="21"/>
                      <w:szCs w:val="21"/>
                      <w:lang w:val="en-US"/>
                    </w:rPr>
                  </w:pPr>
                  <w:r>
                    <w:rPr>
                      <w:rFonts w:ascii="Times New Roman" w:hAnsi="Times New Roman" w:cs="Times New Roman"/>
                      <w:color w:val="000000" w:themeColor="text1"/>
                      <w:sz w:val="21"/>
                      <w:szCs w:val="21"/>
                    </w:rPr>
                    <w:t>本</w:t>
                  </w:r>
                  <w:r>
                    <w:rPr>
                      <w:rFonts w:ascii="Times New Roman" w:hAnsi="Times New Roman" w:cs="Times New Roman"/>
                      <w:color w:val="000000" w:themeColor="text1"/>
                      <w:sz w:val="21"/>
                      <w:szCs w:val="21"/>
                      <w:lang w:bidi="ar"/>
                    </w:rPr>
                    <w:t>项目位于</w:t>
                  </w:r>
                  <w:r>
                    <w:rPr>
                      <w:rFonts w:hint="eastAsia" w:ascii="Times New Roman" w:hAnsi="Times New Roman" w:cs="Times New Roman"/>
                      <w:color w:val="000000" w:themeColor="text1"/>
                      <w:sz w:val="21"/>
                      <w:szCs w:val="21"/>
                      <w:lang w:bidi="ar"/>
                    </w:rPr>
                    <w:t>广西壮族自治区桂林市永福县永福镇迎宾路132号永福县人民医院内</w:t>
                  </w:r>
                  <w:r>
                    <w:rPr>
                      <w:rFonts w:ascii="Times New Roman" w:hAnsi="Times New Roman" w:cs="Times New Roman"/>
                      <w:color w:val="000000" w:themeColor="text1"/>
                      <w:sz w:val="21"/>
                      <w:szCs w:val="21"/>
                      <w:lang w:bidi="ar"/>
                    </w:rPr>
                    <w:t>，</w:t>
                  </w:r>
                  <w:r>
                    <w:rPr>
                      <w:rFonts w:hint="eastAsia" w:ascii="Times New Roman" w:hAnsi="Times New Roman" w:cs="Times New Roman"/>
                      <w:color w:val="000000" w:themeColor="text1"/>
                      <w:sz w:val="21"/>
                      <w:szCs w:val="21"/>
                      <w:lang w:val="en-US" w:bidi="ar"/>
                    </w:rPr>
                    <w:t>院</w:t>
                  </w:r>
                  <w:r>
                    <w:rPr>
                      <w:rFonts w:ascii="Times New Roman" w:hAnsi="Times New Roman" w:cs="Times New Roman"/>
                      <w:color w:val="000000" w:themeColor="text1"/>
                      <w:sz w:val="21"/>
                      <w:szCs w:val="21"/>
                      <w:lang w:bidi="ar"/>
                    </w:rPr>
                    <w:t>区已</w:t>
                  </w:r>
                  <w:r>
                    <w:rPr>
                      <w:rFonts w:hint="eastAsia" w:ascii="Times New Roman" w:hAnsi="Times New Roman" w:cs="Times New Roman"/>
                      <w:color w:val="000000" w:themeColor="text1"/>
                      <w:sz w:val="21"/>
                      <w:szCs w:val="21"/>
                      <w:lang w:val="en-US" w:bidi="ar"/>
                    </w:rPr>
                    <w:t>完善雨、污分流。</w:t>
                  </w:r>
                </w:p>
              </w:tc>
              <w:tc>
                <w:tcPr>
                  <w:tcW w:w="241" w:type="pct"/>
                  <w:shd w:val="clear" w:color="auto" w:fill="FFFFFF"/>
                  <w:vAlign w:val="center"/>
                </w:tcPr>
                <w:p w14:paraId="6F1634E7">
                  <w:pPr>
                    <w:jc w:val="center"/>
                    <w:rPr>
                      <w:rFonts w:hint="eastAsia" w:cs="Times New Roman"/>
                      <w:color w:val="000000" w:themeColor="text1"/>
                      <w:sz w:val="21"/>
                      <w:szCs w:val="21"/>
                    </w:rPr>
                  </w:pPr>
                  <w:r>
                    <w:rPr>
                      <w:rFonts w:cs="Times New Roman"/>
                      <w:color w:val="000000" w:themeColor="text1"/>
                      <w:sz w:val="21"/>
                      <w:szCs w:val="21"/>
                    </w:rPr>
                    <w:t>符合</w:t>
                  </w:r>
                </w:p>
              </w:tc>
            </w:tr>
            <w:tr w14:paraId="463C1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1" w:type="pct"/>
                  <w:vMerge w:val="continue"/>
                  <w:shd w:val="clear" w:color="auto" w:fill="FFFFFF"/>
                  <w:vAlign w:val="center"/>
                </w:tcPr>
                <w:p w14:paraId="765CA8BB">
                  <w:pPr>
                    <w:jc w:val="both"/>
                    <w:rPr>
                      <w:rFonts w:hint="eastAsia"/>
                      <w:color w:val="000000" w:themeColor="text1"/>
                      <w:spacing w:val="-1"/>
                      <w:sz w:val="21"/>
                      <w:szCs w:val="21"/>
                    </w:rPr>
                  </w:pPr>
                </w:p>
              </w:tc>
              <w:tc>
                <w:tcPr>
                  <w:tcW w:w="599" w:type="pct"/>
                  <w:vMerge w:val="continue"/>
                  <w:shd w:val="clear" w:color="auto" w:fill="FFFFFF"/>
                  <w:vAlign w:val="center"/>
                </w:tcPr>
                <w:p w14:paraId="5BC1F316">
                  <w:pPr>
                    <w:pStyle w:val="75"/>
                    <w:spacing w:before="72"/>
                    <w:ind w:left="102"/>
                    <w:jc w:val="both"/>
                    <w:rPr>
                      <w:rFonts w:hint="eastAsia"/>
                      <w:color w:val="000000" w:themeColor="text1"/>
                      <w:spacing w:val="1"/>
                      <w:sz w:val="21"/>
                      <w:szCs w:val="21"/>
                      <w:lang w:eastAsia="zh-CN"/>
                    </w:rPr>
                  </w:pPr>
                </w:p>
              </w:tc>
              <w:tc>
                <w:tcPr>
                  <w:tcW w:w="406" w:type="pct"/>
                  <w:shd w:val="clear" w:color="auto" w:fill="FFFFFF"/>
                  <w:vAlign w:val="center"/>
                </w:tcPr>
                <w:p w14:paraId="3A977539">
                  <w:pPr>
                    <w:jc w:val="both"/>
                    <w:rPr>
                      <w:rFonts w:hint="eastAsia"/>
                      <w:color w:val="000000" w:themeColor="text1"/>
                      <w:spacing w:val="3"/>
                      <w:sz w:val="21"/>
                      <w:szCs w:val="21"/>
                    </w:rPr>
                  </w:pPr>
                  <w:r>
                    <w:rPr>
                      <w:rFonts w:hint="eastAsia"/>
                      <w:color w:val="000000" w:themeColor="text1"/>
                      <w:spacing w:val="3"/>
                      <w:sz w:val="21"/>
                      <w:szCs w:val="21"/>
                    </w:rPr>
                    <w:t>环境风险防控</w:t>
                  </w:r>
                </w:p>
              </w:tc>
              <w:tc>
                <w:tcPr>
                  <w:tcW w:w="1808" w:type="pct"/>
                  <w:shd w:val="clear" w:color="auto" w:fill="FFFFFF"/>
                  <w:vAlign w:val="center"/>
                </w:tcPr>
                <w:p w14:paraId="5F78EA91">
                  <w:pPr>
                    <w:jc w:val="both"/>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严格新建、改建、扩建生产有毒有害化学品项目的审批。实施有毒有害物质全过程监管。强化环境应急队伍建设和物资储备。</w:t>
                  </w:r>
                </w:p>
              </w:tc>
              <w:tc>
                <w:tcPr>
                  <w:tcW w:w="1341" w:type="pct"/>
                  <w:shd w:val="clear" w:color="auto" w:fill="FFFFFF"/>
                  <w:vAlign w:val="center"/>
                </w:tcPr>
                <w:p w14:paraId="3CCB94DE">
                  <w:pPr>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不涉及</w:t>
                  </w:r>
                </w:p>
              </w:tc>
              <w:tc>
                <w:tcPr>
                  <w:tcW w:w="241" w:type="pct"/>
                  <w:shd w:val="clear" w:color="auto" w:fill="FFFFFF"/>
                  <w:vAlign w:val="center"/>
                </w:tcPr>
                <w:p w14:paraId="691ADA78">
                  <w:pPr>
                    <w:jc w:val="center"/>
                    <w:rPr>
                      <w:rFonts w:ascii="Times New Roman" w:hAnsi="Times New Roman" w:cs="Times New Roman"/>
                      <w:bCs/>
                      <w:color w:val="000000" w:themeColor="text1"/>
                      <w:sz w:val="21"/>
                      <w:szCs w:val="21"/>
                    </w:rPr>
                  </w:pPr>
                  <w:r>
                    <w:rPr>
                      <w:rFonts w:ascii="Times New Roman" w:hAnsi="Times New Roman" w:cs="Times New Roman"/>
                      <w:bCs/>
                      <w:color w:val="000000" w:themeColor="text1"/>
                      <w:sz w:val="21"/>
                      <w:szCs w:val="21"/>
                    </w:rPr>
                    <w:t>符合</w:t>
                  </w:r>
                </w:p>
              </w:tc>
            </w:tr>
            <w:tr w14:paraId="68ADA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1" w:type="pct"/>
                  <w:vMerge w:val="continue"/>
                  <w:shd w:val="clear" w:color="auto" w:fill="FFFFFF"/>
                  <w:vAlign w:val="center"/>
                </w:tcPr>
                <w:p w14:paraId="09FB67B9">
                  <w:pPr>
                    <w:jc w:val="both"/>
                    <w:rPr>
                      <w:rFonts w:hint="eastAsia"/>
                      <w:color w:val="000000" w:themeColor="text1"/>
                      <w:spacing w:val="-1"/>
                      <w:sz w:val="21"/>
                      <w:szCs w:val="21"/>
                    </w:rPr>
                  </w:pPr>
                </w:p>
              </w:tc>
              <w:tc>
                <w:tcPr>
                  <w:tcW w:w="599" w:type="pct"/>
                  <w:vMerge w:val="continue"/>
                  <w:shd w:val="clear" w:color="auto" w:fill="FFFFFF"/>
                  <w:vAlign w:val="center"/>
                </w:tcPr>
                <w:p w14:paraId="0CC6CA59">
                  <w:pPr>
                    <w:pStyle w:val="75"/>
                    <w:spacing w:before="72"/>
                    <w:ind w:left="102"/>
                    <w:jc w:val="both"/>
                    <w:rPr>
                      <w:rFonts w:hint="eastAsia"/>
                      <w:color w:val="000000" w:themeColor="text1"/>
                      <w:spacing w:val="1"/>
                      <w:sz w:val="21"/>
                      <w:szCs w:val="21"/>
                      <w:lang w:eastAsia="zh-CN"/>
                    </w:rPr>
                  </w:pPr>
                </w:p>
              </w:tc>
              <w:tc>
                <w:tcPr>
                  <w:tcW w:w="406" w:type="pct"/>
                  <w:vMerge w:val="restart"/>
                  <w:shd w:val="clear" w:color="auto" w:fill="FFFFFF"/>
                  <w:vAlign w:val="center"/>
                </w:tcPr>
                <w:p w14:paraId="414D7D44">
                  <w:pPr>
                    <w:jc w:val="both"/>
                    <w:rPr>
                      <w:rFonts w:hint="eastAsia"/>
                      <w:color w:val="000000" w:themeColor="text1"/>
                      <w:spacing w:val="3"/>
                      <w:sz w:val="21"/>
                      <w:szCs w:val="21"/>
                      <w:lang w:val="en-US"/>
                    </w:rPr>
                  </w:pPr>
                  <w:r>
                    <w:rPr>
                      <w:rFonts w:hint="eastAsia"/>
                      <w:color w:val="000000" w:themeColor="text1"/>
                      <w:spacing w:val="3"/>
                      <w:sz w:val="21"/>
                      <w:szCs w:val="21"/>
                      <w:lang w:val="en-US"/>
                    </w:rPr>
                    <w:t>资源开发利用效率要求</w:t>
                  </w:r>
                </w:p>
              </w:tc>
              <w:tc>
                <w:tcPr>
                  <w:tcW w:w="1808" w:type="pct"/>
                  <w:shd w:val="clear" w:color="auto" w:fill="FFFFFF"/>
                  <w:vAlign w:val="center"/>
                </w:tcPr>
                <w:p w14:paraId="54CB77BD">
                  <w:pPr>
                    <w:numPr>
                      <w:ilvl w:val="0"/>
                      <w:numId w:val="2"/>
                    </w:numPr>
                    <w:jc w:val="both"/>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禁燃区内禁止销售、使用高污染燃料，禁止新建、扩建燃用高污染燃料的设施，已建成的，应当在城市人民政府规定的期限内改用天然气、页岩气、液化石油气、电或者其他清洁能源。</w:t>
                  </w:r>
                </w:p>
              </w:tc>
              <w:tc>
                <w:tcPr>
                  <w:tcW w:w="1341" w:type="pct"/>
                  <w:shd w:val="clear" w:color="auto" w:fill="FFFFFF"/>
                  <w:vAlign w:val="center"/>
                </w:tcPr>
                <w:p w14:paraId="1CBD65EE">
                  <w:pPr>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不涉及</w:t>
                  </w:r>
                </w:p>
              </w:tc>
              <w:tc>
                <w:tcPr>
                  <w:tcW w:w="241" w:type="pct"/>
                  <w:shd w:val="clear" w:color="auto" w:fill="FFFFFF"/>
                  <w:vAlign w:val="center"/>
                </w:tcPr>
                <w:p w14:paraId="28FC0DE4">
                  <w:pPr>
                    <w:jc w:val="center"/>
                    <w:rPr>
                      <w:rFonts w:ascii="Times New Roman" w:hAnsi="Times New Roman" w:cs="Times New Roman"/>
                      <w:bCs/>
                      <w:color w:val="000000" w:themeColor="text1"/>
                      <w:sz w:val="21"/>
                      <w:szCs w:val="21"/>
                    </w:rPr>
                  </w:pPr>
                  <w:r>
                    <w:rPr>
                      <w:rFonts w:ascii="Times New Roman" w:hAnsi="Times New Roman" w:cs="Times New Roman"/>
                      <w:bCs/>
                      <w:color w:val="000000" w:themeColor="text1"/>
                      <w:sz w:val="21"/>
                      <w:szCs w:val="21"/>
                    </w:rPr>
                    <w:t>符合</w:t>
                  </w:r>
                </w:p>
              </w:tc>
            </w:tr>
            <w:tr w14:paraId="3F18D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1" w:type="pct"/>
                  <w:vMerge w:val="continue"/>
                  <w:shd w:val="clear" w:color="auto" w:fill="FFFFFF"/>
                  <w:vAlign w:val="center"/>
                </w:tcPr>
                <w:p w14:paraId="67F9ACD7">
                  <w:pPr>
                    <w:jc w:val="both"/>
                    <w:rPr>
                      <w:rFonts w:hint="eastAsia"/>
                      <w:color w:val="000000" w:themeColor="text1"/>
                      <w:spacing w:val="-1"/>
                      <w:sz w:val="21"/>
                      <w:szCs w:val="21"/>
                    </w:rPr>
                  </w:pPr>
                </w:p>
              </w:tc>
              <w:tc>
                <w:tcPr>
                  <w:tcW w:w="599" w:type="pct"/>
                  <w:vMerge w:val="continue"/>
                  <w:shd w:val="clear" w:color="auto" w:fill="FFFFFF"/>
                  <w:vAlign w:val="center"/>
                </w:tcPr>
                <w:p w14:paraId="7068A372">
                  <w:pPr>
                    <w:pStyle w:val="75"/>
                    <w:spacing w:before="72"/>
                    <w:ind w:left="102"/>
                    <w:jc w:val="both"/>
                    <w:rPr>
                      <w:rFonts w:hint="eastAsia"/>
                      <w:color w:val="000000" w:themeColor="text1"/>
                      <w:spacing w:val="1"/>
                      <w:sz w:val="21"/>
                      <w:szCs w:val="21"/>
                      <w:lang w:eastAsia="zh-CN"/>
                    </w:rPr>
                  </w:pPr>
                </w:p>
              </w:tc>
              <w:tc>
                <w:tcPr>
                  <w:tcW w:w="406" w:type="pct"/>
                  <w:vMerge w:val="continue"/>
                  <w:shd w:val="clear" w:color="auto" w:fill="FFFFFF"/>
                  <w:vAlign w:val="center"/>
                </w:tcPr>
                <w:p w14:paraId="79534977">
                  <w:pPr>
                    <w:jc w:val="both"/>
                    <w:rPr>
                      <w:rFonts w:hint="eastAsia"/>
                      <w:color w:val="000000" w:themeColor="text1"/>
                      <w:spacing w:val="3"/>
                      <w:sz w:val="21"/>
                      <w:szCs w:val="21"/>
                    </w:rPr>
                  </w:pPr>
                </w:p>
              </w:tc>
              <w:tc>
                <w:tcPr>
                  <w:tcW w:w="1808" w:type="pct"/>
                  <w:shd w:val="clear" w:color="auto" w:fill="FFFFFF"/>
                  <w:vAlign w:val="center"/>
                </w:tcPr>
                <w:p w14:paraId="0B366095">
                  <w:pPr>
                    <w:jc w:val="both"/>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2.按照《桂林市人民政府关于加强高污染燃料禁燃区环境管理的通告》要求实施管理。可以在采用专用锅炉和高效除尘设施的基础上使用生物质成型燃料。</w:t>
                  </w:r>
                </w:p>
              </w:tc>
              <w:tc>
                <w:tcPr>
                  <w:tcW w:w="1341" w:type="pct"/>
                  <w:shd w:val="clear" w:color="auto" w:fill="FFFFFF"/>
                  <w:vAlign w:val="center"/>
                </w:tcPr>
                <w:p w14:paraId="4023DB77">
                  <w:pPr>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不涉及</w:t>
                  </w:r>
                </w:p>
              </w:tc>
              <w:tc>
                <w:tcPr>
                  <w:tcW w:w="241" w:type="pct"/>
                  <w:shd w:val="clear" w:color="auto" w:fill="FFFFFF"/>
                  <w:vAlign w:val="center"/>
                </w:tcPr>
                <w:p w14:paraId="3AA74BEF">
                  <w:pPr>
                    <w:jc w:val="center"/>
                    <w:rPr>
                      <w:rFonts w:ascii="Times New Roman" w:hAnsi="Times New Roman" w:cs="Times New Roman"/>
                      <w:bCs/>
                      <w:color w:val="000000" w:themeColor="text1"/>
                      <w:sz w:val="21"/>
                      <w:szCs w:val="21"/>
                    </w:rPr>
                  </w:pPr>
                  <w:r>
                    <w:rPr>
                      <w:rFonts w:ascii="Times New Roman" w:hAnsi="Times New Roman" w:cs="Times New Roman"/>
                      <w:bCs/>
                      <w:color w:val="000000" w:themeColor="text1"/>
                      <w:sz w:val="21"/>
                      <w:szCs w:val="21"/>
                    </w:rPr>
                    <w:t>符合</w:t>
                  </w:r>
                </w:p>
              </w:tc>
            </w:tr>
          </w:tbl>
          <w:p w14:paraId="364818C8">
            <w:pPr>
              <w:pStyle w:val="40"/>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由表1-1分析可知</w:t>
            </w:r>
            <w:r>
              <w:rPr>
                <w:rFonts w:ascii="Times New Roman" w:hAnsi="Times New Roman" w:cs="Times New Roman"/>
                <w:color w:val="000000" w:themeColor="text1"/>
                <w:sz w:val="24"/>
                <w:szCs w:val="24"/>
                <w:lang w:val="en-US"/>
              </w:rPr>
              <w:t>，本项目</w:t>
            </w:r>
            <w:r>
              <w:rPr>
                <w:rFonts w:hint="eastAsia" w:ascii="Times New Roman" w:hAnsi="Times New Roman" w:cs="Times New Roman"/>
                <w:color w:val="000000" w:themeColor="text1"/>
                <w:sz w:val="24"/>
                <w:szCs w:val="24"/>
                <w:lang w:val="en-US"/>
              </w:rPr>
              <w:t>符合永福县城镇空间重点管控单元要求。</w:t>
            </w:r>
          </w:p>
          <w:p w14:paraId="06EB7778">
            <w:pPr>
              <w:pStyle w:val="77"/>
              <w:spacing w:beforeLines="0" w:afterLines="0" w:line="360" w:lineRule="auto"/>
              <w:ind w:firstLine="482" w:firstLineChars="200"/>
              <w:jc w:val="left"/>
              <w:rPr>
                <w:rFonts w:ascii="Times New Roman" w:hAnsi="Times New Roman" w:cs="Times New Roman"/>
                <w:color w:val="000000" w:themeColor="text1"/>
                <w:sz w:val="24"/>
                <w:szCs w:val="24"/>
              </w:rPr>
            </w:pPr>
          </w:p>
        </w:tc>
      </w:tr>
    </w:tbl>
    <w:p w14:paraId="0FE7FD5D">
      <w:pPr>
        <w:ind w:firstLine="420"/>
        <w:jc w:val="center"/>
        <w:rPr>
          <w:rFonts w:ascii="Times New Roman" w:hAnsi="Times New Roman" w:cs="Times New Roman"/>
          <w:sz w:val="21"/>
        </w:rPr>
        <w:sectPr>
          <w:footerReference r:id="rId7" w:type="default"/>
          <w:footerReference r:id="rId8" w:type="even"/>
          <w:pgSz w:w="11910" w:h="16840"/>
          <w:pgMar w:top="1580" w:right="1320" w:bottom="1240" w:left="1340" w:header="0" w:footer="1043" w:gutter="0"/>
          <w:pgNumType w:start="1"/>
          <w:cols w:space="720" w:num="1"/>
        </w:sectPr>
      </w:pPr>
    </w:p>
    <w:p w14:paraId="6F23C9A7">
      <w:pPr>
        <w:pStyle w:val="2"/>
        <w:ind w:left="0" w:leftChars="0" w:firstLine="0" w:firstLineChars="0"/>
        <w:jc w:val="center"/>
        <w:rPr>
          <w:rFonts w:ascii="Times New Roman" w:hAnsi="Times New Roman" w:eastAsia="宋体" w:cs="Times New Roman"/>
        </w:rPr>
      </w:pPr>
      <w:bookmarkStart w:id="4" w:name="_Toc29912"/>
      <w:bookmarkStart w:id="5" w:name="_Toc11320"/>
      <w:bookmarkStart w:id="6" w:name="_Toc25342"/>
      <w:bookmarkStart w:id="7" w:name="_Toc22778"/>
      <w:r>
        <w:rPr>
          <w:rFonts w:ascii="Times New Roman" w:hAnsi="Times New Roman" w:eastAsia="宋体" w:cs="Times New Roman"/>
          <w:b/>
          <w:bCs/>
          <w:sz w:val="30"/>
          <w:szCs w:val="30"/>
        </w:rPr>
        <w:t>二、建设项目工程分析</w:t>
      </w:r>
      <w:bookmarkEnd w:id="4"/>
      <w:bookmarkEnd w:id="5"/>
      <w:bookmarkEnd w:id="6"/>
      <w:bookmarkEnd w:id="7"/>
    </w:p>
    <w:tbl>
      <w:tblPr>
        <w:tblStyle w:val="27"/>
        <w:tblW w:w="5032"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12"/>
        <w:gridCol w:w="8112"/>
      </w:tblGrid>
      <w:tr w14:paraId="50623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650" w:type="pct"/>
            <w:tcBorders>
              <w:bottom w:val="single" w:color="000000" w:sz="4" w:space="0"/>
              <w:right w:val="single" w:color="auto" w:sz="4" w:space="0"/>
            </w:tcBorders>
            <w:vAlign w:val="center"/>
          </w:tcPr>
          <w:p w14:paraId="4AFC0E58">
            <w:pPr>
              <w:pStyle w:val="40"/>
              <w:spacing w:line="242" w:lineRule="auto"/>
              <w:ind w:right="7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建设内容</w:t>
            </w:r>
          </w:p>
        </w:tc>
        <w:tc>
          <w:tcPr>
            <w:tcW w:w="4349" w:type="pct"/>
            <w:tcBorders>
              <w:top w:val="single" w:color="auto" w:sz="4" w:space="0"/>
              <w:left w:val="single" w:color="auto" w:sz="4" w:space="0"/>
              <w:bottom w:val="single" w:color="auto" w:sz="4" w:space="0"/>
              <w:right w:val="single" w:color="auto" w:sz="4" w:space="0"/>
            </w:tcBorders>
            <w:vAlign w:val="center"/>
          </w:tcPr>
          <w:p w14:paraId="42BF176A">
            <w:pPr>
              <w:widowControl/>
              <w:numPr>
                <w:ilvl w:val="0"/>
                <w:numId w:val="3"/>
              </w:numPr>
              <w:autoSpaceDE/>
              <w:autoSpaceDN/>
              <w:spacing w:line="360" w:lineRule="auto"/>
              <w:ind w:firstLine="482" w:firstLineChars="200"/>
              <w:jc w:val="both"/>
              <w:rPr>
                <w:rFonts w:ascii="Times New Roman" w:hAnsi="Times New Roman" w:cs="Times New Roman"/>
                <w:b/>
                <w:bCs/>
                <w:color w:val="000000" w:themeColor="text1"/>
                <w:kern w:val="28"/>
                <w:sz w:val="24"/>
                <w:lang w:val="en-US" w:bidi="ar-SA"/>
              </w:rPr>
            </w:pPr>
            <w:r>
              <w:rPr>
                <w:rFonts w:hint="eastAsia" w:ascii="Times New Roman" w:hAnsi="Times New Roman" w:cs="Times New Roman"/>
                <w:b/>
                <w:bCs/>
                <w:color w:val="000000" w:themeColor="text1"/>
                <w:kern w:val="28"/>
                <w:sz w:val="24"/>
                <w:lang w:val="en-US" w:bidi="ar-SA"/>
              </w:rPr>
              <w:t>项目由来</w:t>
            </w:r>
          </w:p>
          <w:p w14:paraId="37F2285B">
            <w:pPr>
              <w:pStyle w:val="41"/>
              <w:rPr>
                <w:rFonts w:hint="eastAsia" w:hAnsi="宋体"/>
                <w:color w:val="000000" w:themeColor="text1"/>
                <w:u w:val="single"/>
              </w:rPr>
            </w:pPr>
            <w:r>
              <w:rPr>
                <w:rFonts w:hint="eastAsia"/>
                <w:color w:val="000000" w:themeColor="text1"/>
              </w:rPr>
              <w:t>永福县人民医院成立于1937年，是集医疗、教学、科研、保健预防于一体的县级综合性二级甲等医院，于2008年整体搬迁至永福县县城北部五里桥（与永福县永福镇迎宾路132号为同一地址，本项目以附件1中地址为准）。</w:t>
            </w:r>
            <w:r>
              <w:rPr>
                <w:rFonts w:hint="eastAsia"/>
                <w:color w:val="000000" w:themeColor="text1"/>
                <w:u w:val="single"/>
              </w:rPr>
              <w:t>整体搬迁项目于2005年开始建设急诊医技楼（原名门诊楼）、住院楼、传染病楼（医院整体搬迁环评及批复未包含），2008年建设完成；2010年1月开始建设整体搬迁项目中医技楼（现名业务综合楼），建设过程中发现医技楼（现名业务综合楼）仅六层且无床位设置，无法满足后续就诊需求，故对其扩建三层并重新规划内部科室、床位设置，最终建成九层业务综合楼，2013年建设完成，并投入运营；2020年发现原</w:t>
            </w:r>
            <w:r>
              <w:rPr>
                <w:rFonts w:hint="eastAsia" w:hAnsi="宋体"/>
                <w:color w:val="000000" w:themeColor="text1"/>
                <w:u w:val="single"/>
              </w:rPr>
              <w:t>综合污水处理站规模不能满足需求，进行改造，</w:t>
            </w:r>
            <w:r>
              <w:rPr>
                <w:rFonts w:hint="eastAsia"/>
                <w:color w:val="000000" w:themeColor="text1"/>
                <w:kern w:val="2"/>
                <w:u w:val="single"/>
              </w:rPr>
              <w:t>扩大处理规模至480m</w:t>
            </w:r>
            <w:r>
              <w:rPr>
                <w:rFonts w:hint="eastAsia"/>
                <w:color w:val="000000" w:themeColor="text1"/>
                <w:kern w:val="2"/>
                <w:u w:val="single"/>
                <w:vertAlign w:val="superscript"/>
              </w:rPr>
              <w:t>3</w:t>
            </w:r>
            <w:r>
              <w:rPr>
                <w:rFonts w:hint="eastAsia"/>
                <w:color w:val="000000" w:themeColor="text1"/>
                <w:kern w:val="2"/>
                <w:u w:val="single"/>
              </w:rPr>
              <w:t>/d，处理工艺不变，仅扩大设计处理规模，2020年改造完成并投运。</w:t>
            </w:r>
          </w:p>
          <w:p w14:paraId="600305A5">
            <w:pPr>
              <w:pStyle w:val="41"/>
              <w:rPr>
                <w:color w:val="000000" w:themeColor="text1"/>
                <w:u w:val="single"/>
              </w:rPr>
            </w:pPr>
            <w:r>
              <w:rPr>
                <w:rFonts w:hint="eastAsia"/>
                <w:color w:val="000000" w:themeColor="text1"/>
                <w:u w:val="single"/>
              </w:rPr>
              <w:t>永福县人民医院原有项目设置200张床位，在建项目设置125张床位，本项目新增床位204张，扩建后医院共有床位529张。因业务综合楼、传染病楼、</w:t>
            </w:r>
            <w:r>
              <w:rPr>
                <w:rFonts w:hint="eastAsia" w:hAnsi="宋体"/>
                <w:color w:val="000000" w:themeColor="text1"/>
                <w:u w:val="single"/>
              </w:rPr>
              <w:t>综合污水处理站改造</w:t>
            </w:r>
            <w:r>
              <w:rPr>
                <w:rFonts w:hint="eastAsia"/>
                <w:color w:val="000000" w:themeColor="text1"/>
                <w:u w:val="single"/>
              </w:rPr>
              <w:t>未办理相关环评手续，本次评价针对上述建设内容及相关附属设施开展。</w:t>
            </w:r>
          </w:p>
          <w:p w14:paraId="6EFC7BEE">
            <w:pPr>
              <w:widowControl/>
              <w:numPr>
                <w:ilvl w:val="0"/>
                <w:numId w:val="3"/>
              </w:numPr>
              <w:autoSpaceDE/>
              <w:autoSpaceDN/>
              <w:spacing w:line="360" w:lineRule="auto"/>
              <w:ind w:firstLine="482" w:firstLineChars="200"/>
              <w:jc w:val="both"/>
              <w:rPr>
                <w:rFonts w:ascii="Times New Roman" w:hAnsi="Times New Roman" w:cs="Times New Roman"/>
                <w:b/>
                <w:bCs/>
                <w:color w:val="000000" w:themeColor="text1"/>
                <w:kern w:val="28"/>
                <w:sz w:val="24"/>
                <w:lang w:val="en-US" w:bidi="ar-SA"/>
              </w:rPr>
            </w:pPr>
            <w:r>
              <w:rPr>
                <w:rFonts w:ascii="Times New Roman" w:hAnsi="Times New Roman" w:cs="Times New Roman"/>
                <w:b/>
                <w:bCs/>
                <w:color w:val="000000" w:themeColor="text1"/>
                <w:kern w:val="28"/>
                <w:sz w:val="24"/>
                <w:lang w:val="en-US" w:bidi="ar-SA"/>
              </w:rPr>
              <w:t>项目基本情况</w:t>
            </w:r>
          </w:p>
          <w:p w14:paraId="672B565D">
            <w:pPr>
              <w:autoSpaceDE/>
              <w:autoSpaceDN/>
              <w:spacing w:line="360" w:lineRule="auto"/>
              <w:ind w:firstLine="480" w:firstLineChars="200"/>
              <w:jc w:val="both"/>
              <w:rPr>
                <w:rFonts w:ascii="Times New Roman" w:hAnsi="Times New Roman" w:cs="Times New Roman"/>
                <w:color w:val="000000" w:themeColor="text1"/>
                <w:sz w:val="24"/>
                <w:lang w:val="en-US" w:bidi="ar-SA"/>
              </w:rPr>
            </w:pPr>
            <w:r>
              <w:rPr>
                <w:rFonts w:ascii="Times New Roman" w:hAnsi="Times New Roman" w:cs="Times New Roman"/>
                <w:color w:val="000000" w:themeColor="text1"/>
                <w:sz w:val="24"/>
                <w:lang w:val="en-US" w:bidi="ar-SA"/>
              </w:rPr>
              <w:t>项目名称：</w:t>
            </w:r>
            <w:r>
              <w:rPr>
                <w:rFonts w:hint="eastAsia" w:ascii="Times New Roman" w:hAnsi="Times New Roman" w:cs="Times New Roman"/>
                <w:color w:val="000000" w:themeColor="text1"/>
                <w:sz w:val="24"/>
                <w:lang w:val="en-US" w:bidi="ar-SA"/>
              </w:rPr>
              <w:t>永福县人民医院业务综合楼新增建设项目、永福县人民医院公共卫生救治能力提升项目</w:t>
            </w:r>
          </w:p>
          <w:p w14:paraId="049D2633">
            <w:pPr>
              <w:autoSpaceDE/>
              <w:autoSpaceDN/>
              <w:spacing w:line="360" w:lineRule="auto"/>
              <w:ind w:firstLine="480" w:firstLineChars="200"/>
              <w:jc w:val="both"/>
              <w:rPr>
                <w:rFonts w:ascii="Times New Roman" w:hAnsi="Times New Roman" w:cs="Times New Roman"/>
                <w:color w:val="000000" w:themeColor="text1"/>
                <w:sz w:val="24"/>
                <w:lang w:val="en-US" w:bidi="ar-SA"/>
              </w:rPr>
            </w:pPr>
            <w:r>
              <w:rPr>
                <w:rFonts w:ascii="Times New Roman" w:hAnsi="Times New Roman" w:cs="Times New Roman"/>
                <w:color w:val="000000" w:themeColor="text1"/>
                <w:sz w:val="24"/>
                <w:lang w:val="en-US" w:bidi="ar-SA"/>
              </w:rPr>
              <w:t>建设单位：</w:t>
            </w:r>
            <w:r>
              <w:rPr>
                <w:rFonts w:hint="eastAsia" w:ascii="Times New Roman" w:hAnsi="Times New Roman" w:cs="Times New Roman"/>
                <w:color w:val="000000" w:themeColor="text1"/>
                <w:sz w:val="24"/>
                <w:lang w:val="en-US" w:bidi="ar-SA"/>
              </w:rPr>
              <w:t>永福县人民医院</w:t>
            </w:r>
          </w:p>
          <w:p w14:paraId="1BCF2209">
            <w:pPr>
              <w:autoSpaceDE/>
              <w:autoSpaceDN/>
              <w:spacing w:line="360" w:lineRule="auto"/>
              <w:ind w:firstLine="480" w:firstLineChars="200"/>
              <w:jc w:val="both"/>
              <w:rPr>
                <w:rFonts w:ascii="Times New Roman" w:hAnsi="Times New Roman" w:cs="Times New Roman"/>
                <w:color w:val="000000" w:themeColor="text1"/>
                <w:sz w:val="24"/>
                <w:lang w:val="en-US" w:bidi="ar-SA"/>
              </w:rPr>
            </w:pPr>
            <w:r>
              <w:rPr>
                <w:rFonts w:ascii="Times New Roman" w:hAnsi="Times New Roman" w:cs="Times New Roman"/>
                <w:color w:val="000000" w:themeColor="text1"/>
                <w:sz w:val="24"/>
                <w:lang w:val="en-US" w:bidi="ar-SA"/>
              </w:rPr>
              <w:t>建设地点：</w:t>
            </w:r>
            <w:r>
              <w:rPr>
                <w:rFonts w:hint="eastAsia" w:ascii="Times New Roman" w:hAnsi="Times New Roman"/>
                <w:color w:val="000000" w:themeColor="text1"/>
                <w:sz w:val="24"/>
                <w:lang w:val="en-US"/>
              </w:rPr>
              <w:t>广西壮族自治区桂林市永福县永福镇迎宾路132号永福县人民医院内</w:t>
            </w:r>
            <w:r>
              <w:rPr>
                <w:rFonts w:ascii="Times New Roman" w:hAnsi="Times New Roman" w:cs="Times New Roman"/>
                <w:color w:val="000000" w:themeColor="text1"/>
                <w:sz w:val="24"/>
                <w:lang w:val="en-US" w:bidi="ar-SA"/>
              </w:rPr>
              <w:t>，具体位置详见附图1。</w:t>
            </w:r>
          </w:p>
          <w:p w14:paraId="74596CE3">
            <w:pPr>
              <w:autoSpaceDE/>
              <w:autoSpaceDN/>
              <w:spacing w:line="360" w:lineRule="auto"/>
              <w:ind w:firstLine="480" w:firstLineChars="200"/>
              <w:jc w:val="both"/>
              <w:rPr>
                <w:rFonts w:ascii="Times New Roman" w:hAnsi="Times New Roman" w:cs="Times New Roman"/>
                <w:color w:val="000000" w:themeColor="text1"/>
                <w:sz w:val="24"/>
                <w:lang w:val="en-US" w:bidi="ar-SA"/>
              </w:rPr>
            </w:pPr>
            <w:r>
              <w:rPr>
                <w:rFonts w:ascii="Times New Roman" w:hAnsi="Times New Roman" w:cs="Times New Roman"/>
                <w:color w:val="000000" w:themeColor="text1"/>
                <w:sz w:val="24"/>
                <w:lang w:val="en-US" w:bidi="ar-SA"/>
              </w:rPr>
              <w:t>项目性质：</w:t>
            </w:r>
            <w:r>
              <w:rPr>
                <w:rFonts w:hint="eastAsia" w:ascii="Times New Roman" w:hAnsi="Times New Roman" w:cs="Times New Roman"/>
                <w:color w:val="000000" w:themeColor="text1"/>
                <w:spacing w:val="-1"/>
                <w:sz w:val="24"/>
                <w:szCs w:val="24"/>
                <w:lang w:val="en-US"/>
              </w:rPr>
              <w:t>扩</w:t>
            </w:r>
            <w:r>
              <w:rPr>
                <w:rFonts w:ascii="Times New Roman" w:hAnsi="Times New Roman" w:cs="Times New Roman"/>
                <w:color w:val="000000" w:themeColor="text1"/>
                <w:spacing w:val="-1"/>
                <w:sz w:val="24"/>
                <w:szCs w:val="24"/>
              </w:rPr>
              <w:t>建</w:t>
            </w:r>
          </w:p>
          <w:p w14:paraId="25B33475">
            <w:pPr>
              <w:autoSpaceDE/>
              <w:autoSpaceDN/>
              <w:spacing w:line="360" w:lineRule="auto"/>
              <w:ind w:firstLine="480" w:firstLineChars="200"/>
              <w:jc w:val="both"/>
              <w:rPr>
                <w:rFonts w:ascii="Times New Roman" w:hAnsi="Times New Roman" w:cs="Times New Roman"/>
                <w:color w:val="000000" w:themeColor="text1"/>
                <w:sz w:val="24"/>
                <w:lang w:val="en-US" w:bidi="ar-SA"/>
              </w:rPr>
            </w:pPr>
            <w:r>
              <w:rPr>
                <w:rFonts w:ascii="Times New Roman" w:hAnsi="Times New Roman" w:cs="Times New Roman"/>
                <w:color w:val="000000" w:themeColor="text1"/>
                <w:sz w:val="24"/>
                <w:lang w:val="en-US" w:bidi="ar-SA"/>
              </w:rPr>
              <w:t>项目总投资：</w:t>
            </w:r>
            <w:r>
              <w:rPr>
                <w:rFonts w:hint="eastAsia" w:ascii="Times New Roman" w:hAnsi="Times New Roman" w:cs="Times New Roman"/>
                <w:color w:val="000000" w:themeColor="text1"/>
                <w:sz w:val="24"/>
                <w:szCs w:val="24"/>
                <w:lang w:val="en-US"/>
              </w:rPr>
              <w:t>1485.00</w:t>
            </w:r>
            <w:r>
              <w:rPr>
                <w:rFonts w:ascii="Times New Roman" w:hAnsi="Times New Roman" w:cs="Times New Roman"/>
                <w:color w:val="000000" w:themeColor="text1"/>
                <w:sz w:val="24"/>
                <w:lang w:val="en-US" w:bidi="ar-SA"/>
              </w:rPr>
              <w:t>万元</w:t>
            </w:r>
          </w:p>
          <w:p w14:paraId="66F026DF">
            <w:pPr>
              <w:autoSpaceDE/>
              <w:autoSpaceDN/>
              <w:spacing w:line="360" w:lineRule="auto"/>
              <w:ind w:firstLine="480" w:firstLineChars="200"/>
              <w:jc w:val="both"/>
              <w:rPr>
                <w:rFonts w:ascii="Times New Roman" w:hAnsi="Times New Roman" w:cs="Times New Roman"/>
                <w:color w:val="000000" w:themeColor="text1"/>
                <w:sz w:val="24"/>
                <w:lang w:val="en-US" w:bidi="ar-SA"/>
              </w:rPr>
            </w:pPr>
            <w:r>
              <w:rPr>
                <w:rFonts w:ascii="Times New Roman" w:hAnsi="Times New Roman" w:cs="Times New Roman"/>
                <w:color w:val="000000" w:themeColor="text1"/>
                <w:sz w:val="24"/>
                <w:lang w:val="en-US" w:bidi="ar-SA"/>
              </w:rPr>
              <w:t>项目周边概况：</w:t>
            </w:r>
            <w:r>
              <w:rPr>
                <w:rFonts w:hint="eastAsia" w:ascii="Times New Roman" w:hAnsi="Times New Roman" w:cs="Times New Roman"/>
                <w:color w:val="000000" w:themeColor="text1"/>
                <w:sz w:val="24"/>
                <w:lang w:val="en-US" w:bidi="ar-SA"/>
              </w:rPr>
              <w:t>项目位于永福县人民医院</w:t>
            </w:r>
            <w:r>
              <w:rPr>
                <w:rFonts w:hint="eastAsia" w:ascii="Times New Roman" w:hAnsi="Times New Roman"/>
                <w:color w:val="000000" w:themeColor="text1"/>
                <w:sz w:val="24"/>
                <w:lang w:val="en-US"/>
              </w:rPr>
              <w:t>内，</w:t>
            </w:r>
            <w:r>
              <w:rPr>
                <w:rFonts w:hint="eastAsia" w:ascii="Times New Roman" w:hAnsi="Times New Roman" w:cs="Times New Roman"/>
                <w:color w:val="000000" w:themeColor="text1"/>
                <w:sz w:val="24"/>
                <w:lang w:val="en-US" w:bidi="ar-SA"/>
              </w:rPr>
              <w:t>周边主要为永福镇商业及小区居民及医院内部建筑，最近的地表水为项目东侧39m处的洛清江，</w:t>
            </w:r>
            <w:r>
              <w:rPr>
                <w:rFonts w:ascii="Times New Roman" w:hAnsi="Times New Roman" w:cs="Times New Roman"/>
                <w:color w:val="000000" w:themeColor="text1"/>
                <w:sz w:val="24"/>
                <w:lang w:val="en-US" w:bidi="ar-SA"/>
              </w:rPr>
              <w:t>项目周边具体情况见附图3</w:t>
            </w:r>
            <w:r>
              <w:rPr>
                <w:rFonts w:hint="eastAsia" w:ascii="Times New Roman" w:hAnsi="Times New Roman" w:cs="Times New Roman"/>
                <w:color w:val="000000" w:themeColor="text1"/>
                <w:sz w:val="24"/>
                <w:lang w:val="en-US" w:bidi="ar-SA"/>
              </w:rPr>
              <w:t>。</w:t>
            </w:r>
          </w:p>
          <w:p w14:paraId="261025F6">
            <w:pPr>
              <w:spacing w:line="360" w:lineRule="auto"/>
              <w:ind w:firstLine="482" w:firstLineChars="200"/>
              <w:rPr>
                <w:rFonts w:ascii="Times New Roman" w:hAnsi="Times New Roman"/>
                <w:b/>
                <w:bCs/>
                <w:color w:val="000000" w:themeColor="text1"/>
                <w:sz w:val="24"/>
                <w:szCs w:val="24"/>
              </w:rPr>
            </w:pPr>
            <w:r>
              <w:rPr>
                <w:rFonts w:hint="eastAsia" w:ascii="Times New Roman" w:hAnsi="Times New Roman"/>
                <w:b/>
                <w:bCs/>
                <w:color w:val="000000" w:themeColor="text1"/>
                <w:sz w:val="24"/>
                <w:szCs w:val="24"/>
                <w:lang w:val="en-US"/>
              </w:rPr>
              <w:t>3</w:t>
            </w:r>
            <w:r>
              <w:rPr>
                <w:rFonts w:hint="eastAsia" w:ascii="Times New Roman" w:hAnsi="Times New Roman"/>
                <w:b/>
                <w:bCs/>
                <w:color w:val="000000" w:themeColor="text1"/>
                <w:sz w:val="24"/>
                <w:szCs w:val="24"/>
              </w:rPr>
              <w:t>、</w:t>
            </w:r>
            <w:r>
              <w:rPr>
                <w:rFonts w:ascii="Times New Roman" w:hAnsi="Times New Roman"/>
                <w:b/>
                <w:bCs/>
                <w:color w:val="000000" w:themeColor="text1"/>
                <w:sz w:val="24"/>
                <w:szCs w:val="24"/>
              </w:rPr>
              <w:t>建设内容</w:t>
            </w:r>
          </w:p>
          <w:p w14:paraId="548D05E3">
            <w:pPr>
              <w:widowControl/>
              <w:spacing w:line="360" w:lineRule="auto"/>
              <w:ind w:firstLine="480" w:firstLineChars="200"/>
              <w:jc w:val="both"/>
              <w:rPr>
                <w:rFonts w:ascii="Times New Roman" w:hAnsi="Times New Roman" w:cs="Times New Roman"/>
                <w:color w:val="000000" w:themeColor="text1"/>
                <w:kern w:val="2"/>
                <w:sz w:val="24"/>
                <w:szCs w:val="24"/>
                <w:u w:val="single"/>
                <w:lang w:val="en-US" w:bidi="ar-SA"/>
              </w:rPr>
            </w:pPr>
            <w:r>
              <w:rPr>
                <w:rFonts w:hint="eastAsia" w:ascii="Times New Roman" w:hAnsi="Times New Roman" w:cs="Times New Roman"/>
                <w:color w:val="000000" w:themeColor="text1"/>
                <w:kern w:val="2"/>
                <w:sz w:val="24"/>
                <w:szCs w:val="24"/>
                <w:lang w:val="en-US" w:bidi="ar-SA"/>
              </w:rPr>
              <w:t>本</w:t>
            </w:r>
            <w:r>
              <w:rPr>
                <w:rFonts w:ascii="Times New Roman" w:hAnsi="Times New Roman" w:cs="Times New Roman"/>
                <w:color w:val="000000" w:themeColor="text1"/>
                <w:kern w:val="2"/>
                <w:sz w:val="24"/>
                <w:szCs w:val="24"/>
                <w:lang w:val="en-US" w:bidi="ar-SA"/>
              </w:rPr>
              <w:t>项目</w:t>
            </w:r>
            <w:r>
              <w:rPr>
                <w:rFonts w:hint="eastAsia" w:ascii="Times New Roman" w:hAnsi="Times New Roman" w:cs="Times New Roman"/>
                <w:color w:val="000000" w:themeColor="text1"/>
                <w:kern w:val="2"/>
                <w:sz w:val="24"/>
                <w:szCs w:val="24"/>
                <w:lang w:val="en-US" w:bidi="ar-SA"/>
              </w:rPr>
              <w:t>选址位</w:t>
            </w:r>
            <w:r>
              <w:rPr>
                <w:rFonts w:ascii="Times New Roman" w:hAnsi="Times New Roman" w:cs="Times New Roman"/>
                <w:color w:val="000000" w:themeColor="text1"/>
                <w:kern w:val="2"/>
                <w:sz w:val="24"/>
                <w:szCs w:val="24"/>
                <w:lang w:val="en-US" w:bidi="ar-SA"/>
              </w:rPr>
              <w:t>于</w:t>
            </w:r>
            <w:r>
              <w:rPr>
                <w:rFonts w:hint="eastAsia" w:ascii="Times New Roman" w:hAnsi="Times New Roman" w:cs="Times New Roman"/>
                <w:color w:val="000000" w:themeColor="text1"/>
                <w:kern w:val="2"/>
                <w:sz w:val="24"/>
                <w:szCs w:val="24"/>
                <w:lang w:val="en-US" w:bidi="ar-SA"/>
              </w:rPr>
              <w:t>广西壮族自治区桂林市永福县永福镇迎宾路132号永福县人民医院内</w:t>
            </w:r>
            <w:r>
              <w:rPr>
                <w:rFonts w:ascii="Times New Roman" w:hAnsi="Times New Roman" w:cs="Times New Roman"/>
                <w:color w:val="000000" w:themeColor="text1"/>
                <w:kern w:val="2"/>
                <w:sz w:val="24"/>
                <w:szCs w:val="24"/>
                <w:lang w:val="en-US" w:bidi="ar-SA"/>
              </w:rPr>
              <w:t>，</w:t>
            </w:r>
            <w:r>
              <w:rPr>
                <w:rFonts w:hint="eastAsia" w:ascii="Times New Roman" w:hAnsi="Times New Roman" w:cs="Times New Roman"/>
                <w:color w:val="000000" w:themeColor="text1"/>
                <w:kern w:val="2"/>
                <w:sz w:val="24"/>
                <w:szCs w:val="24"/>
                <w:lang w:val="en-US" w:bidi="ar-SA"/>
              </w:rPr>
              <w:t>属于永福县人民医院</w:t>
            </w:r>
            <w:r>
              <w:rPr>
                <w:rFonts w:ascii="Times New Roman" w:hAnsi="Times New Roman" w:cs="Times New Roman"/>
                <w:color w:val="000000" w:themeColor="text1"/>
                <w:kern w:val="2"/>
                <w:sz w:val="24"/>
                <w:szCs w:val="24"/>
                <w:lang w:val="en-US"/>
              </w:rPr>
              <w:t>地块内</w:t>
            </w:r>
            <w:r>
              <w:rPr>
                <w:rFonts w:hint="eastAsia" w:ascii="Times New Roman" w:hAnsi="Times New Roman" w:cs="Times New Roman"/>
                <w:color w:val="000000" w:themeColor="text1"/>
                <w:kern w:val="2"/>
                <w:sz w:val="24"/>
                <w:szCs w:val="24"/>
                <w:lang w:val="en-US" w:bidi="ar-SA"/>
              </w:rPr>
              <w:t>，不新增占地。本项目在原医技楼（现名业务综合楼）基础上扩建三层并重新规划内部科室、床位设置，最终建成一栋九层业务综合楼，建成一栋两层传染病楼，并配套建设</w:t>
            </w:r>
            <w:r>
              <w:rPr>
                <w:rFonts w:hint="eastAsia" w:ascii="Times New Roman" w:hAnsi="Times New Roman"/>
                <w:color w:val="000000" w:themeColor="text1"/>
                <w:sz w:val="24"/>
              </w:rPr>
              <w:t>处理规模为</w:t>
            </w:r>
            <w:r>
              <w:rPr>
                <w:rFonts w:hint="eastAsia" w:ascii="Times New Roman" w:hAnsi="Times New Roman"/>
                <w:color w:val="000000" w:themeColor="text1"/>
                <w:sz w:val="24"/>
                <w:lang w:val="en-US"/>
              </w:rPr>
              <w:t>20</w:t>
            </w:r>
            <w:r>
              <w:rPr>
                <w:rFonts w:hint="eastAsia" w:ascii="Times New Roman" w:hAnsi="Times New Roman"/>
                <w:color w:val="000000" w:themeColor="text1"/>
                <w:sz w:val="24"/>
              </w:rPr>
              <w:t>m</w:t>
            </w:r>
            <w:r>
              <w:rPr>
                <w:rFonts w:hint="eastAsia" w:ascii="Times New Roman" w:hAnsi="Times New Roman"/>
                <w:color w:val="000000" w:themeColor="text1"/>
                <w:sz w:val="24"/>
                <w:vertAlign w:val="superscript"/>
              </w:rPr>
              <w:t>3</w:t>
            </w:r>
            <w:r>
              <w:rPr>
                <w:rFonts w:hint="eastAsia" w:ascii="Times New Roman" w:hAnsi="Times New Roman"/>
                <w:color w:val="000000" w:themeColor="text1"/>
                <w:sz w:val="24"/>
              </w:rPr>
              <w:t>/d</w:t>
            </w:r>
            <w:r>
              <w:rPr>
                <w:rFonts w:hint="eastAsia" w:ascii="Times New Roman" w:hAnsi="Times New Roman"/>
                <w:color w:val="000000" w:themeColor="text1"/>
                <w:sz w:val="24"/>
                <w:lang w:val="en-US"/>
              </w:rPr>
              <w:t>的</w:t>
            </w:r>
            <w:r>
              <w:rPr>
                <w:rFonts w:hint="eastAsia" w:ascii="Times New Roman" w:hAnsi="Times New Roman" w:cs="Times New Roman"/>
                <w:color w:val="000000" w:themeColor="text1"/>
                <w:kern w:val="2"/>
                <w:sz w:val="24"/>
                <w:szCs w:val="24"/>
                <w:lang w:val="en-US" w:bidi="ar-SA"/>
              </w:rPr>
              <w:t>传染病预处理设施，对综合污水处理站进行改造，由原设计处理规模300m</w:t>
            </w:r>
            <w:r>
              <w:rPr>
                <w:rFonts w:hint="eastAsia" w:ascii="Times New Roman" w:hAnsi="Times New Roman" w:cs="Times New Roman"/>
                <w:color w:val="000000" w:themeColor="text1"/>
                <w:kern w:val="2"/>
                <w:sz w:val="24"/>
                <w:szCs w:val="24"/>
                <w:vertAlign w:val="superscript"/>
                <w:lang w:val="en-US" w:bidi="ar-SA"/>
              </w:rPr>
              <w:t>3</w:t>
            </w:r>
            <w:r>
              <w:rPr>
                <w:rFonts w:hint="eastAsia" w:ascii="Times New Roman" w:hAnsi="Times New Roman" w:cs="Times New Roman"/>
                <w:color w:val="000000" w:themeColor="text1"/>
                <w:kern w:val="2"/>
                <w:sz w:val="24"/>
                <w:szCs w:val="24"/>
                <w:lang w:val="en-US" w:bidi="ar-SA"/>
              </w:rPr>
              <w:t>/d扩大至480m</w:t>
            </w:r>
            <w:r>
              <w:rPr>
                <w:rFonts w:hint="eastAsia" w:ascii="Times New Roman" w:hAnsi="Times New Roman" w:cs="Times New Roman"/>
                <w:color w:val="000000" w:themeColor="text1"/>
                <w:kern w:val="2"/>
                <w:sz w:val="24"/>
                <w:szCs w:val="24"/>
                <w:vertAlign w:val="superscript"/>
                <w:lang w:val="en-US" w:bidi="ar-SA"/>
              </w:rPr>
              <w:t>3</w:t>
            </w:r>
            <w:r>
              <w:rPr>
                <w:rFonts w:hint="eastAsia" w:ascii="Times New Roman" w:hAnsi="Times New Roman" w:cs="Times New Roman"/>
                <w:color w:val="000000" w:themeColor="text1"/>
                <w:kern w:val="2"/>
                <w:sz w:val="24"/>
                <w:szCs w:val="24"/>
                <w:lang w:val="en-US" w:bidi="ar-SA"/>
              </w:rPr>
              <w:t>/d，处理工艺不变，仅扩大设计处理规模。</w:t>
            </w:r>
            <w:r>
              <w:rPr>
                <w:rFonts w:hint="eastAsia" w:ascii="Times New Roman" w:hAnsi="Times New Roman" w:cs="Times New Roman"/>
                <w:color w:val="000000" w:themeColor="text1"/>
                <w:kern w:val="2"/>
                <w:sz w:val="24"/>
                <w:szCs w:val="24"/>
                <w:u w:val="single"/>
                <w:lang w:val="en-US" w:bidi="ar-SA"/>
              </w:rPr>
              <w:t xml:space="preserve">医院原有项目设置200张床位，在建项目设置125张床位，本项目新增床位204张，扩建后医院共有床位529张。 </w:t>
            </w:r>
          </w:p>
          <w:p w14:paraId="4127C628">
            <w:pPr>
              <w:widowControl/>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本项目采用激光打印出片，不采用原始的洗片方式，</w:t>
            </w:r>
            <w:r>
              <w:rPr>
                <w:rFonts w:hint="eastAsia" w:ascii="Times New Roman" w:hAnsi="Times New Roman" w:cs="Times New Roman"/>
                <w:color w:val="000000" w:themeColor="text1"/>
                <w:kern w:val="2"/>
                <w:sz w:val="24"/>
                <w:szCs w:val="24"/>
                <w:lang w:val="en-US" w:bidi="ar-SA"/>
              </w:rPr>
              <w:t>本项目放射性设备涉及辐射部分不在本次评价范围内，由建设单位另行履行环保手续。本项目主要建设内容见表2-1</w:t>
            </w:r>
            <w:r>
              <w:rPr>
                <w:rFonts w:ascii="Times New Roman" w:hAnsi="Times New Roman" w:cs="Times New Roman"/>
                <w:color w:val="000000" w:themeColor="text1"/>
                <w:kern w:val="2"/>
                <w:sz w:val="24"/>
                <w:szCs w:val="24"/>
                <w:lang w:val="en-US" w:bidi="ar-SA"/>
              </w:rPr>
              <w:t>。</w:t>
            </w:r>
          </w:p>
          <w:p w14:paraId="2DE9CD91">
            <w:pPr>
              <w:autoSpaceDE/>
              <w:autoSpaceDN/>
              <w:spacing w:line="360" w:lineRule="auto"/>
              <w:ind w:firstLine="482"/>
              <w:jc w:val="center"/>
              <w:rPr>
                <w:rFonts w:ascii="Times New Roman" w:hAnsi="Times New Roman" w:cs="Times New Roman"/>
                <w:b/>
                <w:bCs/>
                <w:color w:val="000000" w:themeColor="text1"/>
                <w:kern w:val="2"/>
                <w:sz w:val="24"/>
                <w:szCs w:val="24"/>
                <w:lang w:val="en-US" w:bidi="ar-SA"/>
              </w:rPr>
            </w:pPr>
            <w:r>
              <w:rPr>
                <w:rFonts w:ascii="Times New Roman" w:hAnsi="Times New Roman" w:cs="Times New Roman"/>
                <w:b/>
                <w:bCs/>
                <w:color w:val="000000" w:themeColor="text1"/>
                <w:kern w:val="2"/>
                <w:sz w:val="24"/>
                <w:szCs w:val="24"/>
                <w:lang w:val="en-US" w:bidi="ar-SA"/>
              </w:rPr>
              <w:t>表</w:t>
            </w:r>
            <w:r>
              <w:rPr>
                <w:rFonts w:hint="eastAsia" w:ascii="Times New Roman" w:hAnsi="Times New Roman" w:cs="Times New Roman"/>
                <w:b/>
                <w:bCs/>
                <w:color w:val="000000" w:themeColor="text1"/>
                <w:kern w:val="2"/>
                <w:sz w:val="24"/>
                <w:szCs w:val="24"/>
                <w:lang w:val="en-US" w:bidi="ar-SA"/>
              </w:rPr>
              <w:t>2</w:t>
            </w:r>
            <w:r>
              <w:rPr>
                <w:rFonts w:ascii="Times New Roman" w:hAnsi="Times New Roman" w:cs="Times New Roman"/>
                <w:b/>
                <w:bCs/>
                <w:color w:val="000000" w:themeColor="text1"/>
                <w:kern w:val="2"/>
                <w:sz w:val="24"/>
                <w:szCs w:val="24"/>
                <w:lang w:val="en-US" w:bidi="ar-SA"/>
              </w:rPr>
              <w:t>-1项目主要</w:t>
            </w:r>
            <w:r>
              <w:rPr>
                <w:rFonts w:hint="eastAsia" w:ascii="Times New Roman" w:hAnsi="Times New Roman" w:cs="Times New Roman"/>
                <w:b/>
                <w:bCs/>
                <w:color w:val="000000" w:themeColor="text1"/>
                <w:kern w:val="2"/>
                <w:sz w:val="24"/>
                <w:szCs w:val="24"/>
                <w:lang w:val="en-US" w:bidi="ar-SA"/>
              </w:rPr>
              <w:t>建设内容</w:t>
            </w:r>
          </w:p>
          <w:tbl>
            <w:tblPr>
              <w:tblStyle w:val="27"/>
              <w:tblW w:w="7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607"/>
              <w:gridCol w:w="972"/>
              <w:gridCol w:w="903"/>
              <w:gridCol w:w="3085"/>
              <w:gridCol w:w="1896"/>
            </w:tblGrid>
            <w:tr w14:paraId="0AB3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pct"/>
                  <w:gridSpan w:val="2"/>
                  <w:vMerge w:val="restart"/>
                  <w:vAlign w:val="center"/>
                </w:tcPr>
                <w:p w14:paraId="7D7FEFC4">
                  <w:pPr>
                    <w:widowControl/>
                    <w:autoSpaceDE/>
                    <w:autoSpaceDN/>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项目名称</w:t>
                  </w:r>
                </w:p>
              </w:tc>
              <w:tc>
                <w:tcPr>
                  <w:tcW w:w="3124" w:type="pct"/>
                  <w:gridSpan w:val="3"/>
                  <w:vMerge w:val="restart"/>
                  <w:vAlign w:val="center"/>
                </w:tcPr>
                <w:p w14:paraId="301E25F8">
                  <w:pPr>
                    <w:widowControl/>
                    <w:autoSpaceDE/>
                    <w:autoSpaceDN/>
                    <w:jc w:val="center"/>
                    <w:rPr>
                      <w:rFonts w:ascii="Times New Roman" w:hAnsi="Times New Roman" w:cs="Times New Roman"/>
                      <w:b/>
                      <w:bCs/>
                      <w:color w:val="000000" w:themeColor="text1"/>
                      <w:sz w:val="21"/>
                      <w:szCs w:val="21"/>
                      <w:lang w:val="en-US" w:bidi="ar-SA"/>
                    </w:rPr>
                  </w:pPr>
                  <w:r>
                    <w:rPr>
                      <w:rFonts w:hint="eastAsia" w:ascii="Times New Roman" w:hAnsi="Times New Roman"/>
                      <w:b/>
                      <w:bCs/>
                      <w:color w:val="000000" w:themeColor="text1"/>
                      <w:sz w:val="21"/>
                      <w:szCs w:val="21"/>
                      <w:lang w:val="en-US" w:bidi="ar-SA"/>
                    </w:rPr>
                    <w:t>工程内容及规模</w:t>
                  </w:r>
                </w:p>
              </w:tc>
              <w:tc>
                <w:tcPr>
                  <w:tcW w:w="1195" w:type="pct"/>
                  <w:vMerge w:val="restart"/>
                  <w:vAlign w:val="center"/>
                </w:tcPr>
                <w:p w14:paraId="0FA36700">
                  <w:pPr>
                    <w:widowControl/>
                    <w:autoSpaceDE/>
                    <w:autoSpaceDN/>
                    <w:jc w:val="center"/>
                    <w:rPr>
                      <w:rFonts w:ascii="Times New Roman" w:hAnsi="Times New Roman" w:cs="Times New Roman"/>
                      <w:b/>
                      <w:bCs/>
                      <w:color w:val="000000" w:themeColor="text1"/>
                      <w:sz w:val="21"/>
                      <w:szCs w:val="21"/>
                      <w:lang w:val="en-US" w:bidi="ar-SA"/>
                    </w:rPr>
                  </w:pPr>
                  <w:r>
                    <w:rPr>
                      <w:rFonts w:hint="eastAsia" w:ascii="Times New Roman" w:hAnsi="Times New Roman" w:cs="Times New Roman"/>
                      <w:b/>
                      <w:bCs/>
                      <w:color w:val="000000" w:themeColor="text1"/>
                      <w:sz w:val="21"/>
                      <w:szCs w:val="21"/>
                      <w:lang w:val="en-US" w:bidi="ar-SA"/>
                    </w:rPr>
                    <w:t>备注</w:t>
                  </w:r>
                </w:p>
              </w:tc>
            </w:tr>
            <w:tr w14:paraId="70B4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pct"/>
                  <w:gridSpan w:val="2"/>
                  <w:vMerge w:val="continue"/>
                  <w:vAlign w:val="center"/>
                </w:tcPr>
                <w:p w14:paraId="14A7DFDE">
                  <w:pPr>
                    <w:widowControl/>
                    <w:autoSpaceDE/>
                    <w:autoSpaceDN/>
                    <w:jc w:val="center"/>
                    <w:rPr>
                      <w:rFonts w:ascii="Times New Roman" w:hAnsi="Times New Roman" w:cs="Times New Roman"/>
                      <w:color w:val="000000" w:themeColor="text1"/>
                      <w:sz w:val="21"/>
                      <w:szCs w:val="21"/>
                      <w:lang w:val="en-US" w:bidi="ar-SA"/>
                    </w:rPr>
                  </w:pPr>
                </w:p>
              </w:tc>
              <w:tc>
                <w:tcPr>
                  <w:tcW w:w="3124" w:type="pct"/>
                  <w:gridSpan w:val="3"/>
                  <w:vMerge w:val="continue"/>
                  <w:vAlign w:val="center"/>
                </w:tcPr>
                <w:p w14:paraId="0743F68F">
                  <w:pPr>
                    <w:widowControl/>
                    <w:autoSpaceDE/>
                    <w:autoSpaceDN/>
                    <w:jc w:val="center"/>
                    <w:rPr>
                      <w:rFonts w:ascii="Times New Roman" w:hAnsi="Times New Roman" w:cs="Times New Roman"/>
                      <w:color w:val="000000" w:themeColor="text1"/>
                      <w:sz w:val="21"/>
                      <w:szCs w:val="21"/>
                      <w:lang w:val="en-US" w:bidi="ar-SA"/>
                    </w:rPr>
                  </w:pPr>
                </w:p>
              </w:tc>
              <w:tc>
                <w:tcPr>
                  <w:tcW w:w="1195" w:type="pct"/>
                  <w:vMerge w:val="continue"/>
                  <w:vAlign w:val="center"/>
                </w:tcPr>
                <w:p w14:paraId="5556742F">
                  <w:pPr>
                    <w:widowControl/>
                    <w:autoSpaceDE/>
                    <w:autoSpaceDN/>
                    <w:jc w:val="center"/>
                    <w:rPr>
                      <w:rFonts w:ascii="Times New Roman" w:hAnsi="Times New Roman" w:cs="Times New Roman"/>
                      <w:color w:val="000000" w:themeColor="text1"/>
                      <w:sz w:val="21"/>
                      <w:szCs w:val="21"/>
                      <w:lang w:val="en-US" w:bidi="ar-SA"/>
                    </w:rPr>
                  </w:pPr>
                </w:p>
              </w:tc>
            </w:tr>
            <w:tr w14:paraId="424C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681" w:type="pct"/>
                  <w:gridSpan w:val="2"/>
                  <w:vMerge w:val="restart"/>
                  <w:vAlign w:val="center"/>
                </w:tcPr>
                <w:p w14:paraId="48E306DB">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原有项目</w:t>
                  </w:r>
                </w:p>
              </w:tc>
              <w:tc>
                <w:tcPr>
                  <w:tcW w:w="612" w:type="pct"/>
                  <w:vAlign w:val="center"/>
                </w:tcPr>
                <w:p w14:paraId="488AE264">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急诊医技楼（原名门诊楼）</w:t>
                  </w:r>
                </w:p>
              </w:tc>
              <w:tc>
                <w:tcPr>
                  <w:tcW w:w="569" w:type="pct"/>
                  <w:vAlign w:val="center"/>
                </w:tcPr>
                <w:p w14:paraId="131BE036">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一层~六层</w:t>
                  </w:r>
                </w:p>
              </w:tc>
              <w:tc>
                <w:tcPr>
                  <w:tcW w:w="1943" w:type="pct"/>
                  <w:vAlign w:val="center"/>
                </w:tcPr>
                <w:p w14:paraId="2F752ED7">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主要设置急诊科、妇产科门诊、放射科、超声科、设备科、检验科、病理科、后勤科、药剂科、中心药房、采购管理科等，建筑面积4180平方米，共设置80张床位</w:t>
                  </w:r>
                </w:p>
              </w:tc>
              <w:tc>
                <w:tcPr>
                  <w:tcW w:w="1195" w:type="pct"/>
                  <w:vAlign w:val="center"/>
                </w:tcPr>
                <w:p w14:paraId="3D92C2ED">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已建成运营，完成验收手续</w:t>
                  </w:r>
                </w:p>
              </w:tc>
            </w:tr>
            <w:tr w14:paraId="4894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681" w:type="pct"/>
                  <w:gridSpan w:val="2"/>
                  <w:vMerge w:val="continue"/>
                  <w:vAlign w:val="center"/>
                </w:tcPr>
                <w:p w14:paraId="16D17D36">
                  <w:pPr>
                    <w:widowControl/>
                    <w:autoSpaceDE/>
                    <w:autoSpaceDN/>
                    <w:jc w:val="center"/>
                    <w:rPr>
                      <w:rFonts w:ascii="Times New Roman" w:hAnsi="Times New Roman" w:cs="Times New Roman"/>
                      <w:color w:val="000000" w:themeColor="text1"/>
                      <w:sz w:val="21"/>
                      <w:szCs w:val="21"/>
                      <w:u w:val="single"/>
                      <w:lang w:val="en-US" w:bidi="ar-SA"/>
                    </w:rPr>
                  </w:pPr>
                </w:p>
              </w:tc>
              <w:tc>
                <w:tcPr>
                  <w:tcW w:w="612" w:type="pct"/>
                  <w:vAlign w:val="center"/>
                </w:tcPr>
                <w:p w14:paraId="7DBD35BD">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住院楼</w:t>
                  </w:r>
                </w:p>
              </w:tc>
              <w:tc>
                <w:tcPr>
                  <w:tcW w:w="569" w:type="pct"/>
                  <w:vAlign w:val="center"/>
                </w:tcPr>
                <w:p w14:paraId="5EC38B8B">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一层~六层</w:t>
                  </w:r>
                </w:p>
              </w:tc>
              <w:tc>
                <w:tcPr>
                  <w:tcW w:w="1943" w:type="pct"/>
                  <w:vAlign w:val="center"/>
                </w:tcPr>
                <w:p w14:paraId="0ECD4551">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主要设置消化、血液、肿瘤内科、内分泌、神经内科、老年医学科、综合科、心血管、肾内科、病案室、材料库、介入室等，建筑面积6500平方米，共设置120张床位</w:t>
                  </w:r>
                </w:p>
              </w:tc>
              <w:tc>
                <w:tcPr>
                  <w:tcW w:w="1195" w:type="pct"/>
                  <w:vAlign w:val="center"/>
                </w:tcPr>
                <w:p w14:paraId="73E8E487">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已建成运营，已完成验收手续</w:t>
                  </w:r>
                </w:p>
              </w:tc>
            </w:tr>
            <w:tr w14:paraId="3306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81" w:type="pct"/>
                  <w:gridSpan w:val="2"/>
                  <w:vMerge w:val="continue"/>
                  <w:vAlign w:val="center"/>
                </w:tcPr>
                <w:p w14:paraId="70E08F3D">
                  <w:pPr>
                    <w:widowControl/>
                    <w:autoSpaceDE/>
                    <w:autoSpaceDN/>
                    <w:jc w:val="center"/>
                    <w:rPr>
                      <w:rFonts w:ascii="Times New Roman" w:hAnsi="Times New Roman" w:cs="Times New Roman"/>
                      <w:color w:val="000000" w:themeColor="text1"/>
                      <w:sz w:val="21"/>
                      <w:szCs w:val="21"/>
                      <w:u w:val="single"/>
                      <w:lang w:val="en-US" w:bidi="ar-SA"/>
                    </w:rPr>
                  </w:pPr>
                </w:p>
              </w:tc>
              <w:tc>
                <w:tcPr>
                  <w:tcW w:w="612" w:type="pct"/>
                  <w:vAlign w:val="center"/>
                </w:tcPr>
                <w:p w14:paraId="71E401DB">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后勤综合楼</w:t>
                  </w:r>
                </w:p>
              </w:tc>
              <w:tc>
                <w:tcPr>
                  <w:tcW w:w="569" w:type="pct"/>
                  <w:vAlign w:val="center"/>
                </w:tcPr>
                <w:p w14:paraId="53282193">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一层~五层</w:t>
                  </w:r>
                </w:p>
              </w:tc>
              <w:tc>
                <w:tcPr>
                  <w:tcW w:w="1943" w:type="pct"/>
                  <w:vAlign w:val="center"/>
                </w:tcPr>
                <w:p w14:paraId="459CD759">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主要设置洗衣房、职工宿舍，建筑面积2520平方米</w:t>
                  </w:r>
                </w:p>
              </w:tc>
              <w:tc>
                <w:tcPr>
                  <w:tcW w:w="1195" w:type="pct"/>
                  <w:vAlign w:val="center"/>
                </w:tcPr>
                <w:p w14:paraId="2CFE4E18">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已建成运营，已完成验收手续</w:t>
                  </w:r>
                </w:p>
              </w:tc>
            </w:tr>
            <w:tr w14:paraId="1562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81" w:type="pct"/>
                  <w:gridSpan w:val="2"/>
                  <w:vMerge w:val="continue"/>
                  <w:vAlign w:val="center"/>
                </w:tcPr>
                <w:p w14:paraId="258B3029">
                  <w:pPr>
                    <w:widowControl/>
                    <w:autoSpaceDE/>
                    <w:autoSpaceDN/>
                    <w:jc w:val="center"/>
                    <w:rPr>
                      <w:rFonts w:ascii="Times New Roman" w:hAnsi="Times New Roman" w:cs="Times New Roman"/>
                      <w:color w:val="000000" w:themeColor="text1"/>
                      <w:sz w:val="21"/>
                      <w:szCs w:val="21"/>
                      <w:u w:val="single"/>
                      <w:lang w:val="en-US" w:bidi="ar-SA"/>
                    </w:rPr>
                  </w:pPr>
                </w:p>
              </w:tc>
              <w:tc>
                <w:tcPr>
                  <w:tcW w:w="612" w:type="pct"/>
                  <w:vAlign w:val="center"/>
                </w:tcPr>
                <w:p w14:paraId="67C34B5E">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口腔、体检楼</w:t>
                  </w:r>
                </w:p>
              </w:tc>
              <w:tc>
                <w:tcPr>
                  <w:tcW w:w="569" w:type="pct"/>
                  <w:vAlign w:val="center"/>
                </w:tcPr>
                <w:p w14:paraId="4A2F3103">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一层~六层</w:t>
                  </w:r>
                </w:p>
              </w:tc>
              <w:tc>
                <w:tcPr>
                  <w:tcW w:w="1943" w:type="pct"/>
                  <w:vAlign w:val="center"/>
                </w:tcPr>
                <w:p w14:paraId="0F780E18">
                  <w:pPr>
                    <w:widowControl/>
                    <w:autoSpaceDE/>
                    <w:autoSpaceDN/>
                    <w:jc w:val="both"/>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主要设置口腔科（一层）、体检科（二层）、职工宿舍（三层~六层），建筑面积3000平方米</w:t>
                  </w:r>
                </w:p>
              </w:tc>
              <w:tc>
                <w:tcPr>
                  <w:tcW w:w="1195" w:type="pct"/>
                  <w:vAlign w:val="center"/>
                </w:tcPr>
                <w:p w14:paraId="0BC16592">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已建成运营，已完成验收手续</w:t>
                  </w:r>
                </w:p>
              </w:tc>
            </w:tr>
            <w:tr w14:paraId="4FE0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81" w:type="pct"/>
                  <w:gridSpan w:val="2"/>
                  <w:vAlign w:val="center"/>
                </w:tcPr>
                <w:p w14:paraId="75D82D35">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在建项目</w:t>
                  </w:r>
                </w:p>
              </w:tc>
              <w:tc>
                <w:tcPr>
                  <w:tcW w:w="612" w:type="pct"/>
                  <w:vAlign w:val="center"/>
                </w:tcPr>
                <w:p w14:paraId="014B4FB5">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专病综合楼</w:t>
                  </w:r>
                </w:p>
              </w:tc>
              <w:tc>
                <w:tcPr>
                  <w:tcW w:w="569" w:type="pct"/>
                  <w:vAlign w:val="center"/>
                </w:tcPr>
                <w:p w14:paraId="413D7333">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一层~六层</w:t>
                  </w:r>
                </w:p>
              </w:tc>
              <w:tc>
                <w:tcPr>
                  <w:tcW w:w="1943" w:type="pct"/>
                  <w:vAlign w:val="center"/>
                </w:tcPr>
                <w:p w14:paraId="6D7937F4">
                  <w:pPr>
                    <w:widowControl/>
                    <w:autoSpaceDE/>
                    <w:autoSpaceDN/>
                    <w:jc w:val="both"/>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主要设置康复科、血透中心、病房、护士站、值班室、会议室、活动区等，建筑面积10409.67平方米，共设置125张床位</w:t>
                  </w:r>
                </w:p>
              </w:tc>
              <w:tc>
                <w:tcPr>
                  <w:tcW w:w="1195" w:type="pct"/>
                  <w:vAlign w:val="center"/>
                </w:tcPr>
                <w:p w14:paraId="5E647B6F">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正在建设，已完善环评手续</w:t>
                  </w:r>
                </w:p>
              </w:tc>
            </w:tr>
            <w:tr w14:paraId="6CEE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681" w:type="pct"/>
                  <w:gridSpan w:val="2"/>
                  <w:vMerge w:val="restart"/>
                  <w:vAlign w:val="center"/>
                </w:tcPr>
                <w:p w14:paraId="65F03B69">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本项目</w:t>
                  </w:r>
                </w:p>
              </w:tc>
              <w:tc>
                <w:tcPr>
                  <w:tcW w:w="612" w:type="pct"/>
                  <w:vMerge w:val="restart"/>
                  <w:vAlign w:val="center"/>
                </w:tcPr>
                <w:p w14:paraId="4C241A6A">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业务综合楼</w:t>
                  </w:r>
                  <w:r>
                    <w:rPr>
                      <w:rFonts w:hint="eastAsia"/>
                      <w:color w:val="000000" w:themeColor="text1"/>
                      <w:u w:val="single"/>
                      <w:lang w:val="en-US"/>
                    </w:rPr>
                    <w:t>（原名医技楼）</w:t>
                  </w:r>
                </w:p>
              </w:tc>
              <w:tc>
                <w:tcPr>
                  <w:tcW w:w="569" w:type="pct"/>
                  <w:vAlign w:val="center"/>
                </w:tcPr>
                <w:p w14:paraId="2016243C">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一层</w:t>
                  </w:r>
                </w:p>
              </w:tc>
              <w:tc>
                <w:tcPr>
                  <w:tcW w:w="1943" w:type="pct"/>
                  <w:vAlign w:val="center"/>
                </w:tcPr>
                <w:p w14:paraId="0C78CF77">
                  <w:pPr>
                    <w:widowControl/>
                    <w:autoSpaceDE/>
                    <w:autoSpaceDN/>
                    <w:jc w:val="both"/>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门厅、外科处置室、外科诊室1、外科诊室2、外科诊室3、内科诊室4、呼吸心内科、神经内科、消化内科、护士站、更衣室、护士长室、值班室、观察室、注肌室、抽血室、储藏室、楼梯、电梯、厕所、防烟前室、输液室、输液大厅、处置操作室、门诊药房、消防控制室、收费室、收费值班室</w:t>
                  </w:r>
                </w:p>
              </w:tc>
              <w:tc>
                <w:tcPr>
                  <w:tcW w:w="1195" w:type="pct"/>
                  <w:vMerge w:val="restart"/>
                  <w:vAlign w:val="center"/>
                </w:tcPr>
                <w:p w14:paraId="11BBCE84">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本项目依托原有医技楼一层~六层主体，重新调整内部科室，一层、二层无床位布设，三层~六层分别布设41、48、48、46张床位，共设置183张床位，业务综合楼已建成投运。</w:t>
                  </w:r>
                </w:p>
              </w:tc>
            </w:tr>
            <w:tr w14:paraId="2D24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681" w:type="pct"/>
                  <w:gridSpan w:val="2"/>
                  <w:vMerge w:val="continue"/>
                  <w:vAlign w:val="center"/>
                </w:tcPr>
                <w:p w14:paraId="0FE4618C">
                  <w:pPr>
                    <w:widowControl/>
                    <w:autoSpaceDE/>
                    <w:autoSpaceDN/>
                    <w:jc w:val="center"/>
                    <w:rPr>
                      <w:rFonts w:ascii="Times New Roman" w:hAnsi="Times New Roman" w:cs="Times New Roman"/>
                      <w:color w:val="000000" w:themeColor="text1"/>
                      <w:sz w:val="21"/>
                      <w:szCs w:val="21"/>
                      <w:lang w:val="en-US" w:bidi="ar-SA"/>
                    </w:rPr>
                  </w:pPr>
                </w:p>
              </w:tc>
              <w:tc>
                <w:tcPr>
                  <w:tcW w:w="612" w:type="pct"/>
                  <w:vMerge w:val="continue"/>
                  <w:vAlign w:val="center"/>
                </w:tcPr>
                <w:p w14:paraId="477EF108">
                  <w:pPr>
                    <w:widowControl/>
                    <w:autoSpaceDE/>
                    <w:autoSpaceDN/>
                    <w:jc w:val="center"/>
                    <w:rPr>
                      <w:rFonts w:ascii="Times New Roman" w:hAnsi="Times New Roman" w:cs="Times New Roman"/>
                      <w:color w:val="000000" w:themeColor="text1"/>
                      <w:sz w:val="21"/>
                      <w:szCs w:val="21"/>
                      <w:lang w:val="en-US" w:bidi="ar-SA"/>
                    </w:rPr>
                  </w:pPr>
                </w:p>
              </w:tc>
              <w:tc>
                <w:tcPr>
                  <w:tcW w:w="569" w:type="pct"/>
                  <w:vAlign w:val="center"/>
                </w:tcPr>
                <w:p w14:paraId="6BF18A15">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二层</w:t>
                  </w:r>
                </w:p>
              </w:tc>
              <w:tc>
                <w:tcPr>
                  <w:tcW w:w="1943" w:type="pct"/>
                  <w:vAlign w:val="center"/>
                </w:tcPr>
                <w:p w14:paraId="2C4B4117">
                  <w:pPr>
                    <w:widowControl/>
                    <w:autoSpaceDE/>
                    <w:autoSpaceDN/>
                    <w:jc w:val="both"/>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男、女更衣室、皮肤科1、皮肤科2、皮肤科3、皮肤科4、病房收费室、康复训练室、特色治疗室、楼梯、电梯、防烟前室、卫生间、针灸科1、针灸科2、针灸科3、针灸科4、慢性病诊室、杂物间、儿科诊室1、儿科诊室2、中医诊室1、中医诊室2、中药房</w:t>
                  </w:r>
                </w:p>
              </w:tc>
              <w:tc>
                <w:tcPr>
                  <w:tcW w:w="1195" w:type="pct"/>
                  <w:vMerge w:val="continue"/>
                  <w:vAlign w:val="center"/>
                </w:tcPr>
                <w:p w14:paraId="5E0CD3C3">
                  <w:pPr>
                    <w:widowControl/>
                    <w:autoSpaceDE/>
                    <w:autoSpaceDN/>
                    <w:jc w:val="center"/>
                    <w:rPr>
                      <w:rFonts w:ascii="Times New Roman" w:hAnsi="Times New Roman" w:cs="Times New Roman"/>
                      <w:color w:val="000000" w:themeColor="text1"/>
                      <w:sz w:val="21"/>
                      <w:szCs w:val="21"/>
                      <w:lang w:val="en-US" w:bidi="ar-SA"/>
                    </w:rPr>
                  </w:pPr>
                </w:p>
              </w:tc>
            </w:tr>
            <w:tr w14:paraId="530B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681" w:type="pct"/>
                  <w:gridSpan w:val="2"/>
                  <w:vMerge w:val="continue"/>
                  <w:vAlign w:val="center"/>
                </w:tcPr>
                <w:p w14:paraId="79C54266">
                  <w:pPr>
                    <w:widowControl/>
                    <w:autoSpaceDE/>
                    <w:autoSpaceDN/>
                    <w:jc w:val="center"/>
                    <w:rPr>
                      <w:rFonts w:ascii="Times New Roman" w:hAnsi="Times New Roman" w:cs="Times New Roman"/>
                      <w:color w:val="000000" w:themeColor="text1"/>
                      <w:sz w:val="21"/>
                      <w:szCs w:val="21"/>
                      <w:lang w:val="en-US" w:bidi="ar-SA"/>
                    </w:rPr>
                  </w:pPr>
                </w:p>
              </w:tc>
              <w:tc>
                <w:tcPr>
                  <w:tcW w:w="612" w:type="pct"/>
                  <w:vMerge w:val="continue"/>
                  <w:vAlign w:val="center"/>
                </w:tcPr>
                <w:p w14:paraId="1F913F96">
                  <w:pPr>
                    <w:widowControl/>
                    <w:autoSpaceDE/>
                    <w:autoSpaceDN/>
                    <w:jc w:val="center"/>
                    <w:rPr>
                      <w:rFonts w:ascii="Times New Roman" w:hAnsi="Times New Roman" w:cs="Times New Roman"/>
                      <w:color w:val="000000" w:themeColor="text1"/>
                      <w:sz w:val="21"/>
                      <w:szCs w:val="21"/>
                      <w:lang w:val="en-US" w:bidi="ar-SA"/>
                    </w:rPr>
                  </w:pPr>
                </w:p>
              </w:tc>
              <w:tc>
                <w:tcPr>
                  <w:tcW w:w="569" w:type="pct"/>
                  <w:vAlign w:val="center"/>
                </w:tcPr>
                <w:p w14:paraId="22413323">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三层</w:t>
                  </w:r>
                </w:p>
              </w:tc>
              <w:tc>
                <w:tcPr>
                  <w:tcW w:w="1943" w:type="pct"/>
                  <w:vAlign w:val="center"/>
                </w:tcPr>
                <w:p w14:paraId="3A5390CB">
                  <w:pPr>
                    <w:widowControl/>
                    <w:autoSpaceDE/>
                    <w:autoSpaceDN/>
                    <w:jc w:val="both"/>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值班室、护士值班室、会议室、楼梯、电梯、男、女更衣室、操作室、储藏室、防烟前室、儿科医师办公室、护士长室、治疗室、护士站、第一病室~第十七病室、清洗室、卫生间、洗涤室、接待室、配奶间、重症室、普通病房、隔离病房、污物通道、开水房</w:t>
                  </w:r>
                </w:p>
              </w:tc>
              <w:tc>
                <w:tcPr>
                  <w:tcW w:w="1195" w:type="pct"/>
                  <w:vMerge w:val="continue"/>
                  <w:vAlign w:val="center"/>
                </w:tcPr>
                <w:p w14:paraId="32E695BC">
                  <w:pPr>
                    <w:widowControl/>
                    <w:autoSpaceDE/>
                    <w:autoSpaceDN/>
                    <w:jc w:val="center"/>
                    <w:rPr>
                      <w:rFonts w:ascii="Times New Roman" w:hAnsi="Times New Roman" w:cs="Times New Roman"/>
                      <w:color w:val="000000" w:themeColor="text1"/>
                      <w:sz w:val="21"/>
                      <w:szCs w:val="21"/>
                      <w:lang w:val="en-US" w:bidi="ar-SA"/>
                    </w:rPr>
                  </w:pPr>
                </w:p>
              </w:tc>
            </w:tr>
            <w:tr w14:paraId="1CBB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681" w:type="pct"/>
                  <w:gridSpan w:val="2"/>
                  <w:vMerge w:val="continue"/>
                  <w:vAlign w:val="center"/>
                </w:tcPr>
                <w:p w14:paraId="6EC6916D">
                  <w:pPr>
                    <w:widowControl/>
                    <w:autoSpaceDE/>
                    <w:autoSpaceDN/>
                    <w:jc w:val="center"/>
                    <w:rPr>
                      <w:rFonts w:ascii="Times New Roman" w:hAnsi="Times New Roman" w:cs="Times New Roman"/>
                      <w:color w:val="000000" w:themeColor="text1"/>
                      <w:sz w:val="21"/>
                      <w:szCs w:val="21"/>
                      <w:lang w:val="en-US" w:bidi="ar-SA"/>
                    </w:rPr>
                  </w:pPr>
                </w:p>
              </w:tc>
              <w:tc>
                <w:tcPr>
                  <w:tcW w:w="612" w:type="pct"/>
                  <w:vMerge w:val="continue"/>
                  <w:vAlign w:val="center"/>
                </w:tcPr>
                <w:p w14:paraId="52C5F7EF">
                  <w:pPr>
                    <w:widowControl/>
                    <w:autoSpaceDE/>
                    <w:autoSpaceDN/>
                    <w:jc w:val="center"/>
                    <w:rPr>
                      <w:rFonts w:ascii="Times New Roman" w:hAnsi="Times New Roman" w:cs="Times New Roman"/>
                      <w:color w:val="000000" w:themeColor="text1"/>
                      <w:sz w:val="21"/>
                      <w:szCs w:val="21"/>
                      <w:lang w:val="en-US" w:bidi="ar-SA"/>
                    </w:rPr>
                  </w:pPr>
                </w:p>
              </w:tc>
              <w:tc>
                <w:tcPr>
                  <w:tcW w:w="569" w:type="pct"/>
                  <w:vAlign w:val="center"/>
                </w:tcPr>
                <w:p w14:paraId="0FC5770D">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四层</w:t>
                  </w:r>
                </w:p>
              </w:tc>
              <w:tc>
                <w:tcPr>
                  <w:tcW w:w="1943" w:type="pct"/>
                  <w:vAlign w:val="center"/>
                </w:tcPr>
                <w:p w14:paraId="2574DE6E">
                  <w:pPr>
                    <w:widowControl/>
                    <w:autoSpaceDE/>
                    <w:autoSpaceDN/>
                    <w:jc w:val="both"/>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主任办公室、护士值班室、会议室、男、女更衣室、医师值班室、操作室、储藏室、楼梯、电梯、防烟前室、外三科医师办公室、第一病室~第二十病室、治疗室、护士长室、护士站、处置室、监护室、清洗间、开水、配餐间</w:t>
                  </w:r>
                </w:p>
              </w:tc>
              <w:tc>
                <w:tcPr>
                  <w:tcW w:w="1195" w:type="pct"/>
                  <w:vMerge w:val="continue"/>
                  <w:vAlign w:val="center"/>
                </w:tcPr>
                <w:p w14:paraId="0F85D7FD">
                  <w:pPr>
                    <w:widowControl/>
                    <w:autoSpaceDE/>
                    <w:autoSpaceDN/>
                    <w:jc w:val="center"/>
                    <w:rPr>
                      <w:rFonts w:ascii="Times New Roman" w:hAnsi="Times New Roman" w:cs="Times New Roman"/>
                      <w:color w:val="000000" w:themeColor="text1"/>
                      <w:sz w:val="21"/>
                      <w:szCs w:val="21"/>
                      <w:lang w:val="en-US" w:bidi="ar-SA"/>
                    </w:rPr>
                  </w:pPr>
                </w:p>
              </w:tc>
            </w:tr>
            <w:tr w14:paraId="0CDD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681" w:type="pct"/>
                  <w:gridSpan w:val="2"/>
                  <w:vMerge w:val="continue"/>
                  <w:vAlign w:val="center"/>
                </w:tcPr>
                <w:p w14:paraId="6866E217">
                  <w:pPr>
                    <w:widowControl/>
                    <w:autoSpaceDE/>
                    <w:autoSpaceDN/>
                    <w:jc w:val="center"/>
                    <w:rPr>
                      <w:rFonts w:ascii="Times New Roman" w:hAnsi="Times New Roman" w:cs="Times New Roman"/>
                      <w:color w:val="000000" w:themeColor="text1"/>
                      <w:sz w:val="21"/>
                      <w:szCs w:val="21"/>
                      <w:lang w:val="en-US" w:bidi="ar-SA"/>
                    </w:rPr>
                  </w:pPr>
                </w:p>
              </w:tc>
              <w:tc>
                <w:tcPr>
                  <w:tcW w:w="612" w:type="pct"/>
                  <w:vMerge w:val="continue"/>
                  <w:vAlign w:val="center"/>
                </w:tcPr>
                <w:p w14:paraId="4DFC8DAE">
                  <w:pPr>
                    <w:widowControl/>
                    <w:autoSpaceDE/>
                    <w:autoSpaceDN/>
                    <w:jc w:val="center"/>
                    <w:rPr>
                      <w:rFonts w:ascii="Times New Roman" w:hAnsi="Times New Roman" w:cs="Times New Roman"/>
                      <w:color w:val="000000" w:themeColor="text1"/>
                      <w:sz w:val="21"/>
                      <w:szCs w:val="21"/>
                      <w:lang w:val="en-US" w:bidi="ar-SA"/>
                    </w:rPr>
                  </w:pPr>
                </w:p>
              </w:tc>
              <w:tc>
                <w:tcPr>
                  <w:tcW w:w="569" w:type="pct"/>
                  <w:vAlign w:val="center"/>
                </w:tcPr>
                <w:p w14:paraId="6CD439AE">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五层</w:t>
                  </w:r>
                </w:p>
              </w:tc>
              <w:tc>
                <w:tcPr>
                  <w:tcW w:w="1943" w:type="pct"/>
                  <w:vAlign w:val="center"/>
                </w:tcPr>
                <w:p w14:paraId="24B5B083">
                  <w:pPr>
                    <w:widowControl/>
                    <w:autoSpaceDE/>
                    <w:autoSpaceDN/>
                    <w:jc w:val="both"/>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主任办公室、护士值班室、会议室、男、女更衣室、医师值班室、操作室、储藏室、楼梯、电梯、防烟前室、外二科医师办公室、第一病室~第二十病室、治疗室、护士长室、护士站、处置室、监护室、清洗间、开水、配餐间</w:t>
                  </w:r>
                </w:p>
              </w:tc>
              <w:tc>
                <w:tcPr>
                  <w:tcW w:w="1195" w:type="pct"/>
                  <w:vMerge w:val="continue"/>
                  <w:vAlign w:val="center"/>
                </w:tcPr>
                <w:p w14:paraId="6941656F">
                  <w:pPr>
                    <w:widowControl/>
                    <w:autoSpaceDE/>
                    <w:autoSpaceDN/>
                    <w:jc w:val="center"/>
                    <w:rPr>
                      <w:rFonts w:ascii="Times New Roman" w:hAnsi="Times New Roman" w:cs="Times New Roman"/>
                      <w:color w:val="000000" w:themeColor="text1"/>
                      <w:sz w:val="21"/>
                      <w:szCs w:val="21"/>
                      <w:lang w:val="en-US" w:bidi="ar-SA"/>
                    </w:rPr>
                  </w:pPr>
                </w:p>
              </w:tc>
            </w:tr>
            <w:tr w14:paraId="0C8E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81" w:type="pct"/>
                  <w:gridSpan w:val="2"/>
                  <w:vMerge w:val="continue"/>
                  <w:vAlign w:val="center"/>
                </w:tcPr>
                <w:p w14:paraId="1D9304FE">
                  <w:pPr>
                    <w:widowControl/>
                    <w:autoSpaceDE/>
                    <w:autoSpaceDN/>
                    <w:jc w:val="center"/>
                    <w:rPr>
                      <w:rFonts w:ascii="Times New Roman" w:hAnsi="Times New Roman" w:cs="Times New Roman"/>
                      <w:color w:val="000000" w:themeColor="text1"/>
                      <w:sz w:val="21"/>
                      <w:szCs w:val="21"/>
                      <w:lang w:val="en-US" w:bidi="ar-SA"/>
                    </w:rPr>
                  </w:pPr>
                </w:p>
              </w:tc>
              <w:tc>
                <w:tcPr>
                  <w:tcW w:w="612" w:type="pct"/>
                  <w:vMerge w:val="continue"/>
                  <w:vAlign w:val="center"/>
                </w:tcPr>
                <w:p w14:paraId="2C333487">
                  <w:pPr>
                    <w:widowControl/>
                    <w:autoSpaceDE/>
                    <w:autoSpaceDN/>
                    <w:jc w:val="center"/>
                    <w:rPr>
                      <w:rFonts w:ascii="Times New Roman" w:hAnsi="Times New Roman" w:cs="Times New Roman"/>
                      <w:color w:val="000000" w:themeColor="text1"/>
                      <w:sz w:val="21"/>
                      <w:szCs w:val="21"/>
                      <w:lang w:val="en-US" w:bidi="ar-SA"/>
                    </w:rPr>
                  </w:pPr>
                </w:p>
              </w:tc>
              <w:tc>
                <w:tcPr>
                  <w:tcW w:w="569" w:type="pct"/>
                  <w:vAlign w:val="center"/>
                </w:tcPr>
                <w:p w14:paraId="4372F7FC">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六层</w:t>
                  </w:r>
                </w:p>
              </w:tc>
              <w:tc>
                <w:tcPr>
                  <w:tcW w:w="1943" w:type="pct"/>
                  <w:vAlign w:val="center"/>
                </w:tcPr>
                <w:p w14:paraId="2CA04954">
                  <w:pPr>
                    <w:widowControl/>
                    <w:autoSpaceDE/>
                    <w:autoSpaceDN/>
                    <w:jc w:val="both"/>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血库、主任办公室、男、女更衣室、医师值班室、操作室、储藏室、楼梯、电梯、防烟前室、外三科医师办公室、第一病室~第十九病室、治疗室、护士长室、护士站、护士值班室、监护室、清洗间、开水、配餐间</w:t>
                  </w:r>
                </w:p>
              </w:tc>
              <w:tc>
                <w:tcPr>
                  <w:tcW w:w="1195" w:type="pct"/>
                  <w:vMerge w:val="continue"/>
                  <w:vAlign w:val="center"/>
                </w:tcPr>
                <w:p w14:paraId="1C29D9A2">
                  <w:pPr>
                    <w:widowControl/>
                    <w:autoSpaceDE/>
                    <w:autoSpaceDN/>
                    <w:jc w:val="center"/>
                    <w:rPr>
                      <w:rFonts w:ascii="Times New Roman" w:hAnsi="Times New Roman" w:cs="Times New Roman"/>
                      <w:color w:val="000000" w:themeColor="text1"/>
                      <w:sz w:val="21"/>
                      <w:szCs w:val="21"/>
                      <w:lang w:val="en-US" w:bidi="ar-SA"/>
                    </w:rPr>
                  </w:pPr>
                </w:p>
              </w:tc>
            </w:tr>
            <w:tr w14:paraId="5FF0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681" w:type="pct"/>
                  <w:gridSpan w:val="2"/>
                  <w:vMerge w:val="continue"/>
                  <w:vAlign w:val="center"/>
                </w:tcPr>
                <w:p w14:paraId="610A54C7">
                  <w:pPr>
                    <w:widowControl/>
                    <w:autoSpaceDE/>
                    <w:autoSpaceDN/>
                    <w:jc w:val="center"/>
                    <w:rPr>
                      <w:rFonts w:ascii="Times New Roman" w:hAnsi="Times New Roman" w:cs="Times New Roman"/>
                      <w:color w:val="000000" w:themeColor="text1"/>
                      <w:sz w:val="21"/>
                      <w:szCs w:val="21"/>
                      <w:lang w:val="en-US" w:bidi="ar-SA"/>
                    </w:rPr>
                  </w:pPr>
                </w:p>
              </w:tc>
              <w:tc>
                <w:tcPr>
                  <w:tcW w:w="612" w:type="pct"/>
                  <w:vMerge w:val="continue"/>
                  <w:vAlign w:val="center"/>
                </w:tcPr>
                <w:p w14:paraId="6463335A">
                  <w:pPr>
                    <w:widowControl/>
                    <w:autoSpaceDE/>
                    <w:autoSpaceDN/>
                    <w:jc w:val="center"/>
                    <w:rPr>
                      <w:rFonts w:ascii="Times New Roman" w:hAnsi="Times New Roman" w:cs="Times New Roman"/>
                      <w:color w:val="000000" w:themeColor="text1"/>
                      <w:sz w:val="21"/>
                      <w:szCs w:val="21"/>
                      <w:lang w:val="en-US" w:bidi="ar-SA"/>
                    </w:rPr>
                  </w:pPr>
                </w:p>
              </w:tc>
              <w:tc>
                <w:tcPr>
                  <w:tcW w:w="569" w:type="pct"/>
                  <w:vAlign w:val="center"/>
                </w:tcPr>
                <w:p w14:paraId="4CB5F476">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七层</w:t>
                  </w:r>
                </w:p>
              </w:tc>
              <w:tc>
                <w:tcPr>
                  <w:tcW w:w="1943" w:type="pct"/>
                  <w:vAlign w:val="center"/>
                </w:tcPr>
                <w:p w14:paraId="7B703ADD">
                  <w:pPr>
                    <w:widowControl/>
                    <w:autoSpaceDE/>
                    <w:autoSpaceDN/>
                    <w:jc w:val="both"/>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主任办公室、男、女更衣室、男、女值班室、手术室1~3、复苏室、手术室5~6、楼梯、电梯、防烟前室、患者通道、污物通道、正压、负压房、缓冲区、护士站、ICU监护大厅、一线医生办公室、治疗室、储藏间、配餐间、处置室、谈话间</w:t>
                  </w:r>
                </w:p>
              </w:tc>
              <w:tc>
                <w:tcPr>
                  <w:tcW w:w="1195" w:type="pct"/>
                  <w:vMerge w:val="restart"/>
                  <w:vAlign w:val="center"/>
                </w:tcPr>
                <w:p w14:paraId="1B8F34FC">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七层布设11张床位，八层、九层无床位布设，已建成投运。</w:t>
                  </w:r>
                </w:p>
              </w:tc>
            </w:tr>
            <w:tr w14:paraId="22E7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81" w:type="pct"/>
                  <w:gridSpan w:val="2"/>
                  <w:vMerge w:val="continue"/>
                  <w:vAlign w:val="center"/>
                </w:tcPr>
                <w:p w14:paraId="26D49955">
                  <w:pPr>
                    <w:widowControl/>
                    <w:autoSpaceDE/>
                    <w:autoSpaceDN/>
                    <w:jc w:val="center"/>
                    <w:rPr>
                      <w:rFonts w:ascii="Times New Roman" w:hAnsi="Times New Roman" w:cs="Times New Roman"/>
                      <w:color w:val="000000" w:themeColor="text1"/>
                      <w:sz w:val="21"/>
                      <w:szCs w:val="21"/>
                      <w:lang w:val="en-US" w:bidi="ar-SA"/>
                    </w:rPr>
                  </w:pPr>
                </w:p>
              </w:tc>
              <w:tc>
                <w:tcPr>
                  <w:tcW w:w="612" w:type="pct"/>
                  <w:vMerge w:val="continue"/>
                  <w:vAlign w:val="center"/>
                </w:tcPr>
                <w:p w14:paraId="450B0C19">
                  <w:pPr>
                    <w:widowControl/>
                    <w:autoSpaceDE/>
                    <w:autoSpaceDN/>
                    <w:jc w:val="center"/>
                    <w:rPr>
                      <w:rFonts w:ascii="Times New Roman" w:hAnsi="Times New Roman" w:cs="Times New Roman"/>
                      <w:color w:val="000000" w:themeColor="text1"/>
                      <w:sz w:val="21"/>
                      <w:szCs w:val="21"/>
                      <w:lang w:val="en-US" w:bidi="ar-SA"/>
                    </w:rPr>
                  </w:pPr>
                </w:p>
              </w:tc>
              <w:tc>
                <w:tcPr>
                  <w:tcW w:w="569" w:type="pct"/>
                  <w:vAlign w:val="center"/>
                </w:tcPr>
                <w:p w14:paraId="53DBFA17">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八层</w:t>
                  </w:r>
                </w:p>
              </w:tc>
              <w:tc>
                <w:tcPr>
                  <w:tcW w:w="1943" w:type="pct"/>
                  <w:vAlign w:val="center"/>
                </w:tcPr>
                <w:p w14:paraId="39162A7C">
                  <w:pPr>
                    <w:widowControl/>
                    <w:autoSpaceDE/>
                    <w:autoSpaceDN/>
                    <w:jc w:val="both"/>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楼梯、电梯、防烟前室、财务1、财务3、统计办、质控感控室、护理部、医务部、二甲办公室、休息室、更衣室、卫生间、消毒供应室、库房、去污区、检查包装灭菌区、无菌物品存放区、发放间、清洁通道、储藏室、班子会议室、院长办公室、会议室、电脑机房、副院长办公室、院办室</w:t>
                  </w:r>
                </w:p>
              </w:tc>
              <w:tc>
                <w:tcPr>
                  <w:tcW w:w="1195" w:type="pct"/>
                  <w:vMerge w:val="continue"/>
                  <w:vAlign w:val="center"/>
                </w:tcPr>
                <w:p w14:paraId="2268A0A1">
                  <w:pPr>
                    <w:widowControl/>
                    <w:autoSpaceDE/>
                    <w:autoSpaceDN/>
                    <w:jc w:val="center"/>
                    <w:rPr>
                      <w:rFonts w:ascii="Times New Roman" w:hAnsi="Times New Roman" w:cs="Times New Roman"/>
                      <w:color w:val="000000" w:themeColor="text1"/>
                      <w:sz w:val="21"/>
                      <w:szCs w:val="21"/>
                      <w:lang w:val="en-US" w:bidi="ar-SA"/>
                    </w:rPr>
                  </w:pPr>
                </w:p>
              </w:tc>
            </w:tr>
            <w:tr w14:paraId="03DF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681" w:type="pct"/>
                  <w:gridSpan w:val="2"/>
                  <w:vMerge w:val="continue"/>
                  <w:vAlign w:val="center"/>
                </w:tcPr>
                <w:p w14:paraId="134C43D5">
                  <w:pPr>
                    <w:widowControl/>
                    <w:autoSpaceDE/>
                    <w:autoSpaceDN/>
                    <w:jc w:val="center"/>
                    <w:rPr>
                      <w:rFonts w:ascii="Times New Roman" w:hAnsi="Times New Roman" w:cs="Times New Roman"/>
                      <w:color w:val="000000" w:themeColor="text1"/>
                      <w:sz w:val="21"/>
                      <w:szCs w:val="21"/>
                      <w:lang w:val="en-US" w:bidi="ar-SA"/>
                    </w:rPr>
                  </w:pPr>
                </w:p>
              </w:tc>
              <w:tc>
                <w:tcPr>
                  <w:tcW w:w="612" w:type="pct"/>
                  <w:vMerge w:val="continue"/>
                  <w:vAlign w:val="center"/>
                </w:tcPr>
                <w:p w14:paraId="6FD30C08">
                  <w:pPr>
                    <w:widowControl/>
                    <w:autoSpaceDE/>
                    <w:autoSpaceDN/>
                    <w:jc w:val="center"/>
                    <w:rPr>
                      <w:rFonts w:ascii="Times New Roman" w:hAnsi="Times New Roman" w:cs="Times New Roman"/>
                      <w:color w:val="000000" w:themeColor="text1"/>
                      <w:sz w:val="21"/>
                      <w:szCs w:val="21"/>
                      <w:lang w:val="en-US" w:bidi="ar-SA"/>
                    </w:rPr>
                  </w:pPr>
                </w:p>
              </w:tc>
              <w:tc>
                <w:tcPr>
                  <w:tcW w:w="569" w:type="pct"/>
                  <w:vAlign w:val="center"/>
                </w:tcPr>
                <w:p w14:paraId="0E817DF4">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九层</w:t>
                  </w:r>
                </w:p>
              </w:tc>
              <w:tc>
                <w:tcPr>
                  <w:tcW w:w="1943" w:type="pct"/>
                  <w:vAlign w:val="center"/>
                </w:tcPr>
                <w:p w14:paraId="18C9B49D">
                  <w:pPr>
                    <w:widowControl/>
                    <w:autoSpaceDE/>
                    <w:autoSpaceDN/>
                    <w:jc w:val="both"/>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卫生间、楼梯、电梯、防烟前室、妇科、心电图室、主任办公室、B超室、门诊办、抽血室、党办、远程会诊中心、音响室、多媒体会议室、后勤科、储藏室、教具间、大会议室</w:t>
                  </w:r>
                </w:p>
              </w:tc>
              <w:tc>
                <w:tcPr>
                  <w:tcW w:w="1195" w:type="pct"/>
                  <w:vMerge w:val="continue"/>
                  <w:vAlign w:val="center"/>
                </w:tcPr>
                <w:p w14:paraId="0D229CA4">
                  <w:pPr>
                    <w:widowControl/>
                    <w:autoSpaceDE/>
                    <w:autoSpaceDN/>
                    <w:jc w:val="center"/>
                    <w:rPr>
                      <w:rFonts w:ascii="Times New Roman" w:hAnsi="Times New Roman" w:cs="Times New Roman"/>
                      <w:color w:val="000000" w:themeColor="text1"/>
                      <w:sz w:val="21"/>
                      <w:szCs w:val="21"/>
                      <w:lang w:val="en-US" w:bidi="ar-SA"/>
                    </w:rPr>
                  </w:pPr>
                </w:p>
              </w:tc>
            </w:tr>
            <w:tr w14:paraId="04AC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681" w:type="pct"/>
                  <w:gridSpan w:val="2"/>
                  <w:vMerge w:val="continue"/>
                  <w:vAlign w:val="center"/>
                </w:tcPr>
                <w:p w14:paraId="42E66176">
                  <w:pPr>
                    <w:widowControl/>
                    <w:autoSpaceDE/>
                    <w:autoSpaceDN/>
                    <w:jc w:val="center"/>
                    <w:rPr>
                      <w:rFonts w:ascii="Times New Roman" w:hAnsi="Times New Roman" w:cs="Times New Roman"/>
                      <w:color w:val="000000" w:themeColor="text1"/>
                      <w:sz w:val="21"/>
                      <w:szCs w:val="21"/>
                      <w:lang w:val="en-US" w:bidi="ar-SA"/>
                    </w:rPr>
                  </w:pPr>
                </w:p>
              </w:tc>
              <w:tc>
                <w:tcPr>
                  <w:tcW w:w="612" w:type="pct"/>
                  <w:vMerge w:val="restart"/>
                  <w:vAlign w:val="center"/>
                </w:tcPr>
                <w:p w14:paraId="1B35D718">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传染病楼</w:t>
                  </w:r>
                </w:p>
              </w:tc>
              <w:tc>
                <w:tcPr>
                  <w:tcW w:w="569" w:type="pct"/>
                  <w:vAlign w:val="center"/>
                </w:tcPr>
                <w:p w14:paraId="7B89646B">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一层</w:t>
                  </w:r>
                </w:p>
              </w:tc>
              <w:tc>
                <w:tcPr>
                  <w:tcW w:w="1943" w:type="pct"/>
                  <w:vAlign w:val="center"/>
                </w:tcPr>
                <w:p w14:paraId="60DE5F9F">
                  <w:pPr>
                    <w:widowControl/>
                    <w:autoSpaceDE/>
                    <w:autoSpaceDN/>
                    <w:jc w:val="both"/>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标本存放处、痰检室、关爱办公室、关爱座房、结核候诊区、结核诊室、抽血室、诊室、咨询室、厕所（单独设置洗衣机）、医生办公室、肠道门诊</w:t>
                  </w:r>
                </w:p>
              </w:tc>
              <w:tc>
                <w:tcPr>
                  <w:tcW w:w="1195" w:type="pct"/>
                  <w:vMerge w:val="restart"/>
                  <w:vAlign w:val="center"/>
                </w:tcPr>
                <w:p w14:paraId="4E072F40">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共</w:t>
                  </w:r>
                  <w:r>
                    <w:rPr>
                      <w:rFonts w:ascii="Times New Roman" w:hAnsi="Times New Roman" w:cs="Times New Roman"/>
                      <w:color w:val="000000" w:themeColor="text1"/>
                      <w:sz w:val="21"/>
                      <w:szCs w:val="21"/>
                      <w:u w:val="single"/>
                      <w:lang w:val="en-US" w:bidi="ar-SA"/>
                    </w:rPr>
                    <w:t>布置</w:t>
                  </w:r>
                  <w:r>
                    <w:rPr>
                      <w:rFonts w:hint="eastAsia" w:ascii="Times New Roman" w:hAnsi="Times New Roman" w:cs="Times New Roman"/>
                      <w:color w:val="000000" w:themeColor="text1"/>
                      <w:sz w:val="21"/>
                      <w:szCs w:val="21"/>
                      <w:u w:val="single"/>
                      <w:lang w:val="en-US" w:bidi="ar-SA"/>
                    </w:rPr>
                    <w:t>10张床位。本项目涉及的传染病相关科室与床位依托2008年已建成投运的传染病楼，该设施为医院原有固定诊疗设施，因医院整体搬迁环评及批复未包含，故将传染病楼相关内容纳入本项目。</w:t>
                  </w:r>
                </w:p>
              </w:tc>
            </w:tr>
            <w:tr w14:paraId="2F05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681" w:type="pct"/>
                  <w:gridSpan w:val="2"/>
                  <w:vMerge w:val="continue"/>
                  <w:vAlign w:val="center"/>
                </w:tcPr>
                <w:p w14:paraId="6C4DF5C1">
                  <w:pPr>
                    <w:widowControl/>
                    <w:autoSpaceDE/>
                    <w:autoSpaceDN/>
                    <w:jc w:val="center"/>
                    <w:rPr>
                      <w:rFonts w:ascii="Times New Roman" w:hAnsi="Times New Roman" w:cs="Times New Roman"/>
                      <w:color w:val="000000" w:themeColor="text1"/>
                      <w:sz w:val="21"/>
                      <w:szCs w:val="21"/>
                      <w:lang w:val="en-US" w:bidi="ar-SA"/>
                    </w:rPr>
                  </w:pPr>
                </w:p>
              </w:tc>
              <w:tc>
                <w:tcPr>
                  <w:tcW w:w="612" w:type="pct"/>
                  <w:vMerge w:val="continue"/>
                  <w:vAlign w:val="center"/>
                </w:tcPr>
                <w:p w14:paraId="05D9DAF6">
                  <w:pPr>
                    <w:widowControl/>
                    <w:autoSpaceDE/>
                    <w:autoSpaceDN/>
                    <w:jc w:val="center"/>
                    <w:rPr>
                      <w:rFonts w:ascii="Times New Roman" w:hAnsi="Times New Roman" w:cs="Times New Roman"/>
                      <w:color w:val="000000" w:themeColor="text1"/>
                      <w:sz w:val="21"/>
                      <w:szCs w:val="21"/>
                      <w:lang w:val="en-US" w:bidi="ar-SA"/>
                    </w:rPr>
                  </w:pPr>
                </w:p>
              </w:tc>
              <w:tc>
                <w:tcPr>
                  <w:tcW w:w="569" w:type="pct"/>
                  <w:vAlign w:val="center"/>
                </w:tcPr>
                <w:p w14:paraId="11B1CDEF">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二层</w:t>
                  </w:r>
                </w:p>
              </w:tc>
              <w:tc>
                <w:tcPr>
                  <w:tcW w:w="1943" w:type="pct"/>
                  <w:vAlign w:val="center"/>
                </w:tcPr>
                <w:p w14:paraId="6D3616FF">
                  <w:pPr>
                    <w:widowControl/>
                    <w:autoSpaceDE/>
                    <w:autoSpaceDN/>
                    <w:jc w:val="both"/>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医生办公室、护士值班室、治疗室、处置室、卫生间、A区1~6病室、B区1~5病室、缓冲间、楼梯间、半污染区、储藏室、护士办公室、更衣室</w:t>
                  </w:r>
                </w:p>
              </w:tc>
              <w:tc>
                <w:tcPr>
                  <w:tcW w:w="1195" w:type="pct"/>
                  <w:vMerge w:val="continue"/>
                  <w:vAlign w:val="center"/>
                </w:tcPr>
                <w:p w14:paraId="4F1D3849">
                  <w:pPr>
                    <w:widowControl/>
                    <w:autoSpaceDE/>
                    <w:autoSpaceDN/>
                    <w:jc w:val="center"/>
                    <w:rPr>
                      <w:rFonts w:ascii="Times New Roman" w:hAnsi="Times New Roman" w:cs="Times New Roman"/>
                      <w:color w:val="000000" w:themeColor="text1"/>
                      <w:sz w:val="21"/>
                      <w:szCs w:val="21"/>
                      <w:lang w:val="en-US" w:bidi="ar-SA"/>
                    </w:rPr>
                  </w:pPr>
                </w:p>
              </w:tc>
            </w:tr>
            <w:tr w14:paraId="3CB6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00" w:type="pct"/>
                  <w:vMerge w:val="restart"/>
                  <w:vAlign w:val="center"/>
                </w:tcPr>
                <w:p w14:paraId="73D8AB85">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公用工程</w:t>
                  </w:r>
                </w:p>
              </w:tc>
              <w:tc>
                <w:tcPr>
                  <w:tcW w:w="382" w:type="pct"/>
                  <w:vAlign w:val="center"/>
                </w:tcPr>
                <w:p w14:paraId="5A390F04">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供电</w:t>
                  </w:r>
                </w:p>
              </w:tc>
              <w:tc>
                <w:tcPr>
                  <w:tcW w:w="3124" w:type="pct"/>
                  <w:gridSpan w:val="3"/>
                  <w:vAlign w:val="center"/>
                </w:tcPr>
                <w:p w14:paraId="5A01F67A">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当地市政电网</w:t>
                  </w:r>
                </w:p>
              </w:tc>
              <w:tc>
                <w:tcPr>
                  <w:tcW w:w="1195" w:type="pct"/>
                  <w:vAlign w:val="center"/>
                </w:tcPr>
                <w:p w14:paraId="185980FC">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依托原有，已完成验收手续</w:t>
                  </w:r>
                </w:p>
              </w:tc>
            </w:tr>
            <w:tr w14:paraId="4FE8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00" w:type="pct"/>
                  <w:vMerge w:val="continue"/>
                  <w:vAlign w:val="center"/>
                </w:tcPr>
                <w:p w14:paraId="3055FEDD">
                  <w:pPr>
                    <w:widowControl/>
                    <w:autoSpaceDE/>
                    <w:autoSpaceDN/>
                    <w:jc w:val="center"/>
                    <w:rPr>
                      <w:rFonts w:ascii="Times New Roman" w:hAnsi="Times New Roman" w:cs="Times New Roman"/>
                      <w:color w:val="000000" w:themeColor="text1"/>
                      <w:sz w:val="21"/>
                      <w:szCs w:val="21"/>
                      <w:lang w:val="en-US" w:bidi="ar-SA"/>
                    </w:rPr>
                  </w:pPr>
                </w:p>
              </w:tc>
              <w:tc>
                <w:tcPr>
                  <w:tcW w:w="382" w:type="pct"/>
                  <w:vAlign w:val="center"/>
                </w:tcPr>
                <w:p w14:paraId="6E1F36A1">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供水</w:t>
                  </w:r>
                </w:p>
              </w:tc>
              <w:tc>
                <w:tcPr>
                  <w:tcW w:w="3124" w:type="pct"/>
                  <w:gridSpan w:val="3"/>
                  <w:vAlign w:val="center"/>
                </w:tcPr>
                <w:p w14:paraId="3E7FB03B">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当地自来水管网</w:t>
                  </w:r>
                </w:p>
              </w:tc>
              <w:tc>
                <w:tcPr>
                  <w:tcW w:w="1195" w:type="pct"/>
                  <w:vAlign w:val="center"/>
                </w:tcPr>
                <w:p w14:paraId="43989715">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依托原有，已完成验收手续</w:t>
                  </w:r>
                </w:p>
              </w:tc>
            </w:tr>
            <w:tr w14:paraId="771B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00" w:type="pct"/>
                  <w:vMerge w:val="continue"/>
                  <w:vAlign w:val="center"/>
                </w:tcPr>
                <w:p w14:paraId="338D99B5">
                  <w:pPr>
                    <w:widowControl/>
                    <w:autoSpaceDE/>
                    <w:autoSpaceDN/>
                    <w:jc w:val="center"/>
                    <w:rPr>
                      <w:rFonts w:ascii="Times New Roman" w:hAnsi="Times New Roman" w:cs="Times New Roman"/>
                      <w:color w:val="000000" w:themeColor="text1"/>
                      <w:sz w:val="21"/>
                      <w:szCs w:val="21"/>
                      <w:lang w:val="en-US" w:bidi="ar-SA"/>
                    </w:rPr>
                  </w:pPr>
                </w:p>
              </w:tc>
              <w:tc>
                <w:tcPr>
                  <w:tcW w:w="382" w:type="pct"/>
                  <w:vAlign w:val="center"/>
                </w:tcPr>
                <w:p w14:paraId="5A4E7664">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排水</w:t>
                  </w:r>
                </w:p>
              </w:tc>
              <w:tc>
                <w:tcPr>
                  <w:tcW w:w="3124" w:type="pct"/>
                  <w:gridSpan w:val="3"/>
                  <w:vAlign w:val="center"/>
                </w:tcPr>
                <w:p w14:paraId="0F20B8AB">
                  <w:pPr>
                    <w:widowControl/>
                    <w:autoSpaceDE/>
                    <w:autoSpaceDN/>
                    <w:jc w:val="center"/>
                    <w:rPr>
                      <w:rFonts w:hint="eastAsia"/>
                      <w:color w:val="000000" w:themeColor="text1"/>
                      <w:lang w:val="en-US"/>
                    </w:rPr>
                  </w:pPr>
                  <w:r>
                    <w:rPr>
                      <w:rFonts w:hint="eastAsia" w:ascii="Times New Roman" w:hAnsi="Times New Roman" w:cs="Times New Roman"/>
                      <w:color w:val="000000" w:themeColor="text1"/>
                      <w:sz w:val="21"/>
                      <w:szCs w:val="21"/>
                      <w:lang w:val="en-US" w:bidi="ar-SA"/>
                    </w:rPr>
                    <w:t>本项目传染性废水经传染病预处理设施（加氯消毒+脱氯工艺）处理</w:t>
                  </w:r>
                  <w:r>
                    <w:rPr>
                      <w:rFonts w:ascii="Times New Roman" w:hAnsi="Times New Roman" w:cs="Times New Roman"/>
                      <w:color w:val="000000" w:themeColor="text1"/>
                      <w:sz w:val="21"/>
                      <w:szCs w:val="21"/>
                      <w:lang w:val="en-US" w:bidi="ar-SA"/>
                    </w:rPr>
                    <w:t>后</w:t>
                  </w:r>
                  <w:r>
                    <w:rPr>
                      <w:rFonts w:hint="eastAsia" w:ascii="Times New Roman" w:hAnsi="Times New Roman" w:cs="Times New Roman"/>
                      <w:color w:val="000000" w:themeColor="text1"/>
                      <w:sz w:val="21"/>
                      <w:szCs w:val="21"/>
                      <w:lang w:val="en-US" w:bidi="ar-SA"/>
                    </w:rPr>
                    <w:t>与业务综合楼综合废水一起排入综合污水处理站“格栅池→调节池→厌氧滤池→接触氧化池→二沉池→消毒池→脱氯池→排放工艺”处理，废水达到《医疗机构水污染物排放标准》（</w:t>
                  </w:r>
                  <w:r>
                    <w:rPr>
                      <w:rFonts w:ascii="Times New Roman" w:hAnsi="Times New Roman" w:cs="Times New Roman"/>
                      <w:color w:val="000000" w:themeColor="text1"/>
                      <w:sz w:val="21"/>
                      <w:szCs w:val="21"/>
                      <w:lang w:val="en-US" w:bidi="ar-SA"/>
                    </w:rPr>
                    <w:t>GB18466-2005）表</w:t>
                  </w:r>
                  <w:r>
                    <w:rPr>
                      <w:rFonts w:hint="eastAsia" w:ascii="Times New Roman" w:hAnsi="Times New Roman" w:cs="Times New Roman"/>
                      <w:color w:val="000000" w:themeColor="text1"/>
                      <w:sz w:val="21"/>
                      <w:szCs w:val="21"/>
                      <w:lang w:val="en-US" w:bidi="ar-SA"/>
                    </w:rPr>
                    <w:t>2预处理标准</w:t>
                  </w:r>
                  <w:r>
                    <w:rPr>
                      <w:rFonts w:ascii="Times New Roman" w:hAnsi="Times New Roman" w:cs="Times New Roman"/>
                      <w:color w:val="000000" w:themeColor="text1"/>
                      <w:sz w:val="21"/>
                      <w:szCs w:val="21"/>
                      <w:lang w:val="en-US" w:bidi="ar-SA"/>
                    </w:rPr>
                    <w:t>后，</w:t>
                  </w:r>
                  <w:r>
                    <w:rPr>
                      <w:rFonts w:hint="eastAsia" w:ascii="Times New Roman" w:hAnsi="Times New Roman" w:cs="Times New Roman"/>
                      <w:color w:val="000000" w:themeColor="text1"/>
                      <w:sz w:val="21"/>
                      <w:szCs w:val="21"/>
                      <w:lang w:val="en-US" w:bidi="ar-SA"/>
                    </w:rPr>
                    <w:t>排入永福县益源污水处理厂处理；住院病人食堂废水依托原有项目隔油池+化粪池处理达到《污水综合排放标准》（GB 8978-1996）表4三级标准后</w:t>
                  </w:r>
                  <w:r>
                    <w:rPr>
                      <w:rFonts w:ascii="Times New Roman" w:hAnsi="Times New Roman" w:cs="Times New Roman"/>
                      <w:color w:val="000000" w:themeColor="text1"/>
                      <w:sz w:val="21"/>
                      <w:szCs w:val="21"/>
                      <w:lang w:val="en-US" w:bidi="ar-SA"/>
                    </w:rPr>
                    <w:t>，</w:t>
                  </w:r>
                  <w:r>
                    <w:rPr>
                      <w:rFonts w:hint="eastAsia" w:ascii="Times New Roman" w:hAnsi="Times New Roman" w:cs="Times New Roman"/>
                      <w:color w:val="000000" w:themeColor="text1"/>
                      <w:sz w:val="21"/>
                      <w:szCs w:val="21"/>
                      <w:lang w:val="en-US" w:bidi="ar-SA"/>
                    </w:rPr>
                    <w:t>排入永福县益源污水处理厂</w:t>
                  </w:r>
                </w:p>
              </w:tc>
              <w:tc>
                <w:tcPr>
                  <w:tcW w:w="1195" w:type="pct"/>
                  <w:vAlign w:val="center"/>
                </w:tcPr>
                <w:p w14:paraId="75591F88">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隔油池、化粪池</w:t>
                  </w:r>
                  <w:r>
                    <w:rPr>
                      <w:rFonts w:ascii="Times New Roman" w:hAnsi="Times New Roman" w:cs="Times New Roman"/>
                      <w:color w:val="000000" w:themeColor="text1"/>
                      <w:sz w:val="21"/>
                      <w:szCs w:val="21"/>
                      <w:lang w:val="en-US" w:bidi="ar-SA"/>
                    </w:rPr>
                    <w:t>为依托</w:t>
                  </w:r>
                  <w:r>
                    <w:rPr>
                      <w:rFonts w:hint="eastAsia" w:ascii="Times New Roman" w:hAnsi="Times New Roman" w:cs="Times New Roman"/>
                      <w:color w:val="000000" w:themeColor="text1"/>
                      <w:sz w:val="21"/>
                      <w:szCs w:val="21"/>
                      <w:lang w:val="en-US" w:bidi="ar-SA"/>
                    </w:rPr>
                    <w:t>；综合污水处理站进行已进行改造；传染病预处理设施设计规模为20m</w:t>
                  </w:r>
                  <w:r>
                    <w:rPr>
                      <w:rFonts w:hint="eastAsia" w:ascii="Times New Roman" w:hAnsi="Times New Roman" w:cs="Times New Roman"/>
                      <w:color w:val="000000" w:themeColor="text1"/>
                      <w:sz w:val="21"/>
                      <w:szCs w:val="21"/>
                      <w:vertAlign w:val="superscript"/>
                      <w:lang w:val="en-US" w:bidi="ar-SA"/>
                    </w:rPr>
                    <w:t>3</w:t>
                  </w:r>
                  <w:r>
                    <w:rPr>
                      <w:rFonts w:hint="eastAsia" w:ascii="Times New Roman" w:hAnsi="Times New Roman" w:cs="Times New Roman"/>
                      <w:color w:val="000000" w:themeColor="text1"/>
                      <w:sz w:val="21"/>
                      <w:szCs w:val="21"/>
                      <w:lang w:val="en-US" w:bidi="ar-SA"/>
                    </w:rPr>
                    <w:t>/d，均已建成投运。</w:t>
                  </w:r>
                </w:p>
              </w:tc>
            </w:tr>
            <w:tr w14:paraId="3798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00" w:type="pct"/>
                  <w:vMerge w:val="continue"/>
                  <w:vAlign w:val="center"/>
                </w:tcPr>
                <w:p w14:paraId="77E624AE">
                  <w:pPr>
                    <w:widowControl/>
                    <w:autoSpaceDE/>
                    <w:autoSpaceDN/>
                    <w:jc w:val="center"/>
                    <w:rPr>
                      <w:rFonts w:ascii="Times New Roman" w:hAnsi="Times New Roman" w:cs="Times New Roman"/>
                      <w:color w:val="000000" w:themeColor="text1"/>
                      <w:sz w:val="21"/>
                      <w:szCs w:val="21"/>
                      <w:lang w:val="en-US" w:bidi="ar-SA"/>
                    </w:rPr>
                  </w:pPr>
                </w:p>
              </w:tc>
              <w:tc>
                <w:tcPr>
                  <w:tcW w:w="382" w:type="pct"/>
                  <w:vAlign w:val="center"/>
                </w:tcPr>
                <w:p w14:paraId="531A0CE3">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供氧</w:t>
                  </w:r>
                </w:p>
              </w:tc>
              <w:tc>
                <w:tcPr>
                  <w:tcW w:w="3124" w:type="pct"/>
                  <w:gridSpan w:val="3"/>
                  <w:vAlign w:val="center"/>
                </w:tcPr>
                <w:p w14:paraId="296D4D0A">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不单独设置供氧中心，</w:t>
                  </w:r>
                  <w:r>
                    <w:rPr>
                      <w:rFonts w:ascii="Times New Roman" w:hAnsi="Times New Roman" w:cs="Times New Roman"/>
                      <w:color w:val="000000" w:themeColor="text1"/>
                      <w:sz w:val="21"/>
                      <w:szCs w:val="21"/>
                      <w:lang w:val="en-US" w:bidi="ar-SA"/>
                    </w:rPr>
                    <w:t>依托</w:t>
                  </w:r>
                  <w:r>
                    <w:rPr>
                      <w:rFonts w:hint="eastAsia" w:ascii="Times New Roman" w:hAnsi="Times New Roman" w:cs="Times New Roman"/>
                      <w:color w:val="000000" w:themeColor="text1"/>
                      <w:sz w:val="21"/>
                      <w:szCs w:val="21"/>
                      <w:lang w:val="en-US" w:bidi="ar-SA"/>
                    </w:rPr>
                    <w:t>医院制氧机供氧</w:t>
                  </w:r>
                </w:p>
              </w:tc>
              <w:tc>
                <w:tcPr>
                  <w:tcW w:w="1195" w:type="pct"/>
                  <w:vMerge w:val="restart"/>
                  <w:vAlign w:val="center"/>
                </w:tcPr>
                <w:p w14:paraId="613133AD">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依托原有，已完成验收手续</w:t>
                  </w:r>
                </w:p>
              </w:tc>
            </w:tr>
            <w:tr w14:paraId="6732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00" w:type="pct"/>
                  <w:vMerge w:val="continue"/>
                  <w:vAlign w:val="center"/>
                </w:tcPr>
                <w:p w14:paraId="69ACA1D0">
                  <w:pPr>
                    <w:widowControl/>
                    <w:autoSpaceDE/>
                    <w:autoSpaceDN/>
                    <w:jc w:val="center"/>
                    <w:rPr>
                      <w:rFonts w:ascii="Times New Roman" w:hAnsi="Times New Roman" w:cs="Times New Roman"/>
                      <w:color w:val="000000" w:themeColor="text1"/>
                      <w:sz w:val="21"/>
                      <w:szCs w:val="21"/>
                      <w:lang w:val="en-US" w:bidi="ar-SA"/>
                    </w:rPr>
                  </w:pPr>
                </w:p>
              </w:tc>
              <w:tc>
                <w:tcPr>
                  <w:tcW w:w="382" w:type="pct"/>
                  <w:vAlign w:val="center"/>
                </w:tcPr>
                <w:p w14:paraId="1EC89CA1">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食堂</w:t>
                  </w:r>
                </w:p>
              </w:tc>
              <w:tc>
                <w:tcPr>
                  <w:tcW w:w="3124" w:type="pct"/>
                  <w:gridSpan w:val="3"/>
                  <w:vAlign w:val="center"/>
                </w:tcPr>
                <w:p w14:paraId="112D8DD4">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医院食堂：为职工、病人提供餐食</w:t>
                  </w:r>
                </w:p>
              </w:tc>
              <w:tc>
                <w:tcPr>
                  <w:tcW w:w="1195" w:type="pct"/>
                  <w:vMerge w:val="continue"/>
                  <w:vAlign w:val="center"/>
                </w:tcPr>
                <w:p w14:paraId="1BA6C07B">
                  <w:pPr>
                    <w:widowControl/>
                    <w:autoSpaceDE/>
                    <w:autoSpaceDN/>
                    <w:jc w:val="center"/>
                    <w:rPr>
                      <w:rFonts w:ascii="Times New Roman" w:hAnsi="Times New Roman" w:cs="Times New Roman"/>
                      <w:color w:val="000000" w:themeColor="text1"/>
                      <w:sz w:val="21"/>
                      <w:szCs w:val="21"/>
                      <w:u w:val="single"/>
                      <w:lang w:val="en-US" w:bidi="ar-SA"/>
                    </w:rPr>
                  </w:pPr>
                </w:p>
              </w:tc>
            </w:tr>
            <w:tr w14:paraId="15FC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300" w:type="pct"/>
                  <w:vMerge w:val="continue"/>
                  <w:vAlign w:val="center"/>
                </w:tcPr>
                <w:p w14:paraId="26C4A8F0">
                  <w:pPr>
                    <w:widowControl/>
                    <w:autoSpaceDE/>
                    <w:autoSpaceDN/>
                    <w:jc w:val="center"/>
                    <w:rPr>
                      <w:rFonts w:ascii="Times New Roman" w:hAnsi="Times New Roman" w:cs="Times New Roman"/>
                      <w:color w:val="000000" w:themeColor="text1"/>
                      <w:sz w:val="21"/>
                      <w:szCs w:val="21"/>
                      <w:lang w:val="en-US" w:bidi="ar-SA"/>
                    </w:rPr>
                  </w:pPr>
                </w:p>
              </w:tc>
              <w:tc>
                <w:tcPr>
                  <w:tcW w:w="382" w:type="pct"/>
                  <w:vAlign w:val="center"/>
                </w:tcPr>
                <w:p w14:paraId="6191CB9D">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取暖、制冷</w:t>
                  </w:r>
                </w:p>
              </w:tc>
              <w:tc>
                <w:tcPr>
                  <w:tcW w:w="3124" w:type="pct"/>
                  <w:gridSpan w:val="3"/>
                  <w:vAlign w:val="center"/>
                </w:tcPr>
                <w:p w14:paraId="313D2A5E">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设置分体空调</w:t>
                  </w:r>
                </w:p>
              </w:tc>
              <w:tc>
                <w:tcPr>
                  <w:tcW w:w="1195" w:type="pct"/>
                  <w:vMerge w:val="continue"/>
                  <w:vAlign w:val="center"/>
                </w:tcPr>
                <w:p w14:paraId="128F13F2">
                  <w:pPr>
                    <w:widowControl/>
                    <w:autoSpaceDE/>
                    <w:autoSpaceDN/>
                    <w:jc w:val="center"/>
                    <w:rPr>
                      <w:rFonts w:ascii="Times New Roman" w:hAnsi="Times New Roman" w:cs="Times New Roman"/>
                      <w:color w:val="000000" w:themeColor="text1"/>
                      <w:sz w:val="21"/>
                      <w:szCs w:val="21"/>
                      <w:lang w:val="en-US" w:bidi="ar-SA"/>
                    </w:rPr>
                  </w:pPr>
                </w:p>
              </w:tc>
            </w:tr>
            <w:tr w14:paraId="1D62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exact"/>
                <w:jc w:val="center"/>
              </w:trPr>
              <w:tc>
                <w:tcPr>
                  <w:tcW w:w="300" w:type="pct"/>
                  <w:vMerge w:val="restart"/>
                  <w:vAlign w:val="center"/>
                </w:tcPr>
                <w:p w14:paraId="20A1B75D">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环保工程</w:t>
                  </w:r>
                </w:p>
              </w:tc>
              <w:tc>
                <w:tcPr>
                  <w:tcW w:w="382" w:type="pct"/>
                  <w:vAlign w:val="center"/>
                </w:tcPr>
                <w:p w14:paraId="77043C3B">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废气</w:t>
                  </w:r>
                </w:p>
              </w:tc>
              <w:tc>
                <w:tcPr>
                  <w:tcW w:w="3124" w:type="pct"/>
                  <w:gridSpan w:val="3"/>
                  <w:vAlign w:val="center"/>
                </w:tcPr>
                <w:p w14:paraId="78878E47">
                  <w:pPr>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药物及试剂气味：设置清洁库房、通风排气设施；带菌废气：区域划分隔离管理、设立醒目的提示语、专用通道、紫外线消毒灯消毒、消毒剂对地面进行消毒；污水处理站加盖、密闭、消毒；医疗废物、生活垃圾定期清运、消毒，加强日常管理；食堂油烟经油烟净化器处理；汽车尾气：周围设有绿化，停车位较分散且位于地面，易扩散。</w:t>
                  </w:r>
                </w:p>
              </w:tc>
              <w:tc>
                <w:tcPr>
                  <w:tcW w:w="1195" w:type="pct"/>
                  <w:vAlign w:val="center"/>
                </w:tcPr>
                <w:p w14:paraId="036A3AE6">
                  <w:pPr>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油烟净化器、院区绿化依托原有，已完成验收手续；其他为本项目建设，均已建成投运</w:t>
                  </w:r>
                </w:p>
              </w:tc>
            </w:tr>
            <w:tr w14:paraId="332C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300" w:type="pct"/>
                  <w:vMerge w:val="continue"/>
                  <w:vAlign w:val="center"/>
                </w:tcPr>
                <w:p w14:paraId="5C9E2FA5">
                  <w:pPr>
                    <w:widowControl/>
                    <w:autoSpaceDE/>
                    <w:autoSpaceDN/>
                    <w:jc w:val="center"/>
                    <w:rPr>
                      <w:rFonts w:ascii="Times New Roman" w:hAnsi="Times New Roman" w:cs="Times New Roman"/>
                      <w:color w:val="000000" w:themeColor="text1"/>
                      <w:sz w:val="21"/>
                      <w:szCs w:val="21"/>
                      <w:lang w:val="en-US" w:bidi="ar-SA"/>
                    </w:rPr>
                  </w:pPr>
                </w:p>
              </w:tc>
              <w:tc>
                <w:tcPr>
                  <w:tcW w:w="382" w:type="pct"/>
                  <w:vAlign w:val="center"/>
                </w:tcPr>
                <w:p w14:paraId="3B96C1E8">
                  <w:pPr>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废水</w:t>
                  </w:r>
                </w:p>
              </w:tc>
              <w:tc>
                <w:tcPr>
                  <w:tcW w:w="3124" w:type="pct"/>
                  <w:gridSpan w:val="3"/>
                  <w:vAlign w:val="center"/>
                </w:tcPr>
                <w:p w14:paraId="2199A984">
                  <w:pPr>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传染病区废水经传染病预处理设施（20m</w:t>
                  </w:r>
                  <w:r>
                    <w:rPr>
                      <w:rFonts w:hint="eastAsia" w:ascii="Times New Roman" w:hAnsi="Times New Roman" w:cs="Times New Roman"/>
                      <w:color w:val="000000" w:themeColor="text1"/>
                      <w:sz w:val="21"/>
                      <w:szCs w:val="21"/>
                      <w:vertAlign w:val="superscript"/>
                      <w:lang w:val="en-US" w:bidi="ar-SA"/>
                    </w:rPr>
                    <w:t>3</w:t>
                  </w:r>
                  <w:r>
                    <w:rPr>
                      <w:rFonts w:hint="eastAsia" w:ascii="Times New Roman" w:hAnsi="Times New Roman" w:cs="Times New Roman"/>
                      <w:color w:val="000000" w:themeColor="text1"/>
                      <w:sz w:val="21"/>
                      <w:szCs w:val="21"/>
                      <w:lang w:val="en-US" w:bidi="ar-SA"/>
                    </w:rPr>
                    <w:t>/d）预处理</w:t>
                  </w:r>
                  <w:r>
                    <w:rPr>
                      <w:rFonts w:ascii="Times New Roman" w:hAnsi="Times New Roman" w:cs="Times New Roman"/>
                      <w:color w:val="000000" w:themeColor="text1"/>
                      <w:sz w:val="21"/>
                      <w:szCs w:val="21"/>
                      <w:lang w:val="en-US" w:bidi="ar-SA"/>
                    </w:rPr>
                    <w:t>后</w:t>
                  </w:r>
                  <w:r>
                    <w:rPr>
                      <w:rFonts w:hint="eastAsia" w:ascii="Times New Roman" w:hAnsi="Times New Roman" w:cs="Times New Roman"/>
                      <w:color w:val="000000" w:themeColor="text1"/>
                      <w:sz w:val="21"/>
                      <w:szCs w:val="21"/>
                      <w:lang w:val="en-US" w:bidi="ar-SA"/>
                    </w:rPr>
                    <w:t>进入综合污水处理站（480m</w:t>
                  </w:r>
                  <w:r>
                    <w:rPr>
                      <w:rFonts w:hint="eastAsia" w:ascii="Times New Roman" w:hAnsi="Times New Roman" w:cs="Times New Roman"/>
                      <w:color w:val="000000" w:themeColor="text1"/>
                      <w:sz w:val="21"/>
                      <w:szCs w:val="21"/>
                      <w:vertAlign w:val="superscript"/>
                      <w:lang w:val="en-US" w:bidi="ar-SA"/>
                    </w:rPr>
                    <w:t>3</w:t>
                  </w:r>
                  <w:r>
                    <w:rPr>
                      <w:rFonts w:hint="eastAsia" w:ascii="Times New Roman" w:hAnsi="Times New Roman" w:cs="Times New Roman"/>
                      <w:color w:val="000000" w:themeColor="text1"/>
                      <w:sz w:val="21"/>
                      <w:szCs w:val="21"/>
                      <w:lang w:val="en-US" w:bidi="ar-SA"/>
                    </w:rPr>
                    <w:t>/d）处理，综合污水处理站废水达到《医疗机构水污染物排放标准》（</w:t>
                  </w:r>
                  <w:r>
                    <w:rPr>
                      <w:rFonts w:ascii="Times New Roman" w:hAnsi="Times New Roman" w:cs="Times New Roman"/>
                      <w:color w:val="000000" w:themeColor="text1"/>
                      <w:sz w:val="21"/>
                      <w:szCs w:val="21"/>
                      <w:lang w:val="en-US" w:bidi="ar-SA"/>
                    </w:rPr>
                    <w:t>GB18466-2005）表</w:t>
                  </w:r>
                  <w:r>
                    <w:rPr>
                      <w:rFonts w:hint="eastAsia" w:ascii="Times New Roman" w:hAnsi="Times New Roman" w:cs="Times New Roman"/>
                      <w:color w:val="000000" w:themeColor="text1"/>
                      <w:sz w:val="21"/>
                      <w:szCs w:val="21"/>
                      <w:lang w:val="en-US" w:bidi="ar-SA"/>
                    </w:rPr>
                    <w:t>2预处理标准后排入永福县益源污水处理厂；住院病人食堂废水经原隔油池（容积20m3）+化粪池（容积20m</w:t>
                  </w:r>
                  <w:r>
                    <w:rPr>
                      <w:rFonts w:hint="eastAsia" w:ascii="Times New Roman" w:hAnsi="Times New Roman" w:cs="Times New Roman"/>
                      <w:color w:val="000000" w:themeColor="text1"/>
                      <w:sz w:val="21"/>
                      <w:szCs w:val="21"/>
                      <w:vertAlign w:val="superscript"/>
                      <w:lang w:val="en-US" w:bidi="ar-SA"/>
                    </w:rPr>
                    <w:t>3</w:t>
                  </w:r>
                  <w:r>
                    <w:rPr>
                      <w:rFonts w:hint="eastAsia" w:ascii="Times New Roman" w:hAnsi="Times New Roman" w:cs="Times New Roman"/>
                      <w:color w:val="000000" w:themeColor="text1"/>
                      <w:sz w:val="21"/>
                      <w:szCs w:val="21"/>
                      <w:lang w:val="en-US" w:bidi="ar-SA"/>
                    </w:rPr>
                    <w:t>）处理达到《污水综合排放标准》（GB 8978-1996）表4三级标准后，排入永福县益源污水处理厂</w:t>
                  </w:r>
                </w:p>
              </w:tc>
              <w:tc>
                <w:tcPr>
                  <w:tcW w:w="1195" w:type="pct"/>
                  <w:vAlign w:val="center"/>
                </w:tcPr>
                <w:p w14:paraId="1F08E454">
                  <w:pPr>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隔油池、化粪池</w:t>
                  </w:r>
                  <w:r>
                    <w:rPr>
                      <w:rFonts w:ascii="Times New Roman" w:hAnsi="Times New Roman" w:cs="Times New Roman"/>
                      <w:color w:val="000000" w:themeColor="text1"/>
                      <w:sz w:val="21"/>
                      <w:szCs w:val="21"/>
                      <w:u w:val="single"/>
                      <w:lang w:val="en-US" w:bidi="ar-SA"/>
                    </w:rPr>
                    <w:t>依托</w:t>
                  </w:r>
                  <w:r>
                    <w:rPr>
                      <w:rFonts w:hint="eastAsia" w:ascii="Times New Roman" w:hAnsi="Times New Roman" w:cs="Times New Roman"/>
                      <w:color w:val="000000" w:themeColor="text1"/>
                      <w:sz w:val="21"/>
                      <w:szCs w:val="21"/>
                      <w:u w:val="single"/>
                      <w:lang w:val="en-US" w:bidi="ar-SA"/>
                    </w:rPr>
                    <w:t>原有，已完成验收手续；传染病预处理设施为本项目已建；综合污水处理站已进行改造投运</w:t>
                  </w:r>
                </w:p>
              </w:tc>
            </w:tr>
            <w:tr w14:paraId="2B67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300" w:type="pct"/>
                  <w:vMerge w:val="continue"/>
                  <w:vAlign w:val="center"/>
                </w:tcPr>
                <w:p w14:paraId="3FDD7B8E">
                  <w:pPr>
                    <w:widowControl/>
                    <w:autoSpaceDE/>
                    <w:autoSpaceDN/>
                    <w:jc w:val="center"/>
                    <w:rPr>
                      <w:rFonts w:ascii="Times New Roman" w:hAnsi="Times New Roman" w:cs="Times New Roman"/>
                      <w:color w:val="000000" w:themeColor="text1"/>
                      <w:sz w:val="21"/>
                      <w:szCs w:val="21"/>
                      <w:lang w:val="en-US" w:bidi="ar-SA"/>
                    </w:rPr>
                  </w:pPr>
                </w:p>
              </w:tc>
              <w:tc>
                <w:tcPr>
                  <w:tcW w:w="382" w:type="pct"/>
                  <w:vMerge w:val="restart"/>
                  <w:vAlign w:val="center"/>
                </w:tcPr>
                <w:p w14:paraId="2ED9D84B">
                  <w:pPr>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固废</w:t>
                  </w:r>
                </w:p>
              </w:tc>
              <w:tc>
                <w:tcPr>
                  <w:tcW w:w="3124" w:type="pct"/>
                  <w:gridSpan w:val="3"/>
                  <w:vAlign w:val="center"/>
                </w:tcPr>
                <w:p w14:paraId="764B89B0">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生活垃圾：垃圾收集桶、生活垃圾暂存点</w:t>
                  </w:r>
                </w:p>
              </w:tc>
              <w:tc>
                <w:tcPr>
                  <w:tcW w:w="1195" w:type="pct"/>
                  <w:vMerge w:val="restart"/>
                  <w:vAlign w:val="center"/>
                </w:tcPr>
                <w:p w14:paraId="4AEE19FA">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依托原有，已完成验收手续</w:t>
                  </w:r>
                </w:p>
              </w:tc>
            </w:tr>
            <w:tr w14:paraId="64AE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300" w:type="pct"/>
                  <w:vMerge w:val="continue"/>
                  <w:vAlign w:val="center"/>
                </w:tcPr>
                <w:p w14:paraId="3721682C">
                  <w:pPr>
                    <w:widowControl/>
                    <w:autoSpaceDE/>
                    <w:autoSpaceDN/>
                    <w:jc w:val="center"/>
                    <w:rPr>
                      <w:rFonts w:ascii="Times New Roman" w:hAnsi="Times New Roman" w:cs="Times New Roman"/>
                      <w:color w:val="000000" w:themeColor="text1"/>
                      <w:sz w:val="21"/>
                      <w:szCs w:val="21"/>
                      <w:lang w:val="en-US" w:bidi="ar-SA"/>
                    </w:rPr>
                  </w:pPr>
                </w:p>
              </w:tc>
              <w:tc>
                <w:tcPr>
                  <w:tcW w:w="382" w:type="pct"/>
                  <w:vMerge w:val="continue"/>
                  <w:vAlign w:val="center"/>
                </w:tcPr>
                <w:p w14:paraId="17A63AE0">
                  <w:pPr>
                    <w:widowControl/>
                    <w:autoSpaceDE/>
                    <w:autoSpaceDN/>
                    <w:jc w:val="center"/>
                    <w:rPr>
                      <w:rFonts w:ascii="Times New Roman" w:hAnsi="Times New Roman" w:cs="Times New Roman"/>
                      <w:color w:val="000000" w:themeColor="text1"/>
                      <w:sz w:val="21"/>
                      <w:szCs w:val="21"/>
                      <w:lang w:val="en-US" w:bidi="ar-SA"/>
                    </w:rPr>
                  </w:pPr>
                </w:p>
              </w:tc>
              <w:tc>
                <w:tcPr>
                  <w:tcW w:w="3124" w:type="pct"/>
                  <w:gridSpan w:val="3"/>
                  <w:vAlign w:val="center"/>
                </w:tcPr>
                <w:p w14:paraId="5F2D6383">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医疗废物：依托原项目医疗废物暂存间（20m</w:t>
                  </w:r>
                  <w:r>
                    <w:rPr>
                      <w:rFonts w:hint="eastAsia" w:ascii="Times New Roman" w:hAnsi="Times New Roman" w:cs="Times New Roman"/>
                      <w:color w:val="000000" w:themeColor="text1"/>
                      <w:sz w:val="21"/>
                      <w:szCs w:val="21"/>
                      <w:vertAlign w:val="superscript"/>
                      <w:lang w:val="en-US" w:bidi="ar-SA"/>
                    </w:rPr>
                    <w:t>2</w:t>
                  </w:r>
                  <w:r>
                    <w:rPr>
                      <w:rFonts w:hint="eastAsia" w:ascii="Times New Roman" w:hAnsi="Times New Roman" w:cs="Times New Roman"/>
                      <w:color w:val="000000" w:themeColor="text1"/>
                      <w:sz w:val="21"/>
                      <w:szCs w:val="21"/>
                      <w:lang w:val="en-US" w:bidi="ar-SA"/>
                    </w:rPr>
                    <w:t>）</w:t>
                  </w:r>
                </w:p>
              </w:tc>
              <w:tc>
                <w:tcPr>
                  <w:tcW w:w="1195" w:type="pct"/>
                  <w:vMerge w:val="continue"/>
                  <w:vAlign w:val="center"/>
                </w:tcPr>
                <w:p w14:paraId="6B4F8502">
                  <w:pPr>
                    <w:widowControl/>
                    <w:autoSpaceDE/>
                    <w:autoSpaceDN/>
                    <w:jc w:val="center"/>
                    <w:rPr>
                      <w:rFonts w:ascii="Times New Roman" w:hAnsi="Times New Roman" w:cs="Times New Roman"/>
                      <w:color w:val="000000" w:themeColor="text1"/>
                      <w:sz w:val="21"/>
                      <w:szCs w:val="21"/>
                      <w:u w:val="single"/>
                      <w:lang w:val="en-US" w:bidi="ar-SA"/>
                    </w:rPr>
                  </w:pPr>
                </w:p>
              </w:tc>
            </w:tr>
            <w:tr w14:paraId="1810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300" w:type="pct"/>
                  <w:vMerge w:val="continue"/>
                  <w:vAlign w:val="center"/>
                </w:tcPr>
                <w:p w14:paraId="18F93047">
                  <w:pPr>
                    <w:widowControl/>
                    <w:autoSpaceDE/>
                    <w:autoSpaceDN/>
                    <w:jc w:val="center"/>
                    <w:rPr>
                      <w:rFonts w:ascii="Times New Roman" w:hAnsi="Times New Roman" w:cs="Times New Roman"/>
                      <w:color w:val="000000" w:themeColor="text1"/>
                      <w:sz w:val="21"/>
                      <w:szCs w:val="21"/>
                      <w:lang w:val="en-US" w:bidi="ar-SA"/>
                    </w:rPr>
                  </w:pPr>
                </w:p>
              </w:tc>
              <w:tc>
                <w:tcPr>
                  <w:tcW w:w="382" w:type="pct"/>
                  <w:vMerge w:val="continue"/>
                  <w:vAlign w:val="center"/>
                </w:tcPr>
                <w:p w14:paraId="2ABDD9C7">
                  <w:pPr>
                    <w:widowControl/>
                    <w:autoSpaceDE/>
                    <w:autoSpaceDN/>
                    <w:jc w:val="center"/>
                    <w:rPr>
                      <w:rFonts w:ascii="Times New Roman" w:hAnsi="Times New Roman" w:cs="Times New Roman"/>
                      <w:color w:val="000000" w:themeColor="text1"/>
                      <w:sz w:val="21"/>
                      <w:szCs w:val="21"/>
                      <w:lang w:val="en-US" w:bidi="ar-SA"/>
                    </w:rPr>
                  </w:pPr>
                </w:p>
              </w:tc>
              <w:tc>
                <w:tcPr>
                  <w:tcW w:w="3124" w:type="pct"/>
                  <w:gridSpan w:val="3"/>
                  <w:vAlign w:val="center"/>
                </w:tcPr>
                <w:p w14:paraId="505873CB">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输液瓶：依托原项目一般固废暂存间（20m</w:t>
                  </w:r>
                  <w:r>
                    <w:rPr>
                      <w:rFonts w:hint="eastAsia" w:ascii="Times New Roman" w:hAnsi="Times New Roman" w:cs="Times New Roman"/>
                      <w:color w:val="000000" w:themeColor="text1"/>
                      <w:sz w:val="21"/>
                      <w:szCs w:val="21"/>
                      <w:vertAlign w:val="superscript"/>
                      <w:lang w:val="en-US" w:bidi="ar-SA"/>
                    </w:rPr>
                    <w:t>2</w:t>
                  </w:r>
                  <w:r>
                    <w:rPr>
                      <w:rFonts w:hint="eastAsia" w:ascii="Times New Roman" w:hAnsi="Times New Roman" w:cs="Times New Roman"/>
                      <w:color w:val="000000" w:themeColor="text1"/>
                      <w:sz w:val="21"/>
                      <w:szCs w:val="21"/>
                      <w:lang w:val="en-US" w:bidi="ar-SA"/>
                    </w:rPr>
                    <w:t>）</w:t>
                  </w:r>
                </w:p>
              </w:tc>
              <w:tc>
                <w:tcPr>
                  <w:tcW w:w="1195" w:type="pct"/>
                  <w:vMerge w:val="continue"/>
                  <w:vAlign w:val="center"/>
                </w:tcPr>
                <w:p w14:paraId="6C5F1E0B">
                  <w:pPr>
                    <w:widowControl/>
                    <w:autoSpaceDE/>
                    <w:autoSpaceDN/>
                    <w:jc w:val="center"/>
                    <w:rPr>
                      <w:rFonts w:ascii="Times New Roman" w:hAnsi="Times New Roman" w:cs="Times New Roman"/>
                      <w:color w:val="000000" w:themeColor="text1"/>
                      <w:sz w:val="21"/>
                      <w:szCs w:val="21"/>
                      <w:u w:val="single"/>
                      <w:lang w:val="en-US" w:bidi="ar-SA"/>
                    </w:rPr>
                  </w:pPr>
                </w:p>
              </w:tc>
            </w:tr>
            <w:tr w14:paraId="19C6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300" w:type="pct"/>
                  <w:vMerge w:val="continue"/>
                  <w:vAlign w:val="center"/>
                </w:tcPr>
                <w:p w14:paraId="48C08D3F">
                  <w:pPr>
                    <w:widowControl/>
                    <w:autoSpaceDE/>
                    <w:autoSpaceDN/>
                    <w:jc w:val="center"/>
                    <w:rPr>
                      <w:rFonts w:ascii="Times New Roman" w:hAnsi="Times New Roman" w:cs="Times New Roman"/>
                      <w:color w:val="000000" w:themeColor="text1"/>
                      <w:sz w:val="21"/>
                      <w:szCs w:val="21"/>
                      <w:lang w:val="en-US" w:bidi="ar-SA"/>
                    </w:rPr>
                  </w:pPr>
                </w:p>
              </w:tc>
              <w:tc>
                <w:tcPr>
                  <w:tcW w:w="382" w:type="pct"/>
                  <w:vAlign w:val="center"/>
                </w:tcPr>
                <w:p w14:paraId="1DF789A6">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噪声</w:t>
                  </w:r>
                </w:p>
              </w:tc>
              <w:tc>
                <w:tcPr>
                  <w:tcW w:w="3124" w:type="pct"/>
                  <w:gridSpan w:val="3"/>
                  <w:vAlign w:val="center"/>
                </w:tcPr>
                <w:p w14:paraId="3C685E07">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基础减振、选用低噪声设备</w:t>
                  </w:r>
                </w:p>
              </w:tc>
              <w:tc>
                <w:tcPr>
                  <w:tcW w:w="1195" w:type="pct"/>
                  <w:vAlign w:val="center"/>
                </w:tcPr>
                <w:p w14:paraId="0AEBF947">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本项目建设，已建成投运</w:t>
                  </w:r>
                </w:p>
              </w:tc>
            </w:tr>
          </w:tbl>
          <w:p w14:paraId="7D4925B2">
            <w:pPr>
              <w:autoSpaceDE/>
              <w:autoSpaceDN/>
              <w:spacing w:line="360" w:lineRule="auto"/>
              <w:ind w:firstLine="482" w:firstLineChars="200"/>
              <w:jc w:val="both"/>
              <w:rPr>
                <w:rFonts w:ascii="Times New Roman" w:hAnsi="Times New Roman" w:cs="Times New Roman"/>
                <w:b/>
                <w:bCs/>
                <w:color w:val="000000" w:themeColor="text1"/>
                <w:kern w:val="2"/>
                <w:sz w:val="24"/>
                <w:szCs w:val="24"/>
                <w:lang w:val="en-US" w:bidi="ar-SA"/>
              </w:rPr>
            </w:pPr>
            <w:r>
              <w:rPr>
                <w:rFonts w:hint="eastAsia" w:ascii="Times New Roman" w:hAnsi="Times New Roman" w:cs="Times New Roman"/>
                <w:b/>
                <w:bCs/>
                <w:color w:val="000000" w:themeColor="text1"/>
                <w:kern w:val="2"/>
                <w:sz w:val="24"/>
                <w:szCs w:val="24"/>
                <w:lang w:val="en-US" w:bidi="ar-SA"/>
              </w:rPr>
              <w:t>4</w:t>
            </w:r>
            <w:r>
              <w:rPr>
                <w:rFonts w:ascii="Times New Roman" w:hAnsi="Times New Roman" w:cs="Times New Roman"/>
                <w:b/>
                <w:bCs/>
                <w:color w:val="000000" w:themeColor="text1"/>
                <w:kern w:val="2"/>
                <w:sz w:val="24"/>
                <w:szCs w:val="24"/>
                <w:lang w:val="en-US" w:bidi="ar-SA"/>
              </w:rPr>
              <w:t>、</w:t>
            </w:r>
            <w:r>
              <w:rPr>
                <w:rFonts w:hint="eastAsia" w:ascii="Times New Roman" w:hAnsi="Times New Roman" w:cs="Times New Roman"/>
                <w:b/>
                <w:bCs/>
                <w:color w:val="000000" w:themeColor="text1"/>
                <w:kern w:val="2"/>
                <w:sz w:val="24"/>
                <w:szCs w:val="24"/>
                <w:lang w:val="en-US" w:bidi="ar-SA"/>
              </w:rPr>
              <w:t>设置功能</w:t>
            </w:r>
          </w:p>
          <w:p w14:paraId="7A3825CE">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本项目主要设置功能为医疗服务。</w:t>
            </w:r>
          </w:p>
          <w:p w14:paraId="570F51B0">
            <w:pPr>
              <w:autoSpaceDE/>
              <w:autoSpaceDN/>
              <w:spacing w:line="360" w:lineRule="auto"/>
              <w:ind w:firstLine="482" w:firstLineChars="200"/>
              <w:jc w:val="both"/>
              <w:rPr>
                <w:rFonts w:ascii="Times New Roman" w:hAnsi="Times New Roman" w:cs="Times New Roman"/>
                <w:b/>
                <w:bCs/>
                <w:color w:val="000000" w:themeColor="text1"/>
                <w:kern w:val="2"/>
                <w:sz w:val="24"/>
                <w:szCs w:val="24"/>
                <w:lang w:val="en-US" w:bidi="ar-SA"/>
              </w:rPr>
            </w:pPr>
            <w:r>
              <w:rPr>
                <w:rFonts w:hint="eastAsia" w:ascii="Times New Roman" w:hAnsi="Times New Roman" w:cs="Times New Roman"/>
                <w:b/>
                <w:bCs/>
                <w:color w:val="000000" w:themeColor="text1"/>
                <w:kern w:val="2"/>
                <w:sz w:val="24"/>
                <w:szCs w:val="24"/>
                <w:lang w:val="en-US" w:bidi="ar-SA"/>
              </w:rPr>
              <w:t>5</w:t>
            </w:r>
            <w:r>
              <w:rPr>
                <w:rFonts w:ascii="Times New Roman" w:hAnsi="Times New Roman" w:cs="Times New Roman"/>
                <w:b/>
                <w:bCs/>
                <w:color w:val="000000" w:themeColor="text1"/>
                <w:kern w:val="2"/>
                <w:sz w:val="24"/>
                <w:szCs w:val="24"/>
                <w:lang w:val="en-US" w:bidi="ar-SA"/>
              </w:rPr>
              <w:t>、</w:t>
            </w:r>
            <w:r>
              <w:rPr>
                <w:rFonts w:hint="eastAsia" w:ascii="Times New Roman" w:hAnsi="Times New Roman" w:cs="Times New Roman"/>
                <w:b/>
                <w:bCs/>
                <w:color w:val="000000" w:themeColor="text1"/>
                <w:kern w:val="2"/>
                <w:sz w:val="24"/>
                <w:szCs w:val="24"/>
                <w:lang w:val="en-US" w:bidi="ar-SA"/>
              </w:rPr>
              <w:t>主要设备及辅助工具、材料</w:t>
            </w:r>
          </w:p>
          <w:p w14:paraId="01BD9E8A">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本</w:t>
            </w:r>
            <w:r>
              <w:rPr>
                <w:rFonts w:ascii="Times New Roman" w:hAnsi="Times New Roman" w:cs="Times New Roman"/>
                <w:color w:val="000000" w:themeColor="text1"/>
                <w:kern w:val="2"/>
                <w:sz w:val="24"/>
                <w:szCs w:val="24"/>
                <w:lang w:val="en-US" w:bidi="ar-SA"/>
              </w:rPr>
              <w:t>项目</w:t>
            </w:r>
            <w:r>
              <w:rPr>
                <w:rFonts w:hint="eastAsia" w:ascii="Times New Roman" w:hAnsi="Times New Roman" w:cs="Times New Roman"/>
                <w:color w:val="000000" w:themeColor="text1"/>
                <w:kern w:val="2"/>
                <w:sz w:val="24"/>
                <w:szCs w:val="24"/>
                <w:lang w:val="en-US" w:bidi="ar-SA"/>
              </w:rPr>
              <w:t>主要设备及辅助工具、材料</w:t>
            </w:r>
            <w:r>
              <w:rPr>
                <w:rFonts w:ascii="Times New Roman" w:hAnsi="Times New Roman" w:cs="Times New Roman"/>
                <w:color w:val="000000" w:themeColor="text1"/>
                <w:kern w:val="2"/>
                <w:sz w:val="24"/>
                <w:szCs w:val="24"/>
                <w:lang w:val="en-US" w:bidi="ar-SA"/>
              </w:rPr>
              <w:t>见表</w:t>
            </w:r>
            <w:r>
              <w:rPr>
                <w:rFonts w:hint="eastAsia" w:ascii="Times New Roman" w:hAnsi="Times New Roman" w:cs="Times New Roman"/>
                <w:color w:val="000000" w:themeColor="text1"/>
                <w:kern w:val="2"/>
                <w:sz w:val="24"/>
                <w:szCs w:val="24"/>
                <w:lang w:val="en-US" w:bidi="ar-SA"/>
              </w:rPr>
              <w:t>2</w:t>
            </w:r>
            <w:r>
              <w:rPr>
                <w:rFonts w:ascii="Times New Roman" w:hAnsi="Times New Roman" w:cs="Times New Roman"/>
                <w:color w:val="000000" w:themeColor="text1"/>
                <w:kern w:val="2"/>
                <w:sz w:val="24"/>
                <w:szCs w:val="24"/>
                <w:lang w:val="en-US" w:bidi="ar-SA"/>
              </w:rPr>
              <w:t>-2</w:t>
            </w:r>
            <w:r>
              <w:rPr>
                <w:rFonts w:hint="eastAsia" w:ascii="Times New Roman" w:hAnsi="Times New Roman" w:cs="Times New Roman"/>
                <w:color w:val="000000" w:themeColor="text1"/>
                <w:kern w:val="2"/>
                <w:sz w:val="24"/>
                <w:szCs w:val="24"/>
                <w:lang w:val="en-US" w:bidi="ar-SA"/>
              </w:rPr>
              <w:t>、2-3。</w:t>
            </w:r>
          </w:p>
          <w:p w14:paraId="6277C030">
            <w:pPr>
              <w:tabs>
                <w:tab w:val="left" w:pos="624"/>
              </w:tabs>
              <w:autoSpaceDE/>
              <w:autoSpaceDN/>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表</w:t>
            </w:r>
            <w:r>
              <w:rPr>
                <w:rFonts w:ascii="Times New Roman" w:hAnsi="Times New Roman" w:cs="Times New Roman"/>
                <w:b/>
                <w:color w:val="000000" w:themeColor="text1"/>
                <w:sz w:val="24"/>
                <w:lang w:val="en-US"/>
              </w:rPr>
              <w:t>2-</w:t>
            </w:r>
            <w:r>
              <w:rPr>
                <w:rFonts w:hint="eastAsia" w:ascii="Times New Roman" w:hAnsi="Times New Roman" w:cs="Times New Roman"/>
                <w:b/>
                <w:color w:val="000000" w:themeColor="text1"/>
                <w:sz w:val="24"/>
                <w:lang w:val="en-US"/>
              </w:rPr>
              <w:t>2</w:t>
            </w:r>
            <w:r>
              <w:rPr>
                <w:rFonts w:hint="eastAsia" w:ascii="Times New Roman" w:hAnsi="Times New Roman" w:cs="Times New Roman"/>
                <w:b/>
                <w:color w:val="000000" w:themeColor="text1"/>
                <w:sz w:val="24"/>
              </w:rPr>
              <w:t>项目主要设备一览表</w:t>
            </w:r>
          </w:p>
          <w:tbl>
            <w:tblPr>
              <w:tblStyle w:val="27"/>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805"/>
              <w:gridCol w:w="1538"/>
              <w:gridCol w:w="822"/>
              <w:gridCol w:w="1478"/>
              <w:gridCol w:w="1478"/>
            </w:tblGrid>
            <w:tr w14:paraId="79EF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50" w:type="pct"/>
                  <w:vAlign w:val="center"/>
                </w:tcPr>
                <w:p w14:paraId="2714EA27">
                  <w:pPr>
                    <w:widowControl/>
                    <w:autoSpaceDE/>
                    <w:autoSpaceDN/>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序号</w:t>
                  </w:r>
                </w:p>
              </w:tc>
              <w:tc>
                <w:tcPr>
                  <w:tcW w:w="1127" w:type="pct"/>
                  <w:vAlign w:val="center"/>
                </w:tcPr>
                <w:p w14:paraId="6867962F">
                  <w:pPr>
                    <w:widowControl/>
                    <w:autoSpaceDE/>
                    <w:autoSpaceDN/>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设备名称</w:t>
                  </w:r>
                </w:p>
              </w:tc>
              <w:tc>
                <w:tcPr>
                  <w:tcW w:w="960" w:type="pct"/>
                  <w:vAlign w:val="center"/>
                </w:tcPr>
                <w:p w14:paraId="68F975DE">
                  <w:pPr>
                    <w:widowControl/>
                    <w:autoSpaceDE/>
                    <w:autoSpaceDN/>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规格/型号</w:t>
                  </w:r>
                </w:p>
              </w:tc>
              <w:tc>
                <w:tcPr>
                  <w:tcW w:w="514" w:type="pct"/>
                  <w:vAlign w:val="center"/>
                </w:tcPr>
                <w:p w14:paraId="452BBBF6">
                  <w:pPr>
                    <w:widowControl/>
                    <w:autoSpaceDE/>
                    <w:autoSpaceDN/>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单位</w:t>
                  </w:r>
                </w:p>
              </w:tc>
              <w:tc>
                <w:tcPr>
                  <w:tcW w:w="923" w:type="pct"/>
                  <w:vAlign w:val="center"/>
                </w:tcPr>
                <w:p w14:paraId="39D69EF0">
                  <w:pPr>
                    <w:widowControl/>
                    <w:autoSpaceDE/>
                    <w:autoSpaceDN/>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数量</w:t>
                  </w:r>
                </w:p>
              </w:tc>
              <w:tc>
                <w:tcPr>
                  <w:tcW w:w="923" w:type="pct"/>
                  <w:vAlign w:val="center"/>
                </w:tcPr>
                <w:p w14:paraId="799C3D78">
                  <w:pPr>
                    <w:widowControl/>
                    <w:autoSpaceDE/>
                    <w:autoSpaceDN/>
                    <w:jc w:val="center"/>
                    <w:rPr>
                      <w:rFonts w:ascii="Times New Roman" w:hAnsi="Times New Roman" w:cs="Times New Roman"/>
                      <w:b/>
                      <w:bCs/>
                      <w:color w:val="000000" w:themeColor="text1"/>
                      <w:sz w:val="21"/>
                      <w:szCs w:val="21"/>
                      <w:lang w:val="en-US" w:bidi="ar-SA"/>
                    </w:rPr>
                  </w:pPr>
                  <w:r>
                    <w:rPr>
                      <w:rFonts w:hint="eastAsia" w:ascii="Times New Roman" w:hAnsi="Times New Roman" w:cs="Times New Roman"/>
                      <w:b/>
                      <w:bCs/>
                      <w:color w:val="000000" w:themeColor="text1"/>
                      <w:sz w:val="21"/>
                      <w:szCs w:val="21"/>
                      <w:lang w:val="en-US" w:bidi="ar-SA"/>
                    </w:rPr>
                    <w:t>备注</w:t>
                  </w:r>
                </w:p>
              </w:tc>
            </w:tr>
            <w:tr w14:paraId="29C1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50" w:type="pct"/>
                  <w:vAlign w:val="center"/>
                </w:tcPr>
                <w:p w14:paraId="62FC7EF7">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w:t>
                  </w:r>
                </w:p>
              </w:tc>
              <w:tc>
                <w:tcPr>
                  <w:tcW w:w="1127" w:type="pct"/>
                  <w:vAlign w:val="center"/>
                </w:tcPr>
                <w:p w14:paraId="0B9FB841">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空气消毒机</w:t>
                  </w:r>
                </w:p>
              </w:tc>
              <w:tc>
                <w:tcPr>
                  <w:tcW w:w="960" w:type="pct"/>
                  <w:vAlign w:val="center"/>
                </w:tcPr>
                <w:p w14:paraId="096C4605">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TT/DTYX-100T</w:t>
                  </w:r>
                </w:p>
              </w:tc>
              <w:tc>
                <w:tcPr>
                  <w:tcW w:w="514" w:type="pct"/>
                  <w:vAlign w:val="center"/>
                </w:tcPr>
                <w:p w14:paraId="19C6EE55">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rPr>
                    <w:t>台</w:t>
                  </w:r>
                </w:p>
              </w:tc>
              <w:tc>
                <w:tcPr>
                  <w:tcW w:w="923" w:type="pct"/>
                  <w:vAlign w:val="center"/>
                </w:tcPr>
                <w:p w14:paraId="7FB1F569">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1</w:t>
                  </w:r>
                </w:p>
              </w:tc>
              <w:tc>
                <w:tcPr>
                  <w:tcW w:w="923" w:type="pct"/>
                  <w:vAlign w:val="center"/>
                </w:tcPr>
                <w:p w14:paraId="6920C8BC">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新增</w:t>
                  </w:r>
                </w:p>
              </w:tc>
            </w:tr>
            <w:tr w14:paraId="088E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50" w:type="pct"/>
                  <w:vAlign w:val="center"/>
                </w:tcPr>
                <w:p w14:paraId="088CAC02">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2</w:t>
                  </w:r>
                </w:p>
              </w:tc>
              <w:tc>
                <w:tcPr>
                  <w:tcW w:w="1127" w:type="pct"/>
                  <w:vAlign w:val="center"/>
                </w:tcPr>
                <w:p w14:paraId="17AF7F0D">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制氧机</w:t>
                  </w:r>
                </w:p>
              </w:tc>
              <w:tc>
                <w:tcPr>
                  <w:tcW w:w="960" w:type="pct"/>
                  <w:vAlign w:val="center"/>
                </w:tcPr>
                <w:p w14:paraId="42A9E3A6">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A0-15</w:t>
                  </w:r>
                </w:p>
              </w:tc>
              <w:tc>
                <w:tcPr>
                  <w:tcW w:w="514" w:type="pct"/>
                  <w:vAlign w:val="center"/>
                </w:tcPr>
                <w:p w14:paraId="0A8F2D8D">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rPr>
                    <w:t>台</w:t>
                  </w:r>
                </w:p>
              </w:tc>
              <w:tc>
                <w:tcPr>
                  <w:tcW w:w="923" w:type="pct"/>
                  <w:vAlign w:val="center"/>
                </w:tcPr>
                <w:p w14:paraId="31D33052">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1</w:t>
                  </w:r>
                </w:p>
              </w:tc>
              <w:tc>
                <w:tcPr>
                  <w:tcW w:w="923" w:type="pct"/>
                  <w:vAlign w:val="center"/>
                </w:tcPr>
                <w:p w14:paraId="0DF1992D">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依托</w:t>
                  </w:r>
                </w:p>
              </w:tc>
            </w:tr>
            <w:tr w14:paraId="645B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50" w:type="pct"/>
                  <w:vAlign w:val="center"/>
                </w:tcPr>
                <w:p w14:paraId="4CF8EF31">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3</w:t>
                  </w:r>
                </w:p>
              </w:tc>
              <w:tc>
                <w:tcPr>
                  <w:tcW w:w="1127" w:type="pct"/>
                  <w:vAlign w:val="center"/>
                </w:tcPr>
                <w:p w14:paraId="04FD14C1">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呼吸机</w:t>
                  </w:r>
                </w:p>
              </w:tc>
              <w:tc>
                <w:tcPr>
                  <w:tcW w:w="960" w:type="pct"/>
                  <w:vAlign w:val="center"/>
                </w:tcPr>
                <w:p w14:paraId="7C11DD71">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SV300</w:t>
                  </w:r>
                </w:p>
              </w:tc>
              <w:tc>
                <w:tcPr>
                  <w:tcW w:w="514" w:type="pct"/>
                  <w:vAlign w:val="center"/>
                </w:tcPr>
                <w:p w14:paraId="54693422">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rPr>
                    <w:t>台</w:t>
                  </w:r>
                </w:p>
              </w:tc>
              <w:tc>
                <w:tcPr>
                  <w:tcW w:w="923" w:type="pct"/>
                  <w:vAlign w:val="center"/>
                </w:tcPr>
                <w:p w14:paraId="6301CE65">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4</w:t>
                  </w:r>
                </w:p>
              </w:tc>
              <w:tc>
                <w:tcPr>
                  <w:tcW w:w="923" w:type="pct"/>
                  <w:vAlign w:val="center"/>
                </w:tcPr>
                <w:p w14:paraId="5757F4EC">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新增</w:t>
                  </w:r>
                </w:p>
              </w:tc>
            </w:tr>
            <w:tr w14:paraId="429F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50" w:type="pct"/>
                  <w:vAlign w:val="center"/>
                </w:tcPr>
                <w:p w14:paraId="33EF1D78">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4</w:t>
                  </w:r>
                </w:p>
              </w:tc>
              <w:tc>
                <w:tcPr>
                  <w:tcW w:w="1127" w:type="pct"/>
                  <w:vAlign w:val="center"/>
                </w:tcPr>
                <w:p w14:paraId="774A6553">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电图机</w:t>
                  </w:r>
                </w:p>
              </w:tc>
              <w:tc>
                <w:tcPr>
                  <w:tcW w:w="960" w:type="pct"/>
                  <w:vAlign w:val="center"/>
                </w:tcPr>
                <w:p w14:paraId="7C1E0E18">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ECG-1B</w:t>
                  </w:r>
                </w:p>
              </w:tc>
              <w:tc>
                <w:tcPr>
                  <w:tcW w:w="514" w:type="pct"/>
                  <w:vAlign w:val="center"/>
                </w:tcPr>
                <w:p w14:paraId="280FB31E">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rPr>
                    <w:t>台</w:t>
                  </w:r>
                </w:p>
              </w:tc>
              <w:tc>
                <w:tcPr>
                  <w:tcW w:w="923" w:type="pct"/>
                  <w:vAlign w:val="center"/>
                </w:tcPr>
                <w:p w14:paraId="7D575E3C">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4</w:t>
                  </w:r>
                </w:p>
              </w:tc>
              <w:tc>
                <w:tcPr>
                  <w:tcW w:w="923" w:type="pct"/>
                  <w:vAlign w:val="center"/>
                </w:tcPr>
                <w:p w14:paraId="1BC729EC">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新增</w:t>
                  </w:r>
                </w:p>
              </w:tc>
            </w:tr>
            <w:tr w14:paraId="49E3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50" w:type="pct"/>
                  <w:vAlign w:val="center"/>
                </w:tcPr>
                <w:p w14:paraId="0E843DFB">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5</w:t>
                  </w:r>
                </w:p>
              </w:tc>
              <w:tc>
                <w:tcPr>
                  <w:tcW w:w="1127" w:type="pct"/>
                  <w:vAlign w:val="center"/>
                </w:tcPr>
                <w:p w14:paraId="024A8367">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病人监护仪</w:t>
                  </w:r>
                </w:p>
              </w:tc>
              <w:tc>
                <w:tcPr>
                  <w:tcW w:w="960" w:type="pct"/>
                  <w:vAlign w:val="center"/>
                </w:tcPr>
                <w:p w14:paraId="7F9FC940">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ND12</w:t>
                  </w:r>
                </w:p>
              </w:tc>
              <w:tc>
                <w:tcPr>
                  <w:tcW w:w="514" w:type="pct"/>
                  <w:vAlign w:val="center"/>
                </w:tcPr>
                <w:p w14:paraId="2FF89D5B">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rPr>
                    <w:t>台</w:t>
                  </w:r>
                </w:p>
              </w:tc>
              <w:tc>
                <w:tcPr>
                  <w:tcW w:w="923" w:type="pct"/>
                  <w:vAlign w:val="center"/>
                </w:tcPr>
                <w:p w14:paraId="6FB97543">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5</w:t>
                  </w:r>
                </w:p>
              </w:tc>
              <w:tc>
                <w:tcPr>
                  <w:tcW w:w="923" w:type="pct"/>
                  <w:vAlign w:val="center"/>
                </w:tcPr>
                <w:p w14:paraId="38D476F0">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新增</w:t>
                  </w:r>
                </w:p>
              </w:tc>
            </w:tr>
            <w:tr w14:paraId="2E01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0" w:type="pct"/>
                  <w:vAlign w:val="center"/>
                </w:tcPr>
                <w:p w14:paraId="3DCCFC14">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6</w:t>
                  </w:r>
                </w:p>
              </w:tc>
              <w:tc>
                <w:tcPr>
                  <w:tcW w:w="1127" w:type="pct"/>
                  <w:vAlign w:val="center"/>
                </w:tcPr>
                <w:p w14:paraId="7BEF658D">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除颤仪监护仪</w:t>
                  </w:r>
                </w:p>
              </w:tc>
              <w:tc>
                <w:tcPr>
                  <w:tcW w:w="960" w:type="pct"/>
                  <w:vAlign w:val="center"/>
                </w:tcPr>
                <w:p w14:paraId="2A17CDB5">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BeneHeartD3</w:t>
                  </w:r>
                </w:p>
              </w:tc>
              <w:tc>
                <w:tcPr>
                  <w:tcW w:w="514" w:type="pct"/>
                  <w:vAlign w:val="center"/>
                </w:tcPr>
                <w:p w14:paraId="6E3B596A">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rPr>
                    <w:t>台</w:t>
                  </w:r>
                </w:p>
              </w:tc>
              <w:tc>
                <w:tcPr>
                  <w:tcW w:w="923" w:type="pct"/>
                  <w:vAlign w:val="center"/>
                </w:tcPr>
                <w:p w14:paraId="75E22E57">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4</w:t>
                  </w:r>
                </w:p>
              </w:tc>
              <w:tc>
                <w:tcPr>
                  <w:tcW w:w="923" w:type="pct"/>
                  <w:vAlign w:val="center"/>
                </w:tcPr>
                <w:p w14:paraId="0118C31C">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新增</w:t>
                  </w:r>
                </w:p>
              </w:tc>
            </w:tr>
            <w:tr w14:paraId="54AD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50" w:type="pct"/>
                  <w:vAlign w:val="center"/>
                </w:tcPr>
                <w:p w14:paraId="126D0C77">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7</w:t>
                  </w:r>
                </w:p>
              </w:tc>
              <w:tc>
                <w:tcPr>
                  <w:tcW w:w="1127" w:type="pct"/>
                  <w:vAlign w:val="center"/>
                </w:tcPr>
                <w:p w14:paraId="7C83F0F4">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电子血糖仪</w:t>
                  </w:r>
                </w:p>
              </w:tc>
              <w:tc>
                <w:tcPr>
                  <w:tcW w:w="960" w:type="pct"/>
                  <w:vAlign w:val="center"/>
                </w:tcPr>
                <w:p w14:paraId="6CBFC047">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GM300</w:t>
                  </w:r>
                </w:p>
              </w:tc>
              <w:tc>
                <w:tcPr>
                  <w:tcW w:w="514" w:type="pct"/>
                  <w:vAlign w:val="center"/>
                </w:tcPr>
                <w:p w14:paraId="13406127">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rPr>
                    <w:t>台</w:t>
                  </w:r>
                </w:p>
              </w:tc>
              <w:tc>
                <w:tcPr>
                  <w:tcW w:w="923" w:type="pct"/>
                  <w:vAlign w:val="center"/>
                </w:tcPr>
                <w:p w14:paraId="27DBC44D">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4</w:t>
                  </w:r>
                </w:p>
              </w:tc>
              <w:tc>
                <w:tcPr>
                  <w:tcW w:w="923" w:type="pct"/>
                  <w:vAlign w:val="center"/>
                </w:tcPr>
                <w:p w14:paraId="35067B1D">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新增</w:t>
                  </w:r>
                </w:p>
              </w:tc>
            </w:tr>
            <w:tr w14:paraId="5BA1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50" w:type="pct"/>
                  <w:vAlign w:val="center"/>
                </w:tcPr>
                <w:p w14:paraId="2EEDE310">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8</w:t>
                  </w:r>
                </w:p>
              </w:tc>
              <w:tc>
                <w:tcPr>
                  <w:tcW w:w="1127" w:type="pct"/>
                  <w:vAlign w:val="center"/>
                </w:tcPr>
                <w:p w14:paraId="772CB500">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激光打印机</w:t>
                  </w:r>
                </w:p>
              </w:tc>
              <w:tc>
                <w:tcPr>
                  <w:tcW w:w="960" w:type="pct"/>
                  <w:vAlign w:val="center"/>
                </w:tcPr>
                <w:p w14:paraId="0928B930">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斑马GT888</w:t>
                  </w:r>
                </w:p>
              </w:tc>
              <w:tc>
                <w:tcPr>
                  <w:tcW w:w="514" w:type="pct"/>
                  <w:vAlign w:val="center"/>
                </w:tcPr>
                <w:p w14:paraId="7A552766">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rPr>
                    <w:t>台</w:t>
                  </w:r>
                </w:p>
              </w:tc>
              <w:tc>
                <w:tcPr>
                  <w:tcW w:w="923" w:type="pct"/>
                  <w:vAlign w:val="center"/>
                </w:tcPr>
                <w:p w14:paraId="2FD56067">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18</w:t>
                  </w:r>
                </w:p>
              </w:tc>
              <w:tc>
                <w:tcPr>
                  <w:tcW w:w="923" w:type="pct"/>
                  <w:vAlign w:val="center"/>
                </w:tcPr>
                <w:p w14:paraId="27E01C12">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新增</w:t>
                  </w:r>
                </w:p>
              </w:tc>
            </w:tr>
            <w:tr w14:paraId="3AEB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50" w:type="pct"/>
                  <w:vAlign w:val="center"/>
                </w:tcPr>
                <w:p w14:paraId="651FDEEF">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9</w:t>
                  </w:r>
                </w:p>
              </w:tc>
              <w:tc>
                <w:tcPr>
                  <w:tcW w:w="1127" w:type="pct"/>
                  <w:vAlign w:val="center"/>
                </w:tcPr>
                <w:p w14:paraId="12B87635">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激光打印机</w:t>
                  </w:r>
                </w:p>
              </w:tc>
              <w:tc>
                <w:tcPr>
                  <w:tcW w:w="960" w:type="pct"/>
                  <w:vAlign w:val="center"/>
                </w:tcPr>
                <w:p w14:paraId="499B7AA3">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佳能2900</w:t>
                  </w:r>
                </w:p>
              </w:tc>
              <w:tc>
                <w:tcPr>
                  <w:tcW w:w="514" w:type="pct"/>
                  <w:vAlign w:val="center"/>
                </w:tcPr>
                <w:p w14:paraId="6CBC9F92">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rPr>
                    <w:t>台</w:t>
                  </w:r>
                </w:p>
              </w:tc>
              <w:tc>
                <w:tcPr>
                  <w:tcW w:w="923" w:type="pct"/>
                  <w:vAlign w:val="center"/>
                </w:tcPr>
                <w:p w14:paraId="1B429482">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208</w:t>
                  </w:r>
                </w:p>
              </w:tc>
              <w:tc>
                <w:tcPr>
                  <w:tcW w:w="923" w:type="pct"/>
                  <w:vAlign w:val="center"/>
                </w:tcPr>
                <w:p w14:paraId="64480B6D">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新增</w:t>
                  </w:r>
                </w:p>
              </w:tc>
            </w:tr>
            <w:tr w14:paraId="55A8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50" w:type="pct"/>
                  <w:vAlign w:val="center"/>
                </w:tcPr>
                <w:p w14:paraId="6F91801E">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10</w:t>
                  </w:r>
                </w:p>
              </w:tc>
              <w:tc>
                <w:tcPr>
                  <w:tcW w:w="1127" w:type="pct"/>
                  <w:vAlign w:val="center"/>
                </w:tcPr>
                <w:p w14:paraId="3BECFC07">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激光打印机</w:t>
                  </w:r>
                </w:p>
              </w:tc>
              <w:tc>
                <w:tcPr>
                  <w:tcW w:w="960" w:type="pct"/>
                  <w:vAlign w:val="center"/>
                </w:tcPr>
                <w:p w14:paraId="0D8D7F93">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联想2400</w:t>
                  </w:r>
                </w:p>
              </w:tc>
              <w:tc>
                <w:tcPr>
                  <w:tcW w:w="514" w:type="pct"/>
                  <w:vAlign w:val="center"/>
                </w:tcPr>
                <w:p w14:paraId="0863D484">
                  <w:pPr>
                    <w:widowControl/>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rPr>
                    <w:t>台</w:t>
                  </w:r>
                </w:p>
              </w:tc>
              <w:tc>
                <w:tcPr>
                  <w:tcW w:w="923" w:type="pct"/>
                  <w:vAlign w:val="center"/>
                </w:tcPr>
                <w:p w14:paraId="78DC8293">
                  <w:pPr>
                    <w:widowControl/>
                    <w:jc w:val="center"/>
                    <w:textAlignment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
                    </w:rPr>
                    <w:t>17</w:t>
                  </w:r>
                </w:p>
              </w:tc>
              <w:tc>
                <w:tcPr>
                  <w:tcW w:w="923" w:type="pct"/>
                  <w:vAlign w:val="center"/>
                </w:tcPr>
                <w:p w14:paraId="3E8A2B34">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新增</w:t>
                  </w:r>
                </w:p>
              </w:tc>
            </w:tr>
            <w:tr w14:paraId="09BB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50" w:type="pct"/>
                  <w:vAlign w:val="center"/>
                </w:tcPr>
                <w:p w14:paraId="3038D144">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11</w:t>
                  </w:r>
                </w:p>
              </w:tc>
              <w:tc>
                <w:tcPr>
                  <w:tcW w:w="1127" w:type="pct"/>
                  <w:vAlign w:val="center"/>
                </w:tcPr>
                <w:p w14:paraId="0EC0EF01">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传染病预处理设施</w:t>
                  </w:r>
                </w:p>
              </w:tc>
              <w:tc>
                <w:tcPr>
                  <w:tcW w:w="960" w:type="pct"/>
                  <w:vAlign w:val="center"/>
                </w:tcPr>
                <w:p w14:paraId="1A9DAFEA">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设计规模20m</w:t>
                  </w:r>
                  <w:r>
                    <w:rPr>
                      <w:rFonts w:ascii="Times New Roman" w:hAnsi="Times New Roman" w:cs="Times New Roman"/>
                      <w:color w:val="000000" w:themeColor="text1"/>
                      <w:sz w:val="21"/>
                      <w:szCs w:val="21"/>
                      <w:vertAlign w:val="superscript"/>
                      <w:lang w:val="en-US" w:bidi="ar-SA"/>
                    </w:rPr>
                    <w:t>3</w:t>
                  </w:r>
                  <w:r>
                    <w:rPr>
                      <w:rFonts w:ascii="Times New Roman" w:hAnsi="Times New Roman" w:cs="Times New Roman"/>
                      <w:color w:val="000000" w:themeColor="text1"/>
                      <w:sz w:val="21"/>
                      <w:szCs w:val="21"/>
                      <w:lang w:val="en-US" w:bidi="ar-SA"/>
                    </w:rPr>
                    <w:t>/d</w:t>
                  </w:r>
                </w:p>
              </w:tc>
              <w:tc>
                <w:tcPr>
                  <w:tcW w:w="514" w:type="pct"/>
                  <w:vAlign w:val="center"/>
                </w:tcPr>
                <w:p w14:paraId="2E72607A">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套</w:t>
                  </w:r>
                </w:p>
              </w:tc>
              <w:tc>
                <w:tcPr>
                  <w:tcW w:w="923" w:type="pct"/>
                  <w:vAlign w:val="center"/>
                </w:tcPr>
                <w:p w14:paraId="74EBF232">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w:t>
                  </w:r>
                </w:p>
              </w:tc>
              <w:tc>
                <w:tcPr>
                  <w:tcW w:w="923" w:type="pct"/>
                  <w:vAlign w:val="center"/>
                </w:tcPr>
                <w:p w14:paraId="1AB76C1E">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已建成运营</w:t>
                  </w:r>
                </w:p>
              </w:tc>
            </w:tr>
            <w:tr w14:paraId="39F6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50" w:type="pct"/>
                  <w:vAlign w:val="center"/>
                </w:tcPr>
                <w:p w14:paraId="75C87314">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12</w:t>
                  </w:r>
                </w:p>
              </w:tc>
              <w:tc>
                <w:tcPr>
                  <w:tcW w:w="1127" w:type="pct"/>
                  <w:vAlign w:val="center"/>
                </w:tcPr>
                <w:p w14:paraId="25F3C978">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综合污水处理站</w:t>
                  </w:r>
                </w:p>
              </w:tc>
              <w:tc>
                <w:tcPr>
                  <w:tcW w:w="960" w:type="pct"/>
                  <w:vAlign w:val="center"/>
                </w:tcPr>
                <w:p w14:paraId="1484B62C">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kern w:val="2"/>
                      <w:sz w:val="21"/>
                      <w:szCs w:val="21"/>
                      <w:lang w:val="en-US" w:bidi="ar-SA"/>
                    </w:rPr>
                    <w:t>设计处理规模480m</w:t>
                  </w:r>
                  <w:r>
                    <w:rPr>
                      <w:rFonts w:hint="eastAsia" w:ascii="Times New Roman" w:hAnsi="Times New Roman" w:cs="Times New Roman"/>
                      <w:color w:val="000000" w:themeColor="text1"/>
                      <w:kern w:val="2"/>
                      <w:sz w:val="21"/>
                      <w:szCs w:val="21"/>
                      <w:vertAlign w:val="superscript"/>
                      <w:lang w:val="en-US" w:bidi="ar-SA"/>
                    </w:rPr>
                    <w:t>3</w:t>
                  </w:r>
                  <w:r>
                    <w:rPr>
                      <w:rFonts w:hint="eastAsia" w:ascii="Times New Roman" w:hAnsi="Times New Roman" w:cs="Times New Roman"/>
                      <w:color w:val="000000" w:themeColor="text1"/>
                      <w:kern w:val="2"/>
                      <w:sz w:val="21"/>
                      <w:szCs w:val="21"/>
                      <w:lang w:val="en-US" w:bidi="ar-SA"/>
                    </w:rPr>
                    <w:t>/d</w:t>
                  </w:r>
                </w:p>
              </w:tc>
              <w:tc>
                <w:tcPr>
                  <w:tcW w:w="514" w:type="pct"/>
                  <w:vAlign w:val="center"/>
                </w:tcPr>
                <w:p w14:paraId="424D6497">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套</w:t>
                  </w:r>
                </w:p>
              </w:tc>
              <w:tc>
                <w:tcPr>
                  <w:tcW w:w="923" w:type="pct"/>
                  <w:vAlign w:val="center"/>
                </w:tcPr>
                <w:p w14:paraId="2E18CDF2">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w:t>
                  </w:r>
                </w:p>
              </w:tc>
              <w:tc>
                <w:tcPr>
                  <w:tcW w:w="923" w:type="pct"/>
                  <w:vAlign w:val="center"/>
                </w:tcPr>
                <w:p w14:paraId="08A195A2">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已建成运营</w:t>
                  </w:r>
                </w:p>
              </w:tc>
            </w:tr>
            <w:tr w14:paraId="0D84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50" w:type="pct"/>
                  <w:vAlign w:val="center"/>
                </w:tcPr>
                <w:p w14:paraId="31DF330D">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13</w:t>
                  </w:r>
                </w:p>
              </w:tc>
              <w:tc>
                <w:tcPr>
                  <w:tcW w:w="1127" w:type="pct"/>
                  <w:vAlign w:val="center"/>
                </w:tcPr>
                <w:p w14:paraId="5AB64254">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病床</w:t>
                  </w:r>
                </w:p>
              </w:tc>
              <w:tc>
                <w:tcPr>
                  <w:tcW w:w="960" w:type="pct"/>
                  <w:vAlign w:val="center"/>
                </w:tcPr>
                <w:p w14:paraId="1D1B6ABB">
                  <w:pPr>
                    <w:widowControl/>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w:t>
                  </w:r>
                </w:p>
              </w:tc>
              <w:tc>
                <w:tcPr>
                  <w:tcW w:w="514" w:type="pct"/>
                  <w:vAlign w:val="center"/>
                </w:tcPr>
                <w:p w14:paraId="3FDA5616">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张</w:t>
                  </w:r>
                </w:p>
              </w:tc>
              <w:tc>
                <w:tcPr>
                  <w:tcW w:w="923" w:type="pct"/>
                  <w:vAlign w:val="center"/>
                </w:tcPr>
                <w:p w14:paraId="36254EC7">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204</w:t>
                  </w:r>
                </w:p>
              </w:tc>
              <w:tc>
                <w:tcPr>
                  <w:tcW w:w="923" w:type="pct"/>
                  <w:vAlign w:val="center"/>
                </w:tcPr>
                <w:p w14:paraId="504BF864">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
                    </w:rPr>
                    <w:t>新增</w:t>
                  </w:r>
                </w:p>
              </w:tc>
            </w:tr>
          </w:tbl>
          <w:p w14:paraId="40B18DC9">
            <w:pPr>
              <w:tabs>
                <w:tab w:val="left" w:pos="624"/>
              </w:tabs>
              <w:autoSpaceDE/>
              <w:autoSpaceDN/>
              <w:spacing w:line="360" w:lineRule="auto"/>
              <w:jc w:val="center"/>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表2-3</w:t>
            </w:r>
            <w:r>
              <w:rPr>
                <w:rFonts w:hint="eastAsia" w:ascii="Times New Roman" w:hAnsi="Times New Roman" w:cs="Times New Roman"/>
                <w:b/>
                <w:color w:val="000000" w:themeColor="text1"/>
                <w:sz w:val="24"/>
                <w:lang w:val="en-US"/>
              </w:rPr>
              <w:t>项目主要</w:t>
            </w:r>
            <w:r>
              <w:rPr>
                <w:rFonts w:ascii="Times New Roman" w:hAnsi="Times New Roman" w:cs="Times New Roman"/>
                <w:b/>
                <w:color w:val="000000" w:themeColor="text1"/>
                <w:sz w:val="24"/>
                <w:lang w:val="en-US"/>
              </w:rPr>
              <w:t>原辅材料一览表</w:t>
            </w:r>
          </w:p>
          <w:tbl>
            <w:tblPr>
              <w:tblStyle w:val="27"/>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076"/>
              <w:gridCol w:w="830"/>
              <w:gridCol w:w="846"/>
              <w:gridCol w:w="956"/>
              <w:gridCol w:w="956"/>
              <w:gridCol w:w="956"/>
              <w:gridCol w:w="956"/>
              <w:gridCol w:w="963"/>
            </w:tblGrid>
            <w:tr w14:paraId="2A1A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85" w:type="pct"/>
                  <w:vAlign w:val="center"/>
                </w:tcPr>
                <w:p w14:paraId="76991BE7">
                  <w:pPr>
                    <w:widowControl/>
                    <w:autoSpaceDE/>
                    <w:autoSpaceDN/>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序号</w:t>
                  </w:r>
                </w:p>
              </w:tc>
              <w:tc>
                <w:tcPr>
                  <w:tcW w:w="673" w:type="pct"/>
                  <w:vAlign w:val="center"/>
                </w:tcPr>
                <w:p w14:paraId="6AD05C7C">
                  <w:pPr>
                    <w:widowControl/>
                    <w:autoSpaceDE/>
                    <w:autoSpaceDN/>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名称</w:t>
                  </w:r>
                </w:p>
              </w:tc>
              <w:tc>
                <w:tcPr>
                  <w:tcW w:w="519" w:type="pct"/>
                  <w:vAlign w:val="center"/>
                </w:tcPr>
                <w:p w14:paraId="5678ECB8">
                  <w:pPr>
                    <w:widowControl/>
                    <w:autoSpaceDE/>
                    <w:autoSpaceDN/>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规格</w:t>
                  </w:r>
                </w:p>
              </w:tc>
              <w:tc>
                <w:tcPr>
                  <w:tcW w:w="529" w:type="pct"/>
                  <w:vAlign w:val="center"/>
                </w:tcPr>
                <w:p w14:paraId="781E296E">
                  <w:pPr>
                    <w:widowControl/>
                    <w:autoSpaceDE/>
                    <w:autoSpaceDN/>
                    <w:jc w:val="center"/>
                    <w:rPr>
                      <w:rFonts w:ascii="Times New Roman" w:hAnsi="Times New Roman" w:cs="Times New Roman" w:eastAsiaTheme="minorEastAsia"/>
                      <w:b/>
                      <w:bCs/>
                      <w:color w:val="000000" w:themeColor="text1"/>
                      <w:sz w:val="21"/>
                      <w:szCs w:val="21"/>
                      <w:lang w:val="en-US"/>
                    </w:rPr>
                  </w:pPr>
                  <w:r>
                    <w:rPr>
                      <w:rFonts w:ascii="Times New Roman" w:hAnsi="Times New Roman" w:cs="Times New Roman" w:eastAsiaTheme="minorEastAsia"/>
                      <w:b/>
                      <w:bCs/>
                      <w:color w:val="000000" w:themeColor="text1"/>
                      <w:sz w:val="21"/>
                      <w:szCs w:val="21"/>
                      <w:lang w:val="en-US"/>
                    </w:rPr>
                    <w:t>单位</w:t>
                  </w:r>
                </w:p>
              </w:tc>
              <w:tc>
                <w:tcPr>
                  <w:tcW w:w="598" w:type="pct"/>
                  <w:vAlign w:val="center"/>
                </w:tcPr>
                <w:p w14:paraId="382851F4">
                  <w:pPr>
                    <w:widowControl/>
                    <w:autoSpaceDE/>
                    <w:autoSpaceDN/>
                    <w:jc w:val="center"/>
                    <w:rPr>
                      <w:rFonts w:ascii="Times New Roman" w:hAnsi="Times New Roman" w:cs="Times New Roman"/>
                      <w:b/>
                      <w:bCs/>
                      <w:color w:val="000000" w:themeColor="text1"/>
                      <w:sz w:val="21"/>
                      <w:szCs w:val="21"/>
                      <w:lang w:val="en-US" w:bidi="ar-SA"/>
                    </w:rPr>
                  </w:pPr>
                  <w:r>
                    <w:rPr>
                      <w:rFonts w:ascii="Times New Roman" w:hAnsi="Times New Roman" w:cs="Times New Roman" w:eastAsiaTheme="minorEastAsia"/>
                      <w:b/>
                      <w:bCs/>
                      <w:color w:val="000000" w:themeColor="text1"/>
                      <w:sz w:val="21"/>
                      <w:szCs w:val="21"/>
                      <w:lang w:val="en-US"/>
                    </w:rPr>
                    <w:t>原有项目</w:t>
                  </w:r>
                  <w:r>
                    <w:rPr>
                      <w:rFonts w:ascii="Times New Roman" w:hAnsi="Times New Roman" w:cs="Times New Roman" w:eastAsiaTheme="minorEastAsia"/>
                      <w:b/>
                      <w:bCs/>
                      <w:color w:val="000000" w:themeColor="text1"/>
                      <w:sz w:val="21"/>
                      <w:szCs w:val="21"/>
                    </w:rPr>
                    <w:t>年用量</w:t>
                  </w:r>
                </w:p>
              </w:tc>
              <w:tc>
                <w:tcPr>
                  <w:tcW w:w="598" w:type="pct"/>
                  <w:vAlign w:val="center"/>
                </w:tcPr>
                <w:p w14:paraId="7DDCD42E">
                  <w:pPr>
                    <w:widowControl/>
                    <w:autoSpaceDE/>
                    <w:autoSpaceDN/>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在建</w:t>
                  </w:r>
                  <w:r>
                    <w:rPr>
                      <w:rFonts w:ascii="Times New Roman" w:hAnsi="Times New Roman" w:cs="Times New Roman" w:eastAsiaTheme="minorEastAsia"/>
                      <w:b/>
                      <w:bCs/>
                      <w:color w:val="000000" w:themeColor="text1"/>
                      <w:sz w:val="21"/>
                      <w:szCs w:val="21"/>
                      <w:lang w:val="en-US"/>
                    </w:rPr>
                    <w:t>项目</w:t>
                  </w:r>
                  <w:r>
                    <w:rPr>
                      <w:rFonts w:ascii="Times New Roman" w:hAnsi="Times New Roman" w:cs="Times New Roman" w:eastAsiaTheme="minorEastAsia"/>
                      <w:b/>
                      <w:bCs/>
                      <w:color w:val="000000" w:themeColor="text1"/>
                      <w:sz w:val="21"/>
                      <w:szCs w:val="21"/>
                    </w:rPr>
                    <w:t>年用量</w:t>
                  </w:r>
                </w:p>
              </w:tc>
              <w:tc>
                <w:tcPr>
                  <w:tcW w:w="598" w:type="pct"/>
                  <w:vAlign w:val="center"/>
                </w:tcPr>
                <w:p w14:paraId="1BC4E10C">
                  <w:pPr>
                    <w:widowControl/>
                    <w:autoSpaceDE/>
                    <w:autoSpaceDN/>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本项目年用量</w:t>
                  </w:r>
                </w:p>
              </w:tc>
              <w:tc>
                <w:tcPr>
                  <w:tcW w:w="598" w:type="pct"/>
                  <w:vAlign w:val="center"/>
                </w:tcPr>
                <w:p w14:paraId="6AFA5868">
                  <w:pPr>
                    <w:jc w:val="center"/>
                    <w:rPr>
                      <w:rFonts w:ascii="Times New Roman" w:hAnsi="Times New Roman" w:cs="Times New Roman"/>
                      <w:b/>
                      <w:bCs/>
                      <w:color w:val="000000" w:themeColor="text1"/>
                      <w:sz w:val="21"/>
                      <w:szCs w:val="21"/>
                      <w:lang w:val="en-US" w:bidi="ar-SA"/>
                    </w:rPr>
                  </w:pPr>
                  <w:r>
                    <w:rPr>
                      <w:rFonts w:ascii="Times New Roman" w:hAnsi="Times New Roman" w:cs="Times New Roman" w:eastAsiaTheme="minorEastAsia"/>
                      <w:b/>
                      <w:bCs/>
                      <w:color w:val="000000" w:themeColor="text1"/>
                      <w:sz w:val="21"/>
                      <w:szCs w:val="21"/>
                      <w:lang w:val="en-US"/>
                    </w:rPr>
                    <w:t>全院</w:t>
                  </w:r>
                  <w:r>
                    <w:rPr>
                      <w:rFonts w:ascii="Times New Roman" w:hAnsi="Times New Roman" w:cs="Times New Roman" w:eastAsiaTheme="minorEastAsia"/>
                      <w:b/>
                      <w:bCs/>
                      <w:color w:val="000000" w:themeColor="text1"/>
                      <w:sz w:val="21"/>
                      <w:szCs w:val="21"/>
                    </w:rPr>
                    <w:t>年用量</w:t>
                  </w:r>
                </w:p>
              </w:tc>
              <w:tc>
                <w:tcPr>
                  <w:tcW w:w="599" w:type="pct"/>
                  <w:vAlign w:val="center"/>
                </w:tcPr>
                <w:p w14:paraId="211E7FD3">
                  <w:pPr>
                    <w:jc w:val="center"/>
                    <w:rPr>
                      <w:rFonts w:ascii="Times New Roman" w:hAnsi="Times New Roman" w:cs="Times New Roman"/>
                      <w:b/>
                      <w:bCs/>
                      <w:color w:val="000000" w:themeColor="text1"/>
                      <w:sz w:val="21"/>
                      <w:szCs w:val="21"/>
                      <w:lang w:val="en-US" w:bidi="ar-SA"/>
                    </w:rPr>
                  </w:pPr>
                  <w:r>
                    <w:rPr>
                      <w:rFonts w:ascii="Times New Roman" w:hAnsi="Times New Roman" w:cs="Times New Roman" w:eastAsiaTheme="minorEastAsia"/>
                      <w:b/>
                      <w:bCs/>
                      <w:color w:val="000000" w:themeColor="text1"/>
                      <w:sz w:val="21"/>
                      <w:szCs w:val="21"/>
                    </w:rPr>
                    <w:t>增减量</w:t>
                  </w:r>
                </w:p>
              </w:tc>
            </w:tr>
            <w:tr w14:paraId="3518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85" w:type="pct"/>
                  <w:vAlign w:val="center"/>
                </w:tcPr>
                <w:p w14:paraId="56B2A623">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w:t>
                  </w:r>
                </w:p>
              </w:tc>
              <w:tc>
                <w:tcPr>
                  <w:tcW w:w="673" w:type="pct"/>
                  <w:vAlign w:val="center"/>
                </w:tcPr>
                <w:p w14:paraId="1E9C7EFC">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注射用头孢曲松钠</w:t>
                  </w:r>
                </w:p>
              </w:tc>
              <w:tc>
                <w:tcPr>
                  <w:tcW w:w="519" w:type="pct"/>
                  <w:vAlign w:val="center"/>
                </w:tcPr>
                <w:p w14:paraId="74C03D18">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1.0g/</w:t>
                  </w:r>
                  <w:r>
                    <w:rPr>
                      <w:rFonts w:ascii="Times New Roman" w:hAnsi="Times New Roman" w:cs="Times New Roman"/>
                      <w:color w:val="000000" w:themeColor="text1"/>
                      <w:sz w:val="21"/>
                      <w:szCs w:val="21"/>
                      <w:lang w:val="en-US"/>
                    </w:rPr>
                    <w:t>瓶</w:t>
                  </w:r>
                </w:p>
              </w:tc>
              <w:tc>
                <w:tcPr>
                  <w:tcW w:w="529" w:type="pct"/>
                  <w:vAlign w:val="center"/>
                </w:tcPr>
                <w:p w14:paraId="0DF4C0BA">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rPr>
                    <w:t>瓶</w:t>
                  </w:r>
                </w:p>
              </w:tc>
              <w:tc>
                <w:tcPr>
                  <w:tcW w:w="598" w:type="pct"/>
                  <w:vAlign w:val="center"/>
                </w:tcPr>
                <w:p w14:paraId="01924E8E">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5540</w:t>
                  </w:r>
                </w:p>
              </w:tc>
              <w:tc>
                <w:tcPr>
                  <w:tcW w:w="598" w:type="pct"/>
                  <w:vAlign w:val="center"/>
                </w:tcPr>
                <w:p w14:paraId="64DC4CCA">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2652</w:t>
                  </w:r>
                </w:p>
              </w:tc>
              <w:tc>
                <w:tcPr>
                  <w:tcW w:w="598" w:type="pct"/>
                  <w:vAlign w:val="center"/>
                </w:tcPr>
                <w:p w14:paraId="727ACBDB">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3100</w:t>
                  </w:r>
                </w:p>
              </w:tc>
              <w:tc>
                <w:tcPr>
                  <w:tcW w:w="598" w:type="pct"/>
                  <w:vAlign w:val="center"/>
                </w:tcPr>
                <w:p w14:paraId="6BEB7A21">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11292</w:t>
                  </w:r>
                </w:p>
              </w:tc>
              <w:tc>
                <w:tcPr>
                  <w:tcW w:w="963" w:type="dxa"/>
                  <w:vAlign w:val="center"/>
                </w:tcPr>
                <w:p w14:paraId="43B941A5">
                  <w:pPr>
                    <w:widowControl/>
                    <w:jc w:val="center"/>
                    <w:textAlignment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bidi="ar"/>
                    </w:rPr>
                    <w:t>+</w:t>
                  </w:r>
                  <w:r>
                    <w:rPr>
                      <w:rFonts w:ascii="Times New Roman" w:hAnsi="Times New Roman" w:cs="Times New Roman"/>
                      <w:color w:val="000000" w:themeColor="text1"/>
                      <w:sz w:val="21"/>
                      <w:szCs w:val="21"/>
                      <w:lang w:val="en-US" w:bidi="ar"/>
                    </w:rPr>
                    <w:t>3100</w:t>
                  </w:r>
                </w:p>
              </w:tc>
            </w:tr>
            <w:tr w14:paraId="01F5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5" w:type="pct"/>
                  <w:vAlign w:val="center"/>
                </w:tcPr>
                <w:p w14:paraId="79DB13EE">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2</w:t>
                  </w:r>
                </w:p>
              </w:tc>
              <w:tc>
                <w:tcPr>
                  <w:tcW w:w="673" w:type="pct"/>
                  <w:vAlign w:val="center"/>
                </w:tcPr>
                <w:p w14:paraId="64989B8D">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喜炎平注射液</w:t>
                  </w:r>
                </w:p>
              </w:tc>
              <w:tc>
                <w:tcPr>
                  <w:tcW w:w="519" w:type="pct"/>
                  <w:vAlign w:val="center"/>
                </w:tcPr>
                <w:p w14:paraId="4D94676F">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5ml:125mg/</w:t>
                  </w:r>
                  <w:r>
                    <w:rPr>
                      <w:rFonts w:ascii="Times New Roman" w:hAnsi="Times New Roman" w:cs="Times New Roman"/>
                      <w:color w:val="000000" w:themeColor="text1"/>
                      <w:sz w:val="21"/>
                      <w:szCs w:val="21"/>
                      <w:lang w:val="en-US"/>
                    </w:rPr>
                    <w:t>支</w:t>
                  </w:r>
                </w:p>
              </w:tc>
              <w:tc>
                <w:tcPr>
                  <w:tcW w:w="529" w:type="pct"/>
                  <w:vAlign w:val="center"/>
                </w:tcPr>
                <w:p w14:paraId="5150E6CA">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rPr>
                    <w:t>支</w:t>
                  </w:r>
                </w:p>
              </w:tc>
              <w:tc>
                <w:tcPr>
                  <w:tcW w:w="598" w:type="pct"/>
                  <w:vAlign w:val="center"/>
                </w:tcPr>
                <w:p w14:paraId="27B2A894">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3200</w:t>
                  </w:r>
                </w:p>
              </w:tc>
              <w:tc>
                <w:tcPr>
                  <w:tcW w:w="598" w:type="pct"/>
                  <w:vAlign w:val="center"/>
                </w:tcPr>
                <w:p w14:paraId="0BF9FD67">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2614</w:t>
                  </w:r>
                </w:p>
              </w:tc>
              <w:tc>
                <w:tcPr>
                  <w:tcW w:w="598" w:type="pct"/>
                  <w:vAlign w:val="center"/>
                </w:tcPr>
                <w:p w14:paraId="107AFE69">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2200</w:t>
                  </w:r>
                </w:p>
              </w:tc>
              <w:tc>
                <w:tcPr>
                  <w:tcW w:w="598" w:type="pct"/>
                  <w:vAlign w:val="center"/>
                </w:tcPr>
                <w:p w14:paraId="597EB924">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8014</w:t>
                  </w:r>
                </w:p>
              </w:tc>
              <w:tc>
                <w:tcPr>
                  <w:tcW w:w="963" w:type="dxa"/>
                  <w:vAlign w:val="center"/>
                </w:tcPr>
                <w:p w14:paraId="6D91805A">
                  <w:pPr>
                    <w:widowControl/>
                    <w:jc w:val="center"/>
                    <w:textAlignment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bidi="ar"/>
                    </w:rPr>
                    <w:t>+</w:t>
                  </w:r>
                  <w:r>
                    <w:rPr>
                      <w:rFonts w:ascii="Times New Roman" w:hAnsi="Times New Roman" w:cs="Times New Roman"/>
                      <w:color w:val="000000" w:themeColor="text1"/>
                      <w:sz w:val="21"/>
                      <w:szCs w:val="21"/>
                      <w:lang w:val="en-US" w:bidi="ar"/>
                    </w:rPr>
                    <w:t>2200</w:t>
                  </w:r>
                </w:p>
              </w:tc>
            </w:tr>
            <w:tr w14:paraId="00BA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85" w:type="pct"/>
                  <w:vAlign w:val="center"/>
                </w:tcPr>
                <w:p w14:paraId="549AB93C">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3</w:t>
                  </w:r>
                </w:p>
              </w:tc>
              <w:tc>
                <w:tcPr>
                  <w:tcW w:w="673" w:type="pct"/>
                  <w:vAlign w:val="center"/>
                </w:tcPr>
                <w:p w14:paraId="4EC118DA">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甘露醇(玻璃瓶)</w:t>
                  </w:r>
                </w:p>
              </w:tc>
              <w:tc>
                <w:tcPr>
                  <w:tcW w:w="519" w:type="pct"/>
                  <w:vAlign w:val="center"/>
                </w:tcPr>
                <w:p w14:paraId="60E33CCF">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20%/250ml/</w:t>
                  </w:r>
                  <w:r>
                    <w:rPr>
                      <w:rFonts w:ascii="Times New Roman" w:hAnsi="Times New Roman" w:cs="Times New Roman"/>
                      <w:color w:val="000000" w:themeColor="text1"/>
                      <w:sz w:val="21"/>
                      <w:szCs w:val="21"/>
                      <w:lang w:val="en-US"/>
                    </w:rPr>
                    <w:t>支</w:t>
                  </w:r>
                </w:p>
              </w:tc>
              <w:tc>
                <w:tcPr>
                  <w:tcW w:w="529" w:type="pct"/>
                  <w:vAlign w:val="center"/>
                </w:tcPr>
                <w:p w14:paraId="08A0B455">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rPr>
                    <w:t>支</w:t>
                  </w:r>
                </w:p>
              </w:tc>
              <w:tc>
                <w:tcPr>
                  <w:tcW w:w="598" w:type="pct"/>
                  <w:vAlign w:val="center"/>
                </w:tcPr>
                <w:p w14:paraId="1832E045">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3318</w:t>
                  </w:r>
                </w:p>
              </w:tc>
              <w:tc>
                <w:tcPr>
                  <w:tcW w:w="598" w:type="pct"/>
                  <w:vAlign w:val="center"/>
                </w:tcPr>
                <w:p w14:paraId="72D2842A">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1732</w:t>
                  </w:r>
                </w:p>
              </w:tc>
              <w:tc>
                <w:tcPr>
                  <w:tcW w:w="598" w:type="pct"/>
                  <w:vAlign w:val="center"/>
                </w:tcPr>
                <w:p w14:paraId="11253BF1">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1800</w:t>
                  </w:r>
                </w:p>
              </w:tc>
              <w:tc>
                <w:tcPr>
                  <w:tcW w:w="598" w:type="pct"/>
                  <w:vAlign w:val="center"/>
                </w:tcPr>
                <w:p w14:paraId="5C79499E">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6850</w:t>
                  </w:r>
                </w:p>
              </w:tc>
              <w:tc>
                <w:tcPr>
                  <w:tcW w:w="963" w:type="dxa"/>
                  <w:vAlign w:val="center"/>
                </w:tcPr>
                <w:p w14:paraId="340A0DAA">
                  <w:pPr>
                    <w:widowControl/>
                    <w:jc w:val="center"/>
                    <w:textAlignment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bidi="ar"/>
                    </w:rPr>
                    <w:t>+</w:t>
                  </w:r>
                  <w:r>
                    <w:rPr>
                      <w:rFonts w:ascii="Times New Roman" w:hAnsi="Times New Roman" w:cs="Times New Roman"/>
                      <w:color w:val="000000" w:themeColor="text1"/>
                      <w:sz w:val="21"/>
                      <w:szCs w:val="21"/>
                      <w:lang w:val="en-US" w:bidi="ar"/>
                    </w:rPr>
                    <w:t>1800</w:t>
                  </w:r>
                </w:p>
              </w:tc>
            </w:tr>
            <w:tr w14:paraId="5C4A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85" w:type="pct"/>
                  <w:vAlign w:val="center"/>
                </w:tcPr>
                <w:p w14:paraId="1E7E0DB1">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4</w:t>
                  </w:r>
                </w:p>
              </w:tc>
              <w:tc>
                <w:tcPr>
                  <w:tcW w:w="673" w:type="pct"/>
                  <w:vAlign w:val="center"/>
                </w:tcPr>
                <w:p w14:paraId="64E014A5">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厄贝沙坦片</w:t>
                  </w:r>
                </w:p>
              </w:tc>
              <w:tc>
                <w:tcPr>
                  <w:tcW w:w="519" w:type="pct"/>
                  <w:vAlign w:val="center"/>
                </w:tcPr>
                <w:p w14:paraId="0384DF04">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150mg*7#</w:t>
                  </w:r>
                  <w:r>
                    <w:rPr>
                      <w:rFonts w:ascii="Times New Roman" w:hAnsi="Times New Roman" w:cs="Times New Roman"/>
                      <w:color w:val="000000" w:themeColor="text1"/>
                      <w:sz w:val="21"/>
                      <w:szCs w:val="21"/>
                      <w:lang w:val="en-US"/>
                    </w:rPr>
                    <w:t>/盒</w:t>
                  </w:r>
                </w:p>
              </w:tc>
              <w:tc>
                <w:tcPr>
                  <w:tcW w:w="529" w:type="pct"/>
                  <w:vAlign w:val="center"/>
                </w:tcPr>
                <w:p w14:paraId="1B6C48D0">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rPr>
                    <w:t>盒</w:t>
                  </w:r>
                </w:p>
              </w:tc>
              <w:tc>
                <w:tcPr>
                  <w:tcW w:w="598" w:type="pct"/>
                  <w:vAlign w:val="center"/>
                </w:tcPr>
                <w:p w14:paraId="24321B6C">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2400</w:t>
                  </w:r>
                </w:p>
              </w:tc>
              <w:tc>
                <w:tcPr>
                  <w:tcW w:w="598" w:type="pct"/>
                  <w:vAlign w:val="center"/>
                </w:tcPr>
                <w:p w14:paraId="3152B921">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2825</w:t>
                  </w:r>
                </w:p>
              </w:tc>
              <w:tc>
                <w:tcPr>
                  <w:tcW w:w="598" w:type="pct"/>
                  <w:vAlign w:val="center"/>
                </w:tcPr>
                <w:p w14:paraId="4D94F7FC">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7500</w:t>
                  </w:r>
                </w:p>
              </w:tc>
              <w:tc>
                <w:tcPr>
                  <w:tcW w:w="598" w:type="pct"/>
                  <w:vAlign w:val="center"/>
                </w:tcPr>
                <w:p w14:paraId="66FA65F2">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12725</w:t>
                  </w:r>
                </w:p>
              </w:tc>
              <w:tc>
                <w:tcPr>
                  <w:tcW w:w="963" w:type="dxa"/>
                  <w:vAlign w:val="center"/>
                </w:tcPr>
                <w:p w14:paraId="2F25E83B">
                  <w:pPr>
                    <w:widowControl/>
                    <w:jc w:val="center"/>
                    <w:textAlignment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bidi="ar"/>
                    </w:rPr>
                    <w:t>+</w:t>
                  </w:r>
                  <w:r>
                    <w:rPr>
                      <w:rFonts w:ascii="Times New Roman" w:hAnsi="Times New Roman" w:cs="Times New Roman"/>
                      <w:color w:val="000000" w:themeColor="text1"/>
                      <w:sz w:val="21"/>
                      <w:szCs w:val="21"/>
                      <w:lang w:val="en-US" w:bidi="ar"/>
                    </w:rPr>
                    <w:t>7500</w:t>
                  </w:r>
                </w:p>
              </w:tc>
            </w:tr>
            <w:tr w14:paraId="5745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85" w:type="pct"/>
                  <w:vAlign w:val="center"/>
                </w:tcPr>
                <w:p w14:paraId="40AC023C">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5</w:t>
                  </w:r>
                </w:p>
              </w:tc>
              <w:tc>
                <w:tcPr>
                  <w:tcW w:w="673" w:type="pct"/>
                  <w:vAlign w:val="center"/>
                </w:tcPr>
                <w:p w14:paraId="21DE9250">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硫糖铝混悬凝胶</w:t>
                  </w:r>
                </w:p>
              </w:tc>
              <w:tc>
                <w:tcPr>
                  <w:tcW w:w="519" w:type="pct"/>
                  <w:vAlign w:val="center"/>
                </w:tcPr>
                <w:p w14:paraId="729FCAB8">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5ml：1g*12袋</w:t>
                  </w:r>
                </w:p>
              </w:tc>
              <w:tc>
                <w:tcPr>
                  <w:tcW w:w="529" w:type="pct"/>
                  <w:vAlign w:val="center"/>
                </w:tcPr>
                <w:p w14:paraId="7730F5DE">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rPr>
                    <w:t>袋</w:t>
                  </w:r>
                </w:p>
              </w:tc>
              <w:tc>
                <w:tcPr>
                  <w:tcW w:w="598" w:type="pct"/>
                  <w:vAlign w:val="center"/>
                </w:tcPr>
                <w:p w14:paraId="2C553DC3">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300</w:t>
                  </w:r>
                </w:p>
              </w:tc>
              <w:tc>
                <w:tcPr>
                  <w:tcW w:w="598" w:type="pct"/>
                  <w:vAlign w:val="center"/>
                </w:tcPr>
                <w:p w14:paraId="5D2F1BE8">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850</w:t>
                  </w:r>
                </w:p>
              </w:tc>
              <w:tc>
                <w:tcPr>
                  <w:tcW w:w="598" w:type="pct"/>
                  <w:vAlign w:val="center"/>
                </w:tcPr>
                <w:p w14:paraId="734E8AB7">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750</w:t>
                  </w:r>
                </w:p>
              </w:tc>
              <w:tc>
                <w:tcPr>
                  <w:tcW w:w="598" w:type="pct"/>
                  <w:vAlign w:val="center"/>
                </w:tcPr>
                <w:p w14:paraId="272C7CDA">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1900</w:t>
                  </w:r>
                </w:p>
              </w:tc>
              <w:tc>
                <w:tcPr>
                  <w:tcW w:w="963" w:type="dxa"/>
                  <w:vAlign w:val="center"/>
                </w:tcPr>
                <w:p w14:paraId="70BE8019">
                  <w:pPr>
                    <w:widowControl/>
                    <w:jc w:val="center"/>
                    <w:textAlignment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bidi="ar"/>
                    </w:rPr>
                    <w:t>+</w:t>
                  </w:r>
                  <w:r>
                    <w:rPr>
                      <w:rFonts w:ascii="Times New Roman" w:hAnsi="Times New Roman" w:cs="Times New Roman"/>
                      <w:color w:val="000000" w:themeColor="text1"/>
                      <w:sz w:val="21"/>
                      <w:szCs w:val="21"/>
                      <w:lang w:val="en-US" w:bidi="ar"/>
                    </w:rPr>
                    <w:t>750</w:t>
                  </w:r>
                </w:p>
              </w:tc>
            </w:tr>
            <w:tr w14:paraId="3CDB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85" w:type="pct"/>
                  <w:vAlign w:val="center"/>
                </w:tcPr>
                <w:p w14:paraId="151596A7">
                  <w:pPr>
                    <w:widowControl/>
                    <w:autoSpaceDE/>
                    <w:autoSpaceDN/>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6</w:t>
                  </w:r>
                </w:p>
              </w:tc>
              <w:tc>
                <w:tcPr>
                  <w:tcW w:w="673" w:type="pct"/>
                  <w:vAlign w:val="center"/>
                </w:tcPr>
                <w:p w14:paraId="78414AF3">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阿司匹林肠溶片</w:t>
                  </w:r>
                </w:p>
              </w:tc>
              <w:tc>
                <w:tcPr>
                  <w:tcW w:w="519" w:type="pct"/>
                  <w:vAlign w:val="center"/>
                </w:tcPr>
                <w:p w14:paraId="7BE534A6">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100mg*30#</w:t>
                  </w:r>
                  <w:r>
                    <w:rPr>
                      <w:rFonts w:ascii="Times New Roman" w:hAnsi="Times New Roman" w:cs="Times New Roman"/>
                      <w:color w:val="000000" w:themeColor="text1"/>
                      <w:sz w:val="21"/>
                      <w:szCs w:val="21"/>
                      <w:lang w:val="en-US"/>
                    </w:rPr>
                    <w:t>/盒</w:t>
                  </w:r>
                </w:p>
              </w:tc>
              <w:tc>
                <w:tcPr>
                  <w:tcW w:w="529" w:type="pct"/>
                  <w:vAlign w:val="center"/>
                </w:tcPr>
                <w:p w14:paraId="2321C58F">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rPr>
                    <w:t>盒</w:t>
                  </w:r>
                </w:p>
              </w:tc>
              <w:tc>
                <w:tcPr>
                  <w:tcW w:w="598" w:type="pct"/>
                  <w:vAlign w:val="center"/>
                </w:tcPr>
                <w:p w14:paraId="61A4BF29">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1200</w:t>
                  </w:r>
                </w:p>
              </w:tc>
              <w:tc>
                <w:tcPr>
                  <w:tcW w:w="598" w:type="pct"/>
                  <w:vAlign w:val="center"/>
                </w:tcPr>
                <w:p w14:paraId="08467B4A">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1512</w:t>
                  </w:r>
                </w:p>
              </w:tc>
              <w:tc>
                <w:tcPr>
                  <w:tcW w:w="598" w:type="pct"/>
                  <w:vAlign w:val="center"/>
                </w:tcPr>
                <w:p w14:paraId="12F46EDF">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4200</w:t>
                  </w:r>
                </w:p>
              </w:tc>
              <w:tc>
                <w:tcPr>
                  <w:tcW w:w="598" w:type="pct"/>
                  <w:vAlign w:val="center"/>
                </w:tcPr>
                <w:p w14:paraId="464E2233">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6912</w:t>
                  </w:r>
                </w:p>
              </w:tc>
              <w:tc>
                <w:tcPr>
                  <w:tcW w:w="963" w:type="dxa"/>
                  <w:vAlign w:val="center"/>
                </w:tcPr>
                <w:p w14:paraId="3E82D96A">
                  <w:pPr>
                    <w:widowControl/>
                    <w:jc w:val="center"/>
                    <w:textAlignment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bidi="ar"/>
                    </w:rPr>
                    <w:t>+</w:t>
                  </w:r>
                  <w:r>
                    <w:rPr>
                      <w:rFonts w:ascii="Times New Roman" w:hAnsi="Times New Roman" w:cs="Times New Roman"/>
                      <w:color w:val="000000" w:themeColor="text1"/>
                      <w:sz w:val="21"/>
                      <w:szCs w:val="21"/>
                      <w:lang w:val="en-US" w:bidi="ar"/>
                    </w:rPr>
                    <w:t>4200</w:t>
                  </w:r>
                </w:p>
              </w:tc>
            </w:tr>
            <w:tr w14:paraId="0A67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5" w:type="pct"/>
                  <w:vAlign w:val="center"/>
                </w:tcPr>
                <w:p w14:paraId="50499F26">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7</w:t>
                  </w:r>
                </w:p>
              </w:tc>
              <w:tc>
                <w:tcPr>
                  <w:tcW w:w="673" w:type="pct"/>
                  <w:vAlign w:val="center"/>
                </w:tcPr>
                <w:p w14:paraId="336B4847">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多糖铁复合物胶囊</w:t>
                  </w:r>
                </w:p>
              </w:tc>
              <w:tc>
                <w:tcPr>
                  <w:tcW w:w="519" w:type="pct"/>
                  <w:vAlign w:val="center"/>
                </w:tcPr>
                <w:p w14:paraId="35C08C9B">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0.15g*10粒/盒</w:t>
                  </w:r>
                </w:p>
              </w:tc>
              <w:tc>
                <w:tcPr>
                  <w:tcW w:w="529" w:type="pct"/>
                  <w:vAlign w:val="center"/>
                </w:tcPr>
                <w:p w14:paraId="36DEF4B8">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盒</w:t>
                  </w:r>
                </w:p>
              </w:tc>
              <w:tc>
                <w:tcPr>
                  <w:tcW w:w="598" w:type="pct"/>
                  <w:vAlign w:val="center"/>
                </w:tcPr>
                <w:p w14:paraId="225F0B97">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5730</w:t>
                  </w:r>
                </w:p>
              </w:tc>
              <w:tc>
                <w:tcPr>
                  <w:tcW w:w="598" w:type="pct"/>
                  <w:vAlign w:val="center"/>
                </w:tcPr>
                <w:p w14:paraId="334C640B">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2649</w:t>
                  </w:r>
                </w:p>
              </w:tc>
              <w:tc>
                <w:tcPr>
                  <w:tcW w:w="598" w:type="pct"/>
                  <w:vAlign w:val="center"/>
                </w:tcPr>
                <w:p w14:paraId="14A6B8B7">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3560</w:t>
                  </w:r>
                </w:p>
              </w:tc>
              <w:tc>
                <w:tcPr>
                  <w:tcW w:w="598" w:type="pct"/>
                  <w:vAlign w:val="center"/>
                </w:tcPr>
                <w:p w14:paraId="5B08F93B">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11939</w:t>
                  </w:r>
                </w:p>
              </w:tc>
              <w:tc>
                <w:tcPr>
                  <w:tcW w:w="963" w:type="dxa"/>
                  <w:vAlign w:val="center"/>
                </w:tcPr>
                <w:p w14:paraId="024E217B">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+3560</w:t>
                  </w:r>
                </w:p>
              </w:tc>
            </w:tr>
            <w:tr w14:paraId="522A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5" w:type="pct"/>
                  <w:vAlign w:val="center"/>
                </w:tcPr>
                <w:p w14:paraId="3211CED6">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8</w:t>
                  </w:r>
                </w:p>
              </w:tc>
              <w:tc>
                <w:tcPr>
                  <w:tcW w:w="673" w:type="pct"/>
                  <w:vAlign w:val="center"/>
                </w:tcPr>
                <w:p w14:paraId="7038B4FB">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桂枝茯苓胶囊</w:t>
                  </w:r>
                </w:p>
              </w:tc>
              <w:tc>
                <w:tcPr>
                  <w:tcW w:w="519" w:type="pct"/>
                  <w:vAlign w:val="center"/>
                </w:tcPr>
                <w:p w14:paraId="4A83FC8D">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0.31g*50粒/盒</w:t>
                  </w:r>
                </w:p>
              </w:tc>
              <w:tc>
                <w:tcPr>
                  <w:tcW w:w="529" w:type="pct"/>
                  <w:vAlign w:val="center"/>
                </w:tcPr>
                <w:p w14:paraId="447C9D17">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盒</w:t>
                  </w:r>
                </w:p>
              </w:tc>
              <w:tc>
                <w:tcPr>
                  <w:tcW w:w="598" w:type="pct"/>
                  <w:vAlign w:val="center"/>
                </w:tcPr>
                <w:p w14:paraId="7BA35C76">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4060</w:t>
                  </w:r>
                </w:p>
              </w:tc>
              <w:tc>
                <w:tcPr>
                  <w:tcW w:w="598" w:type="pct"/>
                  <w:vAlign w:val="center"/>
                </w:tcPr>
                <w:p w14:paraId="451F044B">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3921</w:t>
                  </w:r>
                </w:p>
              </w:tc>
              <w:tc>
                <w:tcPr>
                  <w:tcW w:w="598" w:type="pct"/>
                  <w:vAlign w:val="center"/>
                </w:tcPr>
                <w:p w14:paraId="51F47A9A">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2897</w:t>
                  </w:r>
                </w:p>
              </w:tc>
              <w:tc>
                <w:tcPr>
                  <w:tcW w:w="598" w:type="pct"/>
                  <w:vAlign w:val="center"/>
                </w:tcPr>
                <w:p w14:paraId="2B10391E">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10878</w:t>
                  </w:r>
                </w:p>
              </w:tc>
              <w:tc>
                <w:tcPr>
                  <w:tcW w:w="963" w:type="dxa"/>
                  <w:vAlign w:val="center"/>
                </w:tcPr>
                <w:p w14:paraId="286BFF34">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+2897</w:t>
                  </w:r>
                </w:p>
              </w:tc>
            </w:tr>
            <w:tr w14:paraId="16C3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5" w:type="pct"/>
                  <w:vAlign w:val="center"/>
                </w:tcPr>
                <w:p w14:paraId="3876A07B">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9</w:t>
                  </w:r>
                </w:p>
              </w:tc>
              <w:tc>
                <w:tcPr>
                  <w:tcW w:w="673" w:type="pct"/>
                  <w:vAlign w:val="center"/>
                </w:tcPr>
                <w:p w14:paraId="39F760F5">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枸橼酸芬太尼注射液</w:t>
                  </w:r>
                </w:p>
              </w:tc>
              <w:tc>
                <w:tcPr>
                  <w:tcW w:w="519" w:type="pct"/>
                  <w:vAlign w:val="center"/>
                </w:tcPr>
                <w:p w14:paraId="624F5B69">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2ml*0.1mg/支</w:t>
                  </w:r>
                </w:p>
              </w:tc>
              <w:tc>
                <w:tcPr>
                  <w:tcW w:w="529" w:type="pct"/>
                  <w:vAlign w:val="center"/>
                </w:tcPr>
                <w:p w14:paraId="1972C521">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支</w:t>
                  </w:r>
                </w:p>
              </w:tc>
              <w:tc>
                <w:tcPr>
                  <w:tcW w:w="598" w:type="pct"/>
                  <w:vAlign w:val="center"/>
                </w:tcPr>
                <w:p w14:paraId="630151BC">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3610</w:t>
                  </w:r>
                </w:p>
              </w:tc>
              <w:tc>
                <w:tcPr>
                  <w:tcW w:w="598" w:type="pct"/>
                  <w:vAlign w:val="center"/>
                </w:tcPr>
                <w:p w14:paraId="44A995D4">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2673</w:t>
                  </w:r>
                </w:p>
              </w:tc>
              <w:tc>
                <w:tcPr>
                  <w:tcW w:w="598" w:type="pct"/>
                  <w:vAlign w:val="center"/>
                </w:tcPr>
                <w:p w14:paraId="38E5BB82">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3261</w:t>
                  </w:r>
                </w:p>
              </w:tc>
              <w:tc>
                <w:tcPr>
                  <w:tcW w:w="598" w:type="pct"/>
                  <w:vAlign w:val="center"/>
                </w:tcPr>
                <w:p w14:paraId="60574DBB">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9544</w:t>
                  </w:r>
                </w:p>
              </w:tc>
              <w:tc>
                <w:tcPr>
                  <w:tcW w:w="963" w:type="dxa"/>
                  <w:vAlign w:val="center"/>
                </w:tcPr>
                <w:p w14:paraId="104DE12B">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+3261</w:t>
                  </w:r>
                </w:p>
              </w:tc>
            </w:tr>
            <w:tr w14:paraId="02E1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5" w:type="pct"/>
                  <w:vAlign w:val="center"/>
                </w:tcPr>
                <w:p w14:paraId="74864216">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10</w:t>
                  </w:r>
                </w:p>
              </w:tc>
              <w:tc>
                <w:tcPr>
                  <w:tcW w:w="673" w:type="pct"/>
                  <w:vAlign w:val="center"/>
                </w:tcPr>
                <w:p w14:paraId="5DA23E2D">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舒芬太尼注射液</w:t>
                  </w:r>
                </w:p>
              </w:tc>
              <w:tc>
                <w:tcPr>
                  <w:tcW w:w="519" w:type="pct"/>
                  <w:vAlign w:val="center"/>
                </w:tcPr>
                <w:p w14:paraId="34382BAD">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1ml*50ug/支</w:t>
                  </w:r>
                </w:p>
              </w:tc>
              <w:tc>
                <w:tcPr>
                  <w:tcW w:w="529" w:type="pct"/>
                  <w:vAlign w:val="center"/>
                </w:tcPr>
                <w:p w14:paraId="69F051D4">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支</w:t>
                  </w:r>
                </w:p>
              </w:tc>
              <w:tc>
                <w:tcPr>
                  <w:tcW w:w="598" w:type="pct"/>
                  <w:vAlign w:val="center"/>
                </w:tcPr>
                <w:p w14:paraId="438024E1">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2040</w:t>
                  </w:r>
                </w:p>
              </w:tc>
              <w:tc>
                <w:tcPr>
                  <w:tcW w:w="598" w:type="pct"/>
                  <w:vAlign w:val="center"/>
                </w:tcPr>
                <w:p w14:paraId="2613B70A">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2563</w:t>
                  </w:r>
                </w:p>
              </w:tc>
              <w:tc>
                <w:tcPr>
                  <w:tcW w:w="598" w:type="pct"/>
                  <w:vAlign w:val="center"/>
                </w:tcPr>
                <w:p w14:paraId="5D61B24E">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2892</w:t>
                  </w:r>
                </w:p>
              </w:tc>
              <w:tc>
                <w:tcPr>
                  <w:tcW w:w="598" w:type="pct"/>
                  <w:vAlign w:val="center"/>
                </w:tcPr>
                <w:p w14:paraId="0802329B">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7495</w:t>
                  </w:r>
                </w:p>
              </w:tc>
              <w:tc>
                <w:tcPr>
                  <w:tcW w:w="963" w:type="dxa"/>
                  <w:vAlign w:val="center"/>
                </w:tcPr>
                <w:p w14:paraId="575C16BC">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+2892</w:t>
                  </w:r>
                </w:p>
              </w:tc>
            </w:tr>
            <w:tr w14:paraId="4382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5" w:type="pct"/>
                  <w:vAlign w:val="center"/>
                </w:tcPr>
                <w:p w14:paraId="0ECFD439">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11</w:t>
                  </w:r>
                </w:p>
              </w:tc>
              <w:tc>
                <w:tcPr>
                  <w:tcW w:w="673" w:type="pct"/>
                  <w:vAlign w:val="center"/>
                </w:tcPr>
                <w:p w14:paraId="560D57B0">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散结镇痛胶囊</w:t>
                  </w:r>
                </w:p>
              </w:tc>
              <w:tc>
                <w:tcPr>
                  <w:tcW w:w="519" w:type="pct"/>
                  <w:vAlign w:val="center"/>
                </w:tcPr>
                <w:p w14:paraId="58E9E8A2">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0.4g*30粒/盒</w:t>
                  </w:r>
                </w:p>
              </w:tc>
              <w:tc>
                <w:tcPr>
                  <w:tcW w:w="529" w:type="pct"/>
                  <w:vAlign w:val="center"/>
                </w:tcPr>
                <w:p w14:paraId="208E65B2">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盒</w:t>
                  </w:r>
                </w:p>
              </w:tc>
              <w:tc>
                <w:tcPr>
                  <w:tcW w:w="598" w:type="pct"/>
                  <w:vAlign w:val="center"/>
                </w:tcPr>
                <w:p w14:paraId="11E02526">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2056</w:t>
                  </w:r>
                </w:p>
              </w:tc>
              <w:tc>
                <w:tcPr>
                  <w:tcW w:w="598" w:type="pct"/>
                  <w:vAlign w:val="center"/>
                </w:tcPr>
                <w:p w14:paraId="5EFDE138">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1591</w:t>
                  </w:r>
                </w:p>
              </w:tc>
              <w:tc>
                <w:tcPr>
                  <w:tcW w:w="598" w:type="pct"/>
                  <w:vAlign w:val="center"/>
                </w:tcPr>
                <w:p w14:paraId="4CB606F2">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2391</w:t>
                  </w:r>
                </w:p>
              </w:tc>
              <w:tc>
                <w:tcPr>
                  <w:tcW w:w="598" w:type="pct"/>
                  <w:vAlign w:val="center"/>
                </w:tcPr>
                <w:p w14:paraId="7E355770">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6038</w:t>
                  </w:r>
                </w:p>
              </w:tc>
              <w:tc>
                <w:tcPr>
                  <w:tcW w:w="963" w:type="dxa"/>
                  <w:vAlign w:val="center"/>
                </w:tcPr>
                <w:p w14:paraId="5F68689C">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+2391</w:t>
                  </w:r>
                </w:p>
              </w:tc>
            </w:tr>
            <w:tr w14:paraId="7B41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285" w:type="pct"/>
                  <w:vAlign w:val="center"/>
                </w:tcPr>
                <w:p w14:paraId="6F001DBD">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12</w:t>
                  </w:r>
                </w:p>
              </w:tc>
              <w:tc>
                <w:tcPr>
                  <w:tcW w:w="673" w:type="pct"/>
                  <w:vAlign w:val="center"/>
                </w:tcPr>
                <w:p w14:paraId="7281DF9B">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丙泊酚乳状注射液（集采）</w:t>
                  </w:r>
                </w:p>
              </w:tc>
              <w:tc>
                <w:tcPr>
                  <w:tcW w:w="519" w:type="pct"/>
                  <w:vAlign w:val="center"/>
                </w:tcPr>
                <w:p w14:paraId="7B6C3890">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0.2g:20ml/支</w:t>
                  </w:r>
                </w:p>
              </w:tc>
              <w:tc>
                <w:tcPr>
                  <w:tcW w:w="529" w:type="pct"/>
                  <w:vAlign w:val="center"/>
                </w:tcPr>
                <w:p w14:paraId="01C2E4E0">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支</w:t>
                  </w:r>
                </w:p>
              </w:tc>
              <w:tc>
                <w:tcPr>
                  <w:tcW w:w="598" w:type="pct"/>
                  <w:vAlign w:val="center"/>
                </w:tcPr>
                <w:p w14:paraId="2CD322E5">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2500</w:t>
                  </w:r>
                </w:p>
              </w:tc>
              <w:tc>
                <w:tcPr>
                  <w:tcW w:w="598" w:type="pct"/>
                  <w:vAlign w:val="center"/>
                </w:tcPr>
                <w:p w14:paraId="3AEE638A">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2820</w:t>
                  </w:r>
                </w:p>
              </w:tc>
              <w:tc>
                <w:tcPr>
                  <w:tcW w:w="598" w:type="pct"/>
                  <w:vAlign w:val="center"/>
                </w:tcPr>
                <w:p w14:paraId="666D8663">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2100</w:t>
                  </w:r>
                </w:p>
              </w:tc>
              <w:tc>
                <w:tcPr>
                  <w:tcW w:w="598" w:type="pct"/>
                  <w:vAlign w:val="center"/>
                </w:tcPr>
                <w:p w14:paraId="12C97B54">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7420</w:t>
                  </w:r>
                </w:p>
              </w:tc>
              <w:tc>
                <w:tcPr>
                  <w:tcW w:w="963" w:type="dxa"/>
                  <w:vAlign w:val="center"/>
                </w:tcPr>
                <w:p w14:paraId="568D068D">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+2100</w:t>
                  </w:r>
                </w:p>
              </w:tc>
            </w:tr>
            <w:tr w14:paraId="5A15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85" w:type="pct"/>
                  <w:vAlign w:val="center"/>
                </w:tcPr>
                <w:p w14:paraId="11A27084">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13</w:t>
                  </w:r>
                </w:p>
              </w:tc>
              <w:tc>
                <w:tcPr>
                  <w:tcW w:w="673" w:type="pct"/>
                  <w:vAlign w:val="center"/>
                </w:tcPr>
                <w:p w14:paraId="1FC33D6A">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注射用头孢哌酮钠舒巴坦钠</w:t>
                  </w:r>
                </w:p>
              </w:tc>
              <w:tc>
                <w:tcPr>
                  <w:tcW w:w="519" w:type="pct"/>
                  <w:vAlign w:val="center"/>
                </w:tcPr>
                <w:p w14:paraId="2017CD99">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1.0g*1瓶</w:t>
                  </w:r>
                </w:p>
              </w:tc>
              <w:tc>
                <w:tcPr>
                  <w:tcW w:w="529" w:type="pct"/>
                  <w:vAlign w:val="center"/>
                </w:tcPr>
                <w:p w14:paraId="4C372200">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瓶</w:t>
                  </w:r>
                </w:p>
              </w:tc>
              <w:tc>
                <w:tcPr>
                  <w:tcW w:w="598" w:type="pct"/>
                  <w:vAlign w:val="center"/>
                </w:tcPr>
                <w:p w14:paraId="7A203569">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2820</w:t>
                  </w:r>
                </w:p>
              </w:tc>
              <w:tc>
                <w:tcPr>
                  <w:tcW w:w="598" w:type="pct"/>
                  <w:vAlign w:val="center"/>
                </w:tcPr>
                <w:p w14:paraId="40ADEE10">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3152</w:t>
                  </w:r>
                </w:p>
              </w:tc>
              <w:tc>
                <w:tcPr>
                  <w:tcW w:w="598" w:type="pct"/>
                  <w:vAlign w:val="center"/>
                </w:tcPr>
                <w:p w14:paraId="6B92AB75">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2653</w:t>
                  </w:r>
                </w:p>
              </w:tc>
              <w:tc>
                <w:tcPr>
                  <w:tcW w:w="598" w:type="pct"/>
                  <w:vAlign w:val="center"/>
                </w:tcPr>
                <w:p w14:paraId="74C8AAED">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8625</w:t>
                  </w:r>
                </w:p>
              </w:tc>
              <w:tc>
                <w:tcPr>
                  <w:tcW w:w="963" w:type="dxa"/>
                  <w:vAlign w:val="center"/>
                </w:tcPr>
                <w:p w14:paraId="51523704">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+2653</w:t>
                  </w:r>
                </w:p>
              </w:tc>
            </w:tr>
            <w:tr w14:paraId="7A24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5" w:type="pct"/>
                  <w:vAlign w:val="center"/>
                </w:tcPr>
                <w:p w14:paraId="01AE1683">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14</w:t>
                  </w:r>
                </w:p>
              </w:tc>
              <w:tc>
                <w:tcPr>
                  <w:tcW w:w="673" w:type="pct"/>
                  <w:vAlign w:val="center"/>
                </w:tcPr>
                <w:p w14:paraId="0EA243A2">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头孢克肟干混悬剂</w:t>
                  </w:r>
                </w:p>
              </w:tc>
              <w:tc>
                <w:tcPr>
                  <w:tcW w:w="519" w:type="pct"/>
                  <w:vAlign w:val="center"/>
                </w:tcPr>
                <w:p w14:paraId="02095F7F">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50mg*6袋/盒</w:t>
                  </w:r>
                </w:p>
              </w:tc>
              <w:tc>
                <w:tcPr>
                  <w:tcW w:w="529" w:type="pct"/>
                  <w:vAlign w:val="center"/>
                </w:tcPr>
                <w:p w14:paraId="3CA133C0">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盒</w:t>
                  </w:r>
                </w:p>
              </w:tc>
              <w:tc>
                <w:tcPr>
                  <w:tcW w:w="598" w:type="pct"/>
                  <w:vAlign w:val="center"/>
                </w:tcPr>
                <w:p w14:paraId="0F4B1177">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2850</w:t>
                  </w:r>
                </w:p>
              </w:tc>
              <w:tc>
                <w:tcPr>
                  <w:tcW w:w="598" w:type="pct"/>
                  <w:vAlign w:val="center"/>
                </w:tcPr>
                <w:p w14:paraId="4DE9BC00">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2960</w:t>
                  </w:r>
                </w:p>
              </w:tc>
              <w:tc>
                <w:tcPr>
                  <w:tcW w:w="598" w:type="pct"/>
                  <w:vAlign w:val="center"/>
                </w:tcPr>
                <w:p w14:paraId="1ADE2791">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2540</w:t>
                  </w:r>
                </w:p>
              </w:tc>
              <w:tc>
                <w:tcPr>
                  <w:tcW w:w="598" w:type="pct"/>
                  <w:vAlign w:val="center"/>
                </w:tcPr>
                <w:p w14:paraId="57A097CD">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8350</w:t>
                  </w:r>
                </w:p>
              </w:tc>
              <w:tc>
                <w:tcPr>
                  <w:tcW w:w="963" w:type="dxa"/>
                  <w:vAlign w:val="center"/>
                </w:tcPr>
                <w:p w14:paraId="46EC812B">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+2540</w:t>
                  </w:r>
                </w:p>
              </w:tc>
            </w:tr>
            <w:tr w14:paraId="38A6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85" w:type="pct"/>
                  <w:vAlign w:val="center"/>
                </w:tcPr>
                <w:p w14:paraId="57BE0DB6">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15</w:t>
                  </w:r>
                </w:p>
              </w:tc>
              <w:tc>
                <w:tcPr>
                  <w:tcW w:w="673" w:type="pct"/>
                  <w:vAlign w:val="center"/>
                </w:tcPr>
                <w:p w14:paraId="3120E40C">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双歧杆菌三联活菌肠溶胶囊</w:t>
                  </w:r>
                </w:p>
              </w:tc>
              <w:tc>
                <w:tcPr>
                  <w:tcW w:w="519" w:type="pct"/>
                  <w:vAlign w:val="center"/>
                </w:tcPr>
                <w:p w14:paraId="55D96D89">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210mg*36粒/盒</w:t>
                  </w:r>
                </w:p>
              </w:tc>
              <w:tc>
                <w:tcPr>
                  <w:tcW w:w="529" w:type="pct"/>
                  <w:vAlign w:val="center"/>
                </w:tcPr>
                <w:p w14:paraId="114BFE0F">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盒</w:t>
                  </w:r>
                </w:p>
              </w:tc>
              <w:tc>
                <w:tcPr>
                  <w:tcW w:w="598" w:type="pct"/>
                  <w:vAlign w:val="center"/>
                </w:tcPr>
                <w:p w14:paraId="2B5E3E65">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2847</w:t>
                  </w:r>
                </w:p>
              </w:tc>
              <w:tc>
                <w:tcPr>
                  <w:tcW w:w="598" w:type="pct"/>
                  <w:vAlign w:val="center"/>
                </w:tcPr>
                <w:p w14:paraId="598C8454">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3601</w:t>
                  </w:r>
                </w:p>
              </w:tc>
              <w:tc>
                <w:tcPr>
                  <w:tcW w:w="598" w:type="pct"/>
                  <w:vAlign w:val="center"/>
                </w:tcPr>
                <w:p w14:paraId="7EBD69F9">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2421</w:t>
                  </w:r>
                </w:p>
              </w:tc>
              <w:tc>
                <w:tcPr>
                  <w:tcW w:w="598" w:type="pct"/>
                  <w:vAlign w:val="center"/>
                </w:tcPr>
                <w:p w14:paraId="43975F08">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8869</w:t>
                  </w:r>
                </w:p>
              </w:tc>
              <w:tc>
                <w:tcPr>
                  <w:tcW w:w="963" w:type="dxa"/>
                  <w:vAlign w:val="center"/>
                </w:tcPr>
                <w:p w14:paraId="21258D33">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+2421</w:t>
                  </w:r>
                </w:p>
              </w:tc>
            </w:tr>
            <w:tr w14:paraId="0817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85" w:type="pct"/>
                  <w:vAlign w:val="center"/>
                </w:tcPr>
                <w:p w14:paraId="6C995C8E">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16</w:t>
                  </w:r>
                </w:p>
              </w:tc>
              <w:tc>
                <w:tcPr>
                  <w:tcW w:w="673" w:type="pct"/>
                  <w:vAlign w:val="center"/>
                </w:tcPr>
                <w:p w14:paraId="52809B70">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新生化颗粒</w:t>
                  </w:r>
                </w:p>
              </w:tc>
              <w:tc>
                <w:tcPr>
                  <w:tcW w:w="519" w:type="pct"/>
                  <w:vAlign w:val="center"/>
                </w:tcPr>
                <w:p w14:paraId="2AD7E83D">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6g*12袋/盒</w:t>
                  </w:r>
                </w:p>
              </w:tc>
              <w:tc>
                <w:tcPr>
                  <w:tcW w:w="529" w:type="pct"/>
                  <w:vAlign w:val="center"/>
                </w:tcPr>
                <w:p w14:paraId="37F529C1">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盒</w:t>
                  </w:r>
                </w:p>
              </w:tc>
              <w:tc>
                <w:tcPr>
                  <w:tcW w:w="598" w:type="pct"/>
                  <w:vAlign w:val="center"/>
                </w:tcPr>
                <w:p w14:paraId="534F906D">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2725</w:t>
                  </w:r>
                </w:p>
              </w:tc>
              <w:tc>
                <w:tcPr>
                  <w:tcW w:w="598" w:type="pct"/>
                  <w:vAlign w:val="center"/>
                </w:tcPr>
                <w:p w14:paraId="2E649218">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2302</w:t>
                  </w:r>
                </w:p>
              </w:tc>
              <w:tc>
                <w:tcPr>
                  <w:tcW w:w="598" w:type="pct"/>
                  <w:vAlign w:val="center"/>
                </w:tcPr>
                <w:p w14:paraId="63457D28">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2590</w:t>
                  </w:r>
                </w:p>
              </w:tc>
              <w:tc>
                <w:tcPr>
                  <w:tcW w:w="598" w:type="pct"/>
                  <w:vAlign w:val="center"/>
                </w:tcPr>
                <w:p w14:paraId="7BDF4A95">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7617</w:t>
                  </w:r>
                </w:p>
              </w:tc>
              <w:tc>
                <w:tcPr>
                  <w:tcW w:w="963" w:type="dxa"/>
                  <w:vAlign w:val="center"/>
                </w:tcPr>
                <w:p w14:paraId="403D3B47">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+2590</w:t>
                  </w:r>
                </w:p>
              </w:tc>
            </w:tr>
            <w:tr w14:paraId="1D5B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85" w:type="pct"/>
                  <w:vAlign w:val="center"/>
                </w:tcPr>
                <w:p w14:paraId="17962345">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17</w:t>
                  </w:r>
                </w:p>
              </w:tc>
              <w:tc>
                <w:tcPr>
                  <w:tcW w:w="673" w:type="pct"/>
                  <w:vAlign w:val="center"/>
                </w:tcPr>
                <w:p w14:paraId="75D3CA88">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盐酸倍他司汀氯化钠注射液</w:t>
                  </w:r>
                </w:p>
              </w:tc>
              <w:tc>
                <w:tcPr>
                  <w:tcW w:w="519" w:type="pct"/>
                  <w:vAlign w:val="center"/>
                </w:tcPr>
                <w:p w14:paraId="590DB3A6">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20mg*250ml/瓶</w:t>
                  </w:r>
                </w:p>
              </w:tc>
              <w:tc>
                <w:tcPr>
                  <w:tcW w:w="529" w:type="pct"/>
                  <w:vAlign w:val="center"/>
                </w:tcPr>
                <w:p w14:paraId="7DB1C509">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瓶</w:t>
                  </w:r>
                </w:p>
              </w:tc>
              <w:tc>
                <w:tcPr>
                  <w:tcW w:w="598" w:type="pct"/>
                  <w:vAlign w:val="center"/>
                </w:tcPr>
                <w:p w14:paraId="27E0F364">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2231</w:t>
                  </w:r>
                </w:p>
              </w:tc>
              <w:tc>
                <w:tcPr>
                  <w:tcW w:w="598" w:type="pct"/>
                  <w:vAlign w:val="center"/>
                </w:tcPr>
                <w:p w14:paraId="7BE60663">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1956</w:t>
                  </w:r>
                </w:p>
              </w:tc>
              <w:tc>
                <w:tcPr>
                  <w:tcW w:w="598" w:type="pct"/>
                  <w:vAlign w:val="center"/>
                </w:tcPr>
                <w:p w14:paraId="428FF39C">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1521</w:t>
                  </w:r>
                </w:p>
              </w:tc>
              <w:tc>
                <w:tcPr>
                  <w:tcW w:w="598" w:type="pct"/>
                  <w:vAlign w:val="center"/>
                </w:tcPr>
                <w:p w14:paraId="27817407">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5708</w:t>
                  </w:r>
                </w:p>
              </w:tc>
              <w:tc>
                <w:tcPr>
                  <w:tcW w:w="963" w:type="dxa"/>
                  <w:vAlign w:val="center"/>
                </w:tcPr>
                <w:p w14:paraId="2C4CE78B">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+1521</w:t>
                  </w:r>
                </w:p>
              </w:tc>
            </w:tr>
            <w:tr w14:paraId="2BD7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85" w:type="pct"/>
                  <w:vAlign w:val="center"/>
                </w:tcPr>
                <w:p w14:paraId="5A33B6A9">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18</w:t>
                  </w:r>
                </w:p>
              </w:tc>
              <w:tc>
                <w:tcPr>
                  <w:tcW w:w="673" w:type="pct"/>
                  <w:vAlign w:val="center"/>
                </w:tcPr>
                <w:p w14:paraId="0CF3513B">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开塞露</w:t>
                  </w:r>
                </w:p>
              </w:tc>
              <w:tc>
                <w:tcPr>
                  <w:tcW w:w="519" w:type="pct"/>
                  <w:vAlign w:val="center"/>
                </w:tcPr>
                <w:p w14:paraId="6D80041F">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20ml*1支</w:t>
                  </w:r>
                </w:p>
              </w:tc>
              <w:tc>
                <w:tcPr>
                  <w:tcW w:w="529" w:type="pct"/>
                  <w:vAlign w:val="center"/>
                </w:tcPr>
                <w:p w14:paraId="632B023C">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支</w:t>
                  </w:r>
                </w:p>
              </w:tc>
              <w:tc>
                <w:tcPr>
                  <w:tcW w:w="598" w:type="pct"/>
                  <w:vAlign w:val="center"/>
                </w:tcPr>
                <w:p w14:paraId="0401A412">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2500</w:t>
                  </w:r>
                </w:p>
              </w:tc>
              <w:tc>
                <w:tcPr>
                  <w:tcW w:w="598" w:type="pct"/>
                  <w:vAlign w:val="center"/>
                </w:tcPr>
                <w:p w14:paraId="4E000C12">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2300</w:t>
                  </w:r>
                </w:p>
              </w:tc>
              <w:tc>
                <w:tcPr>
                  <w:tcW w:w="598" w:type="pct"/>
                  <w:vAlign w:val="center"/>
                </w:tcPr>
                <w:p w14:paraId="72DBFDF4">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3410</w:t>
                  </w:r>
                </w:p>
              </w:tc>
              <w:tc>
                <w:tcPr>
                  <w:tcW w:w="598" w:type="pct"/>
                  <w:vAlign w:val="center"/>
                </w:tcPr>
                <w:p w14:paraId="7CAA7DA9">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8210</w:t>
                  </w:r>
                </w:p>
              </w:tc>
              <w:tc>
                <w:tcPr>
                  <w:tcW w:w="963" w:type="dxa"/>
                  <w:vAlign w:val="center"/>
                </w:tcPr>
                <w:p w14:paraId="33A3BEB2">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+3410</w:t>
                  </w:r>
                </w:p>
              </w:tc>
            </w:tr>
            <w:tr w14:paraId="492C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5" w:type="pct"/>
                  <w:vAlign w:val="center"/>
                </w:tcPr>
                <w:p w14:paraId="067E0AD1">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19</w:t>
                  </w:r>
                </w:p>
              </w:tc>
              <w:tc>
                <w:tcPr>
                  <w:tcW w:w="673" w:type="pct"/>
                  <w:vAlign w:val="center"/>
                </w:tcPr>
                <w:p w14:paraId="2C71A228">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葡萄糖注射液10%</w:t>
                  </w:r>
                </w:p>
              </w:tc>
              <w:tc>
                <w:tcPr>
                  <w:tcW w:w="519" w:type="pct"/>
                  <w:vAlign w:val="center"/>
                </w:tcPr>
                <w:p w14:paraId="1E66B525">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100ml*1瓶</w:t>
                  </w:r>
                </w:p>
              </w:tc>
              <w:tc>
                <w:tcPr>
                  <w:tcW w:w="529" w:type="pct"/>
                  <w:vAlign w:val="center"/>
                </w:tcPr>
                <w:p w14:paraId="65401366">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瓶</w:t>
                  </w:r>
                </w:p>
              </w:tc>
              <w:tc>
                <w:tcPr>
                  <w:tcW w:w="598" w:type="pct"/>
                  <w:vAlign w:val="center"/>
                </w:tcPr>
                <w:p w14:paraId="66350A6B">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2564</w:t>
                  </w:r>
                </w:p>
              </w:tc>
              <w:tc>
                <w:tcPr>
                  <w:tcW w:w="598" w:type="pct"/>
                  <w:vAlign w:val="center"/>
                </w:tcPr>
                <w:p w14:paraId="1BDD86F6">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2498</w:t>
                  </w:r>
                </w:p>
              </w:tc>
              <w:tc>
                <w:tcPr>
                  <w:tcW w:w="598" w:type="pct"/>
                  <w:vAlign w:val="center"/>
                </w:tcPr>
                <w:p w14:paraId="1C8F47E9">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2362</w:t>
                  </w:r>
                </w:p>
              </w:tc>
              <w:tc>
                <w:tcPr>
                  <w:tcW w:w="598" w:type="pct"/>
                  <w:vAlign w:val="center"/>
                </w:tcPr>
                <w:p w14:paraId="3FC6867E">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7424</w:t>
                  </w:r>
                </w:p>
              </w:tc>
              <w:tc>
                <w:tcPr>
                  <w:tcW w:w="963" w:type="dxa"/>
                  <w:vAlign w:val="center"/>
                </w:tcPr>
                <w:p w14:paraId="3E22693D">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+2362</w:t>
                  </w:r>
                </w:p>
              </w:tc>
            </w:tr>
            <w:tr w14:paraId="0E87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85" w:type="pct"/>
                  <w:vAlign w:val="center"/>
                </w:tcPr>
                <w:p w14:paraId="3C9550B1">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20</w:t>
                  </w:r>
                </w:p>
              </w:tc>
              <w:tc>
                <w:tcPr>
                  <w:tcW w:w="673" w:type="pct"/>
                  <w:vAlign w:val="center"/>
                </w:tcPr>
                <w:p w14:paraId="474562A7">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头孢克肟胶囊</w:t>
                  </w:r>
                </w:p>
              </w:tc>
              <w:tc>
                <w:tcPr>
                  <w:tcW w:w="519" w:type="pct"/>
                  <w:vAlign w:val="center"/>
                </w:tcPr>
                <w:p w14:paraId="4BE67E07">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0.1g*8粒/盒</w:t>
                  </w:r>
                </w:p>
              </w:tc>
              <w:tc>
                <w:tcPr>
                  <w:tcW w:w="529" w:type="pct"/>
                  <w:vAlign w:val="center"/>
                </w:tcPr>
                <w:p w14:paraId="647DB8D1">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盒</w:t>
                  </w:r>
                </w:p>
              </w:tc>
              <w:tc>
                <w:tcPr>
                  <w:tcW w:w="598" w:type="pct"/>
                  <w:vAlign w:val="center"/>
                </w:tcPr>
                <w:p w14:paraId="462827CE">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2036</w:t>
                  </w:r>
                </w:p>
              </w:tc>
              <w:tc>
                <w:tcPr>
                  <w:tcW w:w="598" w:type="pct"/>
                  <w:vAlign w:val="center"/>
                </w:tcPr>
                <w:p w14:paraId="0D8BE9AC">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1598</w:t>
                  </w:r>
                </w:p>
              </w:tc>
              <w:tc>
                <w:tcPr>
                  <w:tcW w:w="598" w:type="pct"/>
                  <w:vAlign w:val="center"/>
                </w:tcPr>
                <w:p w14:paraId="4B902B2C">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2487</w:t>
                  </w:r>
                </w:p>
              </w:tc>
              <w:tc>
                <w:tcPr>
                  <w:tcW w:w="598" w:type="pct"/>
                  <w:vAlign w:val="center"/>
                </w:tcPr>
                <w:p w14:paraId="74D51FF5">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6121</w:t>
                  </w:r>
                </w:p>
              </w:tc>
              <w:tc>
                <w:tcPr>
                  <w:tcW w:w="963" w:type="dxa"/>
                  <w:vAlign w:val="center"/>
                </w:tcPr>
                <w:p w14:paraId="2F37E634">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+2487</w:t>
                  </w:r>
                </w:p>
              </w:tc>
            </w:tr>
            <w:tr w14:paraId="0153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85" w:type="pct"/>
                  <w:vAlign w:val="center"/>
                </w:tcPr>
                <w:p w14:paraId="6F9BB0AD">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21</w:t>
                  </w:r>
                </w:p>
              </w:tc>
              <w:tc>
                <w:tcPr>
                  <w:tcW w:w="673" w:type="pct"/>
                  <w:vAlign w:val="center"/>
                </w:tcPr>
                <w:p w14:paraId="42D5E07F">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黄苦洗液</w:t>
                  </w:r>
                </w:p>
              </w:tc>
              <w:tc>
                <w:tcPr>
                  <w:tcW w:w="519" w:type="pct"/>
                  <w:vAlign w:val="center"/>
                </w:tcPr>
                <w:p w14:paraId="22124786">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320ml/瓶</w:t>
                  </w:r>
                </w:p>
              </w:tc>
              <w:tc>
                <w:tcPr>
                  <w:tcW w:w="529" w:type="pct"/>
                  <w:vAlign w:val="center"/>
                </w:tcPr>
                <w:p w14:paraId="324E9BEC">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瓶</w:t>
                  </w:r>
                </w:p>
              </w:tc>
              <w:tc>
                <w:tcPr>
                  <w:tcW w:w="598" w:type="pct"/>
                  <w:vAlign w:val="center"/>
                </w:tcPr>
                <w:p w14:paraId="0CC08813">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1860</w:t>
                  </w:r>
                </w:p>
              </w:tc>
              <w:tc>
                <w:tcPr>
                  <w:tcW w:w="598" w:type="pct"/>
                  <w:vAlign w:val="center"/>
                </w:tcPr>
                <w:p w14:paraId="5131047D">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1605</w:t>
                  </w:r>
                </w:p>
              </w:tc>
              <w:tc>
                <w:tcPr>
                  <w:tcW w:w="598" w:type="pct"/>
                  <w:vAlign w:val="center"/>
                </w:tcPr>
                <w:p w14:paraId="6086031A">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2019</w:t>
                  </w:r>
                </w:p>
              </w:tc>
              <w:tc>
                <w:tcPr>
                  <w:tcW w:w="598" w:type="pct"/>
                  <w:vAlign w:val="center"/>
                </w:tcPr>
                <w:p w14:paraId="1031F888">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5484</w:t>
                  </w:r>
                </w:p>
              </w:tc>
              <w:tc>
                <w:tcPr>
                  <w:tcW w:w="963" w:type="dxa"/>
                  <w:vAlign w:val="center"/>
                </w:tcPr>
                <w:p w14:paraId="68182516">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+2019</w:t>
                  </w:r>
                </w:p>
              </w:tc>
            </w:tr>
            <w:tr w14:paraId="0367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5" w:type="pct"/>
                  <w:vAlign w:val="center"/>
                </w:tcPr>
                <w:p w14:paraId="03F59FB2">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22</w:t>
                  </w:r>
                </w:p>
              </w:tc>
              <w:tc>
                <w:tcPr>
                  <w:tcW w:w="673" w:type="pct"/>
                  <w:vAlign w:val="center"/>
                </w:tcPr>
                <w:p w14:paraId="00FC16EF">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克拉霉素胶囊</w:t>
                  </w:r>
                </w:p>
              </w:tc>
              <w:tc>
                <w:tcPr>
                  <w:tcW w:w="519" w:type="pct"/>
                  <w:vAlign w:val="center"/>
                </w:tcPr>
                <w:p w14:paraId="62086E53">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0.25g*6粒/盒</w:t>
                  </w:r>
                </w:p>
              </w:tc>
              <w:tc>
                <w:tcPr>
                  <w:tcW w:w="529" w:type="pct"/>
                  <w:vAlign w:val="center"/>
                </w:tcPr>
                <w:p w14:paraId="787D5A1E">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盒</w:t>
                  </w:r>
                </w:p>
              </w:tc>
              <w:tc>
                <w:tcPr>
                  <w:tcW w:w="598" w:type="pct"/>
                  <w:vAlign w:val="center"/>
                </w:tcPr>
                <w:p w14:paraId="7BF71D51">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1758</w:t>
                  </w:r>
                </w:p>
              </w:tc>
              <w:tc>
                <w:tcPr>
                  <w:tcW w:w="598" w:type="pct"/>
                  <w:vAlign w:val="center"/>
                </w:tcPr>
                <w:p w14:paraId="522CA655">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1632</w:t>
                  </w:r>
                </w:p>
              </w:tc>
              <w:tc>
                <w:tcPr>
                  <w:tcW w:w="598" w:type="pct"/>
                  <w:vAlign w:val="center"/>
                </w:tcPr>
                <w:p w14:paraId="15F5F91A">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1493</w:t>
                  </w:r>
                </w:p>
              </w:tc>
              <w:tc>
                <w:tcPr>
                  <w:tcW w:w="598" w:type="pct"/>
                  <w:vAlign w:val="center"/>
                </w:tcPr>
                <w:p w14:paraId="18621557">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4883</w:t>
                  </w:r>
                </w:p>
              </w:tc>
              <w:tc>
                <w:tcPr>
                  <w:tcW w:w="963" w:type="dxa"/>
                  <w:vAlign w:val="center"/>
                </w:tcPr>
                <w:p w14:paraId="05D97B9B">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+1493</w:t>
                  </w:r>
                </w:p>
              </w:tc>
            </w:tr>
            <w:tr w14:paraId="199B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5" w:type="pct"/>
                  <w:vAlign w:val="center"/>
                </w:tcPr>
                <w:p w14:paraId="3AFEE549">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23</w:t>
                  </w:r>
                </w:p>
              </w:tc>
              <w:tc>
                <w:tcPr>
                  <w:tcW w:w="673" w:type="pct"/>
                  <w:vAlign w:val="center"/>
                </w:tcPr>
                <w:p w14:paraId="5FAEE9E6">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盐酸氨溴索注射液</w:t>
                  </w:r>
                </w:p>
              </w:tc>
              <w:tc>
                <w:tcPr>
                  <w:tcW w:w="519" w:type="pct"/>
                  <w:vAlign w:val="center"/>
                </w:tcPr>
                <w:p w14:paraId="5450083A">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2ml:15mg/支</w:t>
                  </w:r>
                </w:p>
              </w:tc>
              <w:tc>
                <w:tcPr>
                  <w:tcW w:w="529" w:type="pct"/>
                  <w:vAlign w:val="center"/>
                </w:tcPr>
                <w:p w14:paraId="1D587396">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支</w:t>
                  </w:r>
                </w:p>
              </w:tc>
              <w:tc>
                <w:tcPr>
                  <w:tcW w:w="598" w:type="pct"/>
                  <w:vAlign w:val="center"/>
                </w:tcPr>
                <w:p w14:paraId="65570527">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1950</w:t>
                  </w:r>
                </w:p>
              </w:tc>
              <w:tc>
                <w:tcPr>
                  <w:tcW w:w="598" w:type="pct"/>
                  <w:vAlign w:val="center"/>
                </w:tcPr>
                <w:p w14:paraId="566D83D5">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1504</w:t>
                  </w:r>
                </w:p>
              </w:tc>
              <w:tc>
                <w:tcPr>
                  <w:tcW w:w="598" w:type="pct"/>
                  <w:vAlign w:val="center"/>
                </w:tcPr>
                <w:p w14:paraId="426753FA">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1930</w:t>
                  </w:r>
                </w:p>
              </w:tc>
              <w:tc>
                <w:tcPr>
                  <w:tcW w:w="598" w:type="pct"/>
                  <w:vAlign w:val="center"/>
                </w:tcPr>
                <w:p w14:paraId="110D703F">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5384</w:t>
                  </w:r>
                </w:p>
              </w:tc>
              <w:tc>
                <w:tcPr>
                  <w:tcW w:w="963" w:type="dxa"/>
                  <w:vAlign w:val="center"/>
                </w:tcPr>
                <w:p w14:paraId="4B97CCDF">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+1930</w:t>
                  </w:r>
                </w:p>
              </w:tc>
            </w:tr>
            <w:tr w14:paraId="2406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85" w:type="pct"/>
                  <w:vAlign w:val="center"/>
                </w:tcPr>
                <w:p w14:paraId="76B495D3">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24</w:t>
                  </w:r>
                </w:p>
              </w:tc>
              <w:tc>
                <w:tcPr>
                  <w:tcW w:w="673" w:type="pct"/>
                  <w:vAlign w:val="center"/>
                </w:tcPr>
                <w:p w14:paraId="08E4B525">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阿卡波糖胶囊（集采）</w:t>
                  </w:r>
                </w:p>
              </w:tc>
              <w:tc>
                <w:tcPr>
                  <w:tcW w:w="519" w:type="pct"/>
                  <w:vAlign w:val="center"/>
                </w:tcPr>
                <w:p w14:paraId="4905F8B9">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50mg*30粒/盒</w:t>
                  </w:r>
                </w:p>
              </w:tc>
              <w:tc>
                <w:tcPr>
                  <w:tcW w:w="529" w:type="pct"/>
                  <w:vAlign w:val="center"/>
                </w:tcPr>
                <w:p w14:paraId="0523B876">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盒</w:t>
                  </w:r>
                </w:p>
              </w:tc>
              <w:tc>
                <w:tcPr>
                  <w:tcW w:w="598" w:type="pct"/>
                  <w:vAlign w:val="center"/>
                </w:tcPr>
                <w:p w14:paraId="466845E2">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1892</w:t>
                  </w:r>
                </w:p>
              </w:tc>
              <w:tc>
                <w:tcPr>
                  <w:tcW w:w="598" w:type="pct"/>
                  <w:vAlign w:val="center"/>
                </w:tcPr>
                <w:p w14:paraId="294DBFBA">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1587</w:t>
                  </w:r>
                </w:p>
              </w:tc>
              <w:tc>
                <w:tcPr>
                  <w:tcW w:w="598" w:type="pct"/>
                  <w:vAlign w:val="center"/>
                </w:tcPr>
                <w:p w14:paraId="26C10722">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2163</w:t>
                  </w:r>
                </w:p>
              </w:tc>
              <w:tc>
                <w:tcPr>
                  <w:tcW w:w="598" w:type="pct"/>
                  <w:vAlign w:val="center"/>
                </w:tcPr>
                <w:p w14:paraId="563B5E8B">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5642</w:t>
                  </w:r>
                </w:p>
              </w:tc>
              <w:tc>
                <w:tcPr>
                  <w:tcW w:w="963" w:type="dxa"/>
                  <w:vAlign w:val="center"/>
                </w:tcPr>
                <w:p w14:paraId="3EA6E75E">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+2163</w:t>
                  </w:r>
                </w:p>
              </w:tc>
            </w:tr>
            <w:tr w14:paraId="0DB6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85" w:type="pct"/>
                  <w:vAlign w:val="center"/>
                </w:tcPr>
                <w:p w14:paraId="359BD2A0">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25</w:t>
                  </w:r>
                </w:p>
              </w:tc>
              <w:tc>
                <w:tcPr>
                  <w:tcW w:w="673" w:type="pct"/>
                  <w:vAlign w:val="center"/>
                </w:tcPr>
                <w:p w14:paraId="35EC24C9">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碳酸钙D3片</w:t>
                  </w:r>
                </w:p>
              </w:tc>
              <w:tc>
                <w:tcPr>
                  <w:tcW w:w="519" w:type="pct"/>
                  <w:vAlign w:val="center"/>
                </w:tcPr>
                <w:p w14:paraId="3F4BF2A2">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0.5*36片/瓶</w:t>
                  </w:r>
                </w:p>
              </w:tc>
              <w:tc>
                <w:tcPr>
                  <w:tcW w:w="529" w:type="pct"/>
                  <w:vAlign w:val="center"/>
                </w:tcPr>
                <w:p w14:paraId="5FA812DB">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瓶</w:t>
                  </w:r>
                </w:p>
              </w:tc>
              <w:tc>
                <w:tcPr>
                  <w:tcW w:w="598" w:type="pct"/>
                  <w:vAlign w:val="center"/>
                </w:tcPr>
                <w:p w14:paraId="4DE84BE0">
                  <w:pPr>
                    <w:widowControl/>
                    <w:autoSpaceDE/>
                    <w:autoSpaceDN/>
                    <w:jc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lang w:val="en-US" w:bidi="ar-SA"/>
                    </w:rPr>
                    <w:t>1681</w:t>
                  </w:r>
                </w:p>
              </w:tc>
              <w:tc>
                <w:tcPr>
                  <w:tcW w:w="598" w:type="pct"/>
                  <w:vAlign w:val="center"/>
                </w:tcPr>
                <w:p w14:paraId="63B3B4ED">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1852</w:t>
                  </w:r>
                </w:p>
              </w:tc>
              <w:tc>
                <w:tcPr>
                  <w:tcW w:w="598" w:type="pct"/>
                  <w:vAlign w:val="center"/>
                </w:tcPr>
                <w:p w14:paraId="0030DF2A">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2013</w:t>
                  </w:r>
                </w:p>
              </w:tc>
              <w:tc>
                <w:tcPr>
                  <w:tcW w:w="598" w:type="pct"/>
                  <w:vAlign w:val="center"/>
                </w:tcPr>
                <w:p w14:paraId="6DEDF36B">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5546</w:t>
                  </w:r>
                </w:p>
              </w:tc>
              <w:tc>
                <w:tcPr>
                  <w:tcW w:w="963" w:type="dxa"/>
                  <w:vAlign w:val="center"/>
                </w:tcPr>
                <w:p w14:paraId="5CA053AC">
                  <w:pPr>
                    <w:widowControl/>
                    <w:jc w:val="center"/>
                    <w:textAlignment w:val="center"/>
                    <w:rPr>
                      <w:rFonts w:ascii="Times New Roman" w:hAnsi="Times New Roman" w:cs="Times New Roman"/>
                      <w:color w:val="000000" w:themeColor="text1"/>
                      <w:sz w:val="21"/>
                      <w:szCs w:val="21"/>
                      <w:lang w:bidi="ar"/>
                    </w:rPr>
                  </w:pPr>
                  <w:r>
                    <w:rPr>
                      <w:rFonts w:hint="eastAsia" w:ascii="Times New Roman" w:hAnsi="Times New Roman" w:cs="Times New Roman"/>
                      <w:color w:val="000000" w:themeColor="text1"/>
                      <w:sz w:val="21"/>
                      <w:szCs w:val="21"/>
                      <w:lang w:val="en-US" w:bidi="ar"/>
                    </w:rPr>
                    <w:t>+2013</w:t>
                  </w:r>
                </w:p>
              </w:tc>
            </w:tr>
            <w:tr w14:paraId="7A0D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85" w:type="pct"/>
                  <w:vAlign w:val="center"/>
                </w:tcPr>
                <w:p w14:paraId="375D1496">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26</w:t>
                  </w:r>
                </w:p>
              </w:tc>
              <w:tc>
                <w:tcPr>
                  <w:tcW w:w="673" w:type="pct"/>
                  <w:vAlign w:val="center"/>
                </w:tcPr>
                <w:p w14:paraId="08EB829B">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马来酸麦角新碱注射液</w:t>
                  </w:r>
                </w:p>
              </w:tc>
              <w:tc>
                <w:tcPr>
                  <w:tcW w:w="519" w:type="pct"/>
                  <w:vAlign w:val="center"/>
                </w:tcPr>
                <w:p w14:paraId="4DFE2C0E">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0.2mg*1ml/支</w:t>
                  </w:r>
                </w:p>
              </w:tc>
              <w:tc>
                <w:tcPr>
                  <w:tcW w:w="529" w:type="pct"/>
                  <w:vAlign w:val="center"/>
                </w:tcPr>
                <w:p w14:paraId="2AECF452">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支</w:t>
                  </w:r>
                </w:p>
              </w:tc>
              <w:tc>
                <w:tcPr>
                  <w:tcW w:w="598" w:type="pct"/>
                  <w:vAlign w:val="center"/>
                </w:tcPr>
                <w:p w14:paraId="5F65C275">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1872</w:t>
                  </w:r>
                </w:p>
              </w:tc>
              <w:tc>
                <w:tcPr>
                  <w:tcW w:w="598" w:type="pct"/>
                  <w:vAlign w:val="center"/>
                </w:tcPr>
                <w:p w14:paraId="5DE1E615">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1905</w:t>
                  </w:r>
                </w:p>
              </w:tc>
              <w:tc>
                <w:tcPr>
                  <w:tcW w:w="598" w:type="pct"/>
                  <w:vAlign w:val="center"/>
                </w:tcPr>
                <w:p w14:paraId="3E449CD4">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1820</w:t>
                  </w:r>
                </w:p>
              </w:tc>
              <w:tc>
                <w:tcPr>
                  <w:tcW w:w="598" w:type="pct"/>
                  <w:vAlign w:val="center"/>
                </w:tcPr>
                <w:p w14:paraId="69414BC0">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5597</w:t>
                  </w:r>
                </w:p>
              </w:tc>
              <w:tc>
                <w:tcPr>
                  <w:tcW w:w="963" w:type="dxa"/>
                  <w:vAlign w:val="center"/>
                </w:tcPr>
                <w:p w14:paraId="090403AF">
                  <w:pPr>
                    <w:widowControl/>
                    <w:jc w:val="center"/>
                    <w:textAlignment w:val="center"/>
                    <w:rPr>
                      <w:rFonts w:ascii="Times New Roman" w:hAnsi="Times New Roman" w:cs="Times New Roman"/>
                      <w:color w:val="000000" w:themeColor="text1"/>
                      <w:sz w:val="21"/>
                      <w:szCs w:val="21"/>
                      <w:u w:val="single"/>
                      <w:lang w:bidi="ar"/>
                    </w:rPr>
                  </w:pPr>
                  <w:r>
                    <w:rPr>
                      <w:rFonts w:hint="eastAsia" w:ascii="Times New Roman" w:hAnsi="Times New Roman" w:cs="Times New Roman"/>
                      <w:color w:val="000000" w:themeColor="text1"/>
                      <w:sz w:val="21"/>
                      <w:szCs w:val="21"/>
                      <w:lang w:val="en-US" w:bidi="ar"/>
                    </w:rPr>
                    <w:t>+</w:t>
                  </w:r>
                  <w:r>
                    <w:rPr>
                      <w:rFonts w:hint="eastAsia" w:ascii="Times New Roman" w:hAnsi="Times New Roman" w:cs="Times New Roman"/>
                      <w:color w:val="000000" w:themeColor="text1"/>
                      <w:sz w:val="21"/>
                      <w:szCs w:val="21"/>
                      <w:u w:val="single"/>
                      <w:lang w:val="en-US" w:bidi="ar"/>
                    </w:rPr>
                    <w:t>1820</w:t>
                  </w:r>
                </w:p>
              </w:tc>
            </w:tr>
            <w:tr w14:paraId="4E39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5" w:type="pct"/>
                  <w:vAlign w:val="center"/>
                </w:tcPr>
                <w:p w14:paraId="05038C51">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27</w:t>
                  </w:r>
                </w:p>
              </w:tc>
              <w:tc>
                <w:tcPr>
                  <w:tcW w:w="673" w:type="pct"/>
                  <w:vAlign w:val="center"/>
                </w:tcPr>
                <w:p w14:paraId="742AA0EA">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甘露醇注射液20%</w:t>
                  </w:r>
                </w:p>
              </w:tc>
              <w:tc>
                <w:tcPr>
                  <w:tcW w:w="519" w:type="pct"/>
                  <w:vAlign w:val="center"/>
                </w:tcPr>
                <w:p w14:paraId="226C38A1">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250ml*1瓶</w:t>
                  </w:r>
                </w:p>
              </w:tc>
              <w:tc>
                <w:tcPr>
                  <w:tcW w:w="529" w:type="pct"/>
                  <w:vAlign w:val="center"/>
                </w:tcPr>
                <w:p w14:paraId="2CC549A3">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瓶</w:t>
                  </w:r>
                </w:p>
              </w:tc>
              <w:tc>
                <w:tcPr>
                  <w:tcW w:w="598" w:type="pct"/>
                  <w:vAlign w:val="center"/>
                </w:tcPr>
                <w:p w14:paraId="27A6C131">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1597</w:t>
                  </w:r>
                </w:p>
              </w:tc>
              <w:tc>
                <w:tcPr>
                  <w:tcW w:w="598" w:type="pct"/>
                  <w:vAlign w:val="center"/>
                </w:tcPr>
                <w:p w14:paraId="434E3983">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1362</w:t>
                  </w:r>
                </w:p>
              </w:tc>
              <w:tc>
                <w:tcPr>
                  <w:tcW w:w="598" w:type="pct"/>
                  <w:vAlign w:val="center"/>
                </w:tcPr>
                <w:p w14:paraId="2B011FB9">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1733</w:t>
                  </w:r>
                </w:p>
              </w:tc>
              <w:tc>
                <w:tcPr>
                  <w:tcW w:w="598" w:type="pct"/>
                  <w:vAlign w:val="center"/>
                </w:tcPr>
                <w:p w14:paraId="652ABA78">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4692</w:t>
                  </w:r>
                </w:p>
              </w:tc>
              <w:tc>
                <w:tcPr>
                  <w:tcW w:w="963" w:type="dxa"/>
                  <w:vAlign w:val="center"/>
                </w:tcPr>
                <w:p w14:paraId="33408BA0">
                  <w:pPr>
                    <w:widowControl/>
                    <w:jc w:val="center"/>
                    <w:textAlignment w:val="center"/>
                    <w:rPr>
                      <w:rFonts w:ascii="Times New Roman" w:hAnsi="Times New Roman" w:cs="Times New Roman"/>
                      <w:color w:val="000000" w:themeColor="text1"/>
                      <w:sz w:val="21"/>
                      <w:szCs w:val="21"/>
                      <w:u w:val="single"/>
                      <w:lang w:bidi="ar"/>
                    </w:rPr>
                  </w:pPr>
                  <w:r>
                    <w:rPr>
                      <w:rFonts w:hint="eastAsia" w:ascii="Times New Roman" w:hAnsi="Times New Roman" w:cs="Times New Roman"/>
                      <w:color w:val="000000" w:themeColor="text1"/>
                      <w:sz w:val="21"/>
                      <w:szCs w:val="21"/>
                      <w:lang w:val="en-US" w:bidi="ar"/>
                    </w:rPr>
                    <w:t>+</w:t>
                  </w:r>
                  <w:r>
                    <w:rPr>
                      <w:rFonts w:hint="eastAsia" w:ascii="Times New Roman" w:hAnsi="Times New Roman" w:cs="Times New Roman"/>
                      <w:color w:val="000000" w:themeColor="text1"/>
                      <w:sz w:val="21"/>
                      <w:szCs w:val="21"/>
                      <w:u w:val="single"/>
                      <w:lang w:val="en-US" w:bidi="ar"/>
                    </w:rPr>
                    <w:t>1733</w:t>
                  </w:r>
                </w:p>
              </w:tc>
            </w:tr>
            <w:tr w14:paraId="4C9D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5" w:type="pct"/>
                  <w:vAlign w:val="center"/>
                </w:tcPr>
                <w:p w14:paraId="056D7F38">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28</w:t>
                  </w:r>
                </w:p>
              </w:tc>
              <w:tc>
                <w:tcPr>
                  <w:tcW w:w="673" w:type="pct"/>
                  <w:vAlign w:val="center"/>
                </w:tcPr>
                <w:p w14:paraId="54B64AB4">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维生素D滴剂</w:t>
                  </w:r>
                </w:p>
              </w:tc>
              <w:tc>
                <w:tcPr>
                  <w:tcW w:w="519" w:type="pct"/>
                  <w:vAlign w:val="center"/>
                </w:tcPr>
                <w:p w14:paraId="705CC08B">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400U*24粒/盒</w:t>
                  </w:r>
                </w:p>
              </w:tc>
              <w:tc>
                <w:tcPr>
                  <w:tcW w:w="529" w:type="pct"/>
                  <w:vAlign w:val="center"/>
                </w:tcPr>
                <w:p w14:paraId="31537694">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盒</w:t>
                  </w:r>
                </w:p>
              </w:tc>
              <w:tc>
                <w:tcPr>
                  <w:tcW w:w="598" w:type="pct"/>
                  <w:vAlign w:val="center"/>
                </w:tcPr>
                <w:p w14:paraId="69F8DCC3">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1395</w:t>
                  </w:r>
                </w:p>
              </w:tc>
              <w:tc>
                <w:tcPr>
                  <w:tcW w:w="598" w:type="pct"/>
                  <w:vAlign w:val="center"/>
                </w:tcPr>
                <w:p w14:paraId="0B3A0C3F">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1206</w:t>
                  </w:r>
                </w:p>
              </w:tc>
              <w:tc>
                <w:tcPr>
                  <w:tcW w:w="598" w:type="pct"/>
                  <w:vAlign w:val="center"/>
                </w:tcPr>
                <w:p w14:paraId="4CF47379">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1509</w:t>
                  </w:r>
                </w:p>
              </w:tc>
              <w:tc>
                <w:tcPr>
                  <w:tcW w:w="598" w:type="pct"/>
                  <w:vAlign w:val="center"/>
                </w:tcPr>
                <w:p w14:paraId="58FED7B3">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4110</w:t>
                  </w:r>
                </w:p>
              </w:tc>
              <w:tc>
                <w:tcPr>
                  <w:tcW w:w="963" w:type="dxa"/>
                  <w:vAlign w:val="center"/>
                </w:tcPr>
                <w:p w14:paraId="43A5D9B3">
                  <w:pPr>
                    <w:widowControl/>
                    <w:jc w:val="center"/>
                    <w:textAlignment w:val="center"/>
                    <w:rPr>
                      <w:rFonts w:ascii="Times New Roman" w:hAnsi="Times New Roman" w:cs="Times New Roman"/>
                      <w:color w:val="000000" w:themeColor="text1"/>
                      <w:sz w:val="21"/>
                      <w:szCs w:val="21"/>
                      <w:u w:val="single"/>
                      <w:lang w:bidi="ar"/>
                    </w:rPr>
                  </w:pPr>
                  <w:r>
                    <w:rPr>
                      <w:rFonts w:hint="eastAsia" w:ascii="Times New Roman" w:hAnsi="Times New Roman" w:cs="Times New Roman"/>
                      <w:color w:val="000000" w:themeColor="text1"/>
                      <w:sz w:val="21"/>
                      <w:szCs w:val="21"/>
                      <w:lang w:val="en-US" w:bidi="ar"/>
                    </w:rPr>
                    <w:t>+</w:t>
                  </w:r>
                  <w:r>
                    <w:rPr>
                      <w:rFonts w:hint="eastAsia" w:ascii="Times New Roman" w:hAnsi="Times New Roman" w:cs="Times New Roman"/>
                      <w:color w:val="000000" w:themeColor="text1"/>
                      <w:sz w:val="21"/>
                      <w:szCs w:val="21"/>
                      <w:u w:val="single"/>
                      <w:lang w:val="en-US" w:bidi="ar"/>
                    </w:rPr>
                    <w:t>1509</w:t>
                  </w:r>
                </w:p>
              </w:tc>
            </w:tr>
            <w:tr w14:paraId="7A21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5" w:type="pct"/>
                  <w:vAlign w:val="center"/>
                </w:tcPr>
                <w:p w14:paraId="51A5D228">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29</w:t>
                  </w:r>
                </w:p>
              </w:tc>
              <w:tc>
                <w:tcPr>
                  <w:tcW w:w="673" w:type="pct"/>
                  <w:vAlign w:val="center"/>
                </w:tcPr>
                <w:p w14:paraId="617C2331">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氨溴特罗口服溶液</w:t>
                  </w:r>
                </w:p>
              </w:tc>
              <w:tc>
                <w:tcPr>
                  <w:tcW w:w="519" w:type="pct"/>
                  <w:vAlign w:val="center"/>
                </w:tcPr>
                <w:p w14:paraId="725F06C2">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60ml/瓶</w:t>
                  </w:r>
                </w:p>
              </w:tc>
              <w:tc>
                <w:tcPr>
                  <w:tcW w:w="529" w:type="pct"/>
                  <w:vAlign w:val="center"/>
                </w:tcPr>
                <w:p w14:paraId="42933943">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瓶</w:t>
                  </w:r>
                </w:p>
              </w:tc>
              <w:tc>
                <w:tcPr>
                  <w:tcW w:w="598" w:type="pct"/>
                  <w:vAlign w:val="center"/>
                </w:tcPr>
                <w:p w14:paraId="250891B0">
                  <w:pPr>
                    <w:widowControl/>
                    <w:autoSpaceDE/>
                    <w:autoSpaceDN/>
                    <w:jc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u w:val="single"/>
                      <w:lang w:val="en-US" w:bidi="ar-SA"/>
                    </w:rPr>
                    <w:t>1695</w:t>
                  </w:r>
                </w:p>
              </w:tc>
              <w:tc>
                <w:tcPr>
                  <w:tcW w:w="598" w:type="pct"/>
                  <w:vAlign w:val="center"/>
                </w:tcPr>
                <w:p w14:paraId="54C9D850">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1325</w:t>
                  </w:r>
                </w:p>
              </w:tc>
              <w:tc>
                <w:tcPr>
                  <w:tcW w:w="598" w:type="pct"/>
                  <w:vAlign w:val="center"/>
                </w:tcPr>
                <w:p w14:paraId="5E7C6AEC">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2398</w:t>
                  </w:r>
                </w:p>
              </w:tc>
              <w:tc>
                <w:tcPr>
                  <w:tcW w:w="598" w:type="pct"/>
                  <w:vAlign w:val="center"/>
                </w:tcPr>
                <w:p w14:paraId="661ED538">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5418</w:t>
                  </w:r>
                </w:p>
              </w:tc>
              <w:tc>
                <w:tcPr>
                  <w:tcW w:w="963" w:type="dxa"/>
                  <w:vAlign w:val="center"/>
                </w:tcPr>
                <w:p w14:paraId="47E6BE5A">
                  <w:pPr>
                    <w:widowControl/>
                    <w:jc w:val="center"/>
                    <w:textAlignment w:val="center"/>
                    <w:rPr>
                      <w:rFonts w:ascii="Times New Roman" w:hAnsi="Times New Roman" w:cs="Times New Roman"/>
                      <w:color w:val="000000" w:themeColor="text1"/>
                      <w:sz w:val="21"/>
                      <w:szCs w:val="21"/>
                      <w:u w:val="single"/>
                      <w:lang w:bidi="ar"/>
                    </w:rPr>
                  </w:pPr>
                  <w:r>
                    <w:rPr>
                      <w:rFonts w:hint="eastAsia" w:ascii="Times New Roman" w:hAnsi="Times New Roman" w:cs="Times New Roman"/>
                      <w:color w:val="000000" w:themeColor="text1"/>
                      <w:sz w:val="21"/>
                      <w:szCs w:val="21"/>
                      <w:lang w:val="en-US" w:bidi="ar"/>
                    </w:rPr>
                    <w:t>+</w:t>
                  </w:r>
                  <w:r>
                    <w:rPr>
                      <w:rFonts w:hint="eastAsia" w:ascii="Times New Roman" w:hAnsi="Times New Roman" w:cs="Times New Roman"/>
                      <w:color w:val="000000" w:themeColor="text1"/>
                      <w:sz w:val="21"/>
                      <w:szCs w:val="21"/>
                      <w:u w:val="single"/>
                      <w:lang w:val="en-US" w:bidi="ar"/>
                    </w:rPr>
                    <w:t>2398</w:t>
                  </w:r>
                </w:p>
              </w:tc>
            </w:tr>
            <w:tr w14:paraId="4510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85" w:type="pct"/>
                  <w:vAlign w:val="center"/>
                </w:tcPr>
                <w:p w14:paraId="6EEA4E4A">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30</w:t>
                  </w:r>
                </w:p>
              </w:tc>
              <w:tc>
                <w:tcPr>
                  <w:tcW w:w="673" w:type="pct"/>
                  <w:vAlign w:val="center"/>
                </w:tcPr>
                <w:p w14:paraId="2DCA63F2">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消佳净</w:t>
                  </w:r>
                </w:p>
              </w:tc>
              <w:tc>
                <w:tcPr>
                  <w:tcW w:w="519" w:type="pct"/>
                  <w:vAlign w:val="center"/>
                </w:tcPr>
                <w:p w14:paraId="48690684">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400g*30</w:t>
                  </w:r>
                  <w:r>
                    <w:rPr>
                      <w:rFonts w:ascii="Times New Roman" w:hAnsi="Times New Roman" w:cs="Times New Roman"/>
                      <w:color w:val="000000" w:themeColor="text1"/>
                      <w:sz w:val="21"/>
                      <w:szCs w:val="21"/>
                      <w:lang w:val="en-US"/>
                    </w:rPr>
                    <w:t>袋</w:t>
                  </w:r>
                </w:p>
              </w:tc>
              <w:tc>
                <w:tcPr>
                  <w:tcW w:w="529" w:type="pct"/>
                  <w:vAlign w:val="center"/>
                </w:tcPr>
                <w:p w14:paraId="002BDA5C">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rPr>
                    <w:t>袋</w:t>
                  </w:r>
                </w:p>
              </w:tc>
              <w:tc>
                <w:tcPr>
                  <w:tcW w:w="598" w:type="pct"/>
                  <w:vAlign w:val="center"/>
                </w:tcPr>
                <w:p w14:paraId="2D64BE2F">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1020</w:t>
                  </w:r>
                </w:p>
              </w:tc>
              <w:tc>
                <w:tcPr>
                  <w:tcW w:w="598" w:type="pct"/>
                  <w:vAlign w:val="center"/>
                </w:tcPr>
                <w:p w14:paraId="0CE0E4D9">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1056</w:t>
                  </w:r>
                </w:p>
              </w:tc>
              <w:tc>
                <w:tcPr>
                  <w:tcW w:w="598" w:type="pct"/>
                  <w:vAlign w:val="center"/>
                </w:tcPr>
                <w:p w14:paraId="2AB81D8B">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1103</w:t>
                  </w:r>
                </w:p>
              </w:tc>
              <w:tc>
                <w:tcPr>
                  <w:tcW w:w="598" w:type="pct"/>
                  <w:vAlign w:val="center"/>
                </w:tcPr>
                <w:p w14:paraId="745226A0">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3179</w:t>
                  </w:r>
                </w:p>
              </w:tc>
              <w:tc>
                <w:tcPr>
                  <w:tcW w:w="963" w:type="dxa"/>
                  <w:vAlign w:val="center"/>
                </w:tcPr>
                <w:p w14:paraId="0EA0ACC2">
                  <w:pPr>
                    <w:widowControl/>
                    <w:jc w:val="center"/>
                    <w:textAlignment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bidi="ar"/>
                    </w:rPr>
                    <w:t>+</w:t>
                  </w:r>
                  <w:r>
                    <w:rPr>
                      <w:rFonts w:ascii="Times New Roman" w:hAnsi="Times New Roman" w:cs="Times New Roman"/>
                      <w:color w:val="000000" w:themeColor="text1"/>
                      <w:sz w:val="21"/>
                      <w:szCs w:val="21"/>
                      <w:lang w:val="en-US" w:bidi="ar"/>
                    </w:rPr>
                    <w:t>1103</w:t>
                  </w:r>
                </w:p>
              </w:tc>
            </w:tr>
            <w:tr w14:paraId="776C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85" w:type="pct"/>
                  <w:vAlign w:val="center"/>
                </w:tcPr>
                <w:p w14:paraId="1B6E82F0">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31</w:t>
                  </w:r>
                </w:p>
              </w:tc>
              <w:tc>
                <w:tcPr>
                  <w:tcW w:w="673" w:type="pct"/>
                  <w:vAlign w:val="center"/>
                </w:tcPr>
                <w:p w14:paraId="79A1E483">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医用酒精</w:t>
                  </w:r>
                  <w:r>
                    <w:rPr>
                      <w:rFonts w:hint="eastAsia" w:ascii="Times New Roman" w:hAnsi="Times New Roman" w:cs="Times New Roman"/>
                      <w:color w:val="000000" w:themeColor="text1"/>
                      <w:sz w:val="21"/>
                      <w:szCs w:val="21"/>
                      <w:u w:val="single"/>
                      <w:lang w:val="en-US" w:bidi="ar"/>
                    </w:rPr>
                    <w:t>（75%乙醇）</w:t>
                  </w:r>
                </w:p>
              </w:tc>
              <w:tc>
                <w:tcPr>
                  <w:tcW w:w="519" w:type="pct"/>
                  <w:vAlign w:val="center"/>
                </w:tcPr>
                <w:p w14:paraId="52C85FB0">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500ml</w:t>
                  </w:r>
                  <w:r>
                    <w:rPr>
                      <w:rFonts w:ascii="Times New Roman" w:hAnsi="Times New Roman" w:cs="Times New Roman"/>
                      <w:color w:val="000000" w:themeColor="text1"/>
                      <w:u w:val="single"/>
                      <w:lang w:val="en-US" w:bidi="ar-SA"/>
                    </w:rPr>
                    <w:t>/瓶</w:t>
                  </w:r>
                </w:p>
              </w:tc>
              <w:tc>
                <w:tcPr>
                  <w:tcW w:w="529" w:type="pct"/>
                  <w:vAlign w:val="center"/>
                </w:tcPr>
                <w:p w14:paraId="6C0BC491">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u w:val="single"/>
                      <w:lang w:val="en-US" w:bidi="ar-SA"/>
                    </w:rPr>
                    <w:t>瓶</w:t>
                  </w:r>
                </w:p>
              </w:tc>
              <w:tc>
                <w:tcPr>
                  <w:tcW w:w="598" w:type="pct"/>
                  <w:vAlign w:val="center"/>
                </w:tcPr>
                <w:p w14:paraId="1A80E284">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22900</w:t>
                  </w:r>
                </w:p>
              </w:tc>
              <w:tc>
                <w:tcPr>
                  <w:tcW w:w="598" w:type="pct"/>
                  <w:vAlign w:val="center"/>
                </w:tcPr>
                <w:p w14:paraId="5D7EB4E6">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23651</w:t>
                  </w:r>
                </w:p>
              </w:tc>
              <w:tc>
                <w:tcPr>
                  <w:tcW w:w="598" w:type="pct"/>
                  <w:vAlign w:val="center"/>
                </w:tcPr>
                <w:p w14:paraId="60EEB850">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11500</w:t>
                  </w:r>
                </w:p>
              </w:tc>
              <w:tc>
                <w:tcPr>
                  <w:tcW w:w="598" w:type="pct"/>
                  <w:vAlign w:val="center"/>
                </w:tcPr>
                <w:p w14:paraId="4121D052">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58051</w:t>
                  </w:r>
                </w:p>
              </w:tc>
              <w:tc>
                <w:tcPr>
                  <w:tcW w:w="963" w:type="dxa"/>
                  <w:vAlign w:val="center"/>
                </w:tcPr>
                <w:p w14:paraId="4941ABE9">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lang w:val="en-US" w:bidi="ar"/>
                    </w:rPr>
                    <w:t>+</w:t>
                  </w:r>
                  <w:r>
                    <w:rPr>
                      <w:rFonts w:ascii="Times New Roman" w:hAnsi="Times New Roman" w:cs="Times New Roman"/>
                      <w:color w:val="000000" w:themeColor="text1"/>
                      <w:sz w:val="21"/>
                      <w:szCs w:val="21"/>
                      <w:u w:val="single"/>
                      <w:lang w:val="en-US" w:bidi="ar"/>
                    </w:rPr>
                    <w:t>11500</w:t>
                  </w:r>
                </w:p>
              </w:tc>
            </w:tr>
            <w:tr w14:paraId="3A9B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85" w:type="pct"/>
                  <w:vAlign w:val="center"/>
                </w:tcPr>
                <w:p w14:paraId="27D2D88C">
                  <w:pPr>
                    <w:widowControl/>
                    <w:autoSpaceDE/>
                    <w:autoSpaceDN/>
                    <w:jc w:val="center"/>
                    <w:rPr>
                      <w:rFonts w:ascii="Times New Roman" w:hAnsi="Times New Roman" w:cs="Times New Roman"/>
                      <w:color w:val="000000" w:themeColor="text1"/>
                      <w:sz w:val="21"/>
                      <w:szCs w:val="21"/>
                      <w:u w:val="single"/>
                      <w:lang w:val="en-US" w:bidi="ar-SA"/>
                    </w:rPr>
                  </w:pPr>
                  <w:r>
                    <w:rPr>
                      <w:rFonts w:hint="eastAsia" w:ascii="Times New Roman" w:hAnsi="Times New Roman" w:cs="Times New Roman"/>
                      <w:color w:val="000000" w:themeColor="text1"/>
                      <w:sz w:val="21"/>
                      <w:szCs w:val="21"/>
                      <w:u w:val="single"/>
                      <w:lang w:val="en-US" w:bidi="ar-SA"/>
                    </w:rPr>
                    <w:t>32</w:t>
                  </w:r>
                </w:p>
              </w:tc>
              <w:tc>
                <w:tcPr>
                  <w:tcW w:w="673" w:type="pct"/>
                  <w:vAlign w:val="center"/>
                </w:tcPr>
                <w:p w14:paraId="5ECA4102">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免洗消毒液</w:t>
                  </w:r>
                  <w:r>
                    <w:rPr>
                      <w:rFonts w:hint="eastAsia" w:ascii="Times New Roman" w:hAnsi="Times New Roman" w:cs="Times New Roman"/>
                      <w:color w:val="000000" w:themeColor="text1"/>
                      <w:sz w:val="21"/>
                      <w:szCs w:val="21"/>
                      <w:u w:val="single"/>
                      <w:lang w:val="en-US" w:bidi="ar"/>
                    </w:rPr>
                    <w:t>（75%乙醇）</w:t>
                  </w:r>
                </w:p>
              </w:tc>
              <w:tc>
                <w:tcPr>
                  <w:tcW w:w="519" w:type="pct"/>
                  <w:vAlign w:val="center"/>
                </w:tcPr>
                <w:p w14:paraId="102CD4E1">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250</w:t>
                  </w:r>
                  <w:r>
                    <w:rPr>
                      <w:rFonts w:ascii="Times New Roman" w:hAnsi="Times New Roman" w:cs="Times New Roman"/>
                      <w:color w:val="000000" w:themeColor="text1"/>
                      <w:sz w:val="21"/>
                      <w:szCs w:val="21"/>
                      <w:u w:val="single"/>
                      <w:lang w:val="en-US" w:bidi="ar"/>
                    </w:rPr>
                    <w:t>mL</w:t>
                  </w:r>
                  <w:r>
                    <w:rPr>
                      <w:rFonts w:ascii="Times New Roman" w:hAnsi="Times New Roman" w:cs="Times New Roman"/>
                      <w:color w:val="000000" w:themeColor="text1"/>
                      <w:u w:val="single"/>
                      <w:lang w:val="en-US" w:bidi="ar-SA"/>
                    </w:rPr>
                    <w:t>/瓶</w:t>
                  </w:r>
                </w:p>
              </w:tc>
              <w:tc>
                <w:tcPr>
                  <w:tcW w:w="529" w:type="pct"/>
                  <w:vAlign w:val="center"/>
                </w:tcPr>
                <w:p w14:paraId="22EF657A">
                  <w:pPr>
                    <w:widowControl/>
                    <w:jc w:val="center"/>
                    <w:textAlignment w:val="center"/>
                    <w:rPr>
                      <w:rFonts w:ascii="Times New Roman" w:hAnsi="Times New Roman" w:cs="Times New Roman"/>
                      <w:color w:val="000000" w:themeColor="text1"/>
                      <w:u w:val="single"/>
                      <w:lang w:val="en-US" w:bidi="ar-SA"/>
                    </w:rPr>
                  </w:pPr>
                  <w:r>
                    <w:rPr>
                      <w:rFonts w:ascii="Times New Roman" w:hAnsi="Times New Roman" w:cs="Times New Roman"/>
                      <w:color w:val="000000" w:themeColor="text1"/>
                      <w:u w:val="single"/>
                      <w:lang w:val="en-US" w:bidi="ar-SA"/>
                    </w:rPr>
                    <w:t>瓶</w:t>
                  </w:r>
                </w:p>
              </w:tc>
              <w:tc>
                <w:tcPr>
                  <w:tcW w:w="598" w:type="pct"/>
                  <w:vAlign w:val="center"/>
                </w:tcPr>
                <w:p w14:paraId="5514B377">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3678</w:t>
                  </w:r>
                </w:p>
              </w:tc>
              <w:tc>
                <w:tcPr>
                  <w:tcW w:w="598" w:type="pct"/>
                  <w:vAlign w:val="center"/>
                </w:tcPr>
                <w:p w14:paraId="1635B446">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3521</w:t>
                  </w:r>
                </w:p>
              </w:tc>
              <w:tc>
                <w:tcPr>
                  <w:tcW w:w="598" w:type="pct"/>
                  <w:vAlign w:val="center"/>
                </w:tcPr>
                <w:p w14:paraId="2551A551">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1948</w:t>
                  </w:r>
                </w:p>
              </w:tc>
              <w:tc>
                <w:tcPr>
                  <w:tcW w:w="598" w:type="pct"/>
                  <w:vAlign w:val="center"/>
                </w:tcPr>
                <w:p w14:paraId="483FDDA1">
                  <w:pPr>
                    <w:widowControl/>
                    <w:jc w:val="center"/>
                    <w:textAlignment w:val="center"/>
                    <w:rPr>
                      <w:rFonts w:ascii="Times New Roman" w:hAnsi="Times New Roman" w:cs="Times New Roman"/>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9147</w:t>
                  </w:r>
                </w:p>
              </w:tc>
              <w:tc>
                <w:tcPr>
                  <w:tcW w:w="963" w:type="dxa"/>
                  <w:vAlign w:val="center"/>
                </w:tcPr>
                <w:p w14:paraId="55265516">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lang w:val="en-US" w:bidi="ar"/>
                    </w:rPr>
                    <w:t>+</w:t>
                  </w:r>
                  <w:r>
                    <w:rPr>
                      <w:rFonts w:ascii="Times New Roman" w:hAnsi="Times New Roman" w:cs="Times New Roman"/>
                      <w:color w:val="000000" w:themeColor="text1"/>
                      <w:sz w:val="21"/>
                      <w:szCs w:val="21"/>
                      <w:u w:val="single"/>
                      <w:lang w:val="en-US" w:bidi="ar"/>
                    </w:rPr>
                    <w:t>1948</w:t>
                  </w:r>
                </w:p>
              </w:tc>
            </w:tr>
            <w:tr w14:paraId="05A0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85" w:type="pct"/>
                  <w:vAlign w:val="center"/>
                </w:tcPr>
                <w:p w14:paraId="677075E9">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33</w:t>
                  </w:r>
                </w:p>
              </w:tc>
              <w:tc>
                <w:tcPr>
                  <w:tcW w:w="673" w:type="pct"/>
                  <w:vAlign w:val="center"/>
                </w:tcPr>
                <w:p w14:paraId="60686C4B">
                  <w:pPr>
                    <w:pStyle w:val="60"/>
                    <w:spacing w:before="60" w:after="60"/>
                    <w:rPr>
                      <w:rFonts w:ascii="Times New Roman" w:hAnsi="Times New Roman"/>
                      <w:color w:val="000000" w:themeColor="text1"/>
                      <w:u w:val="none"/>
                    </w:rPr>
                  </w:pPr>
                  <w:r>
                    <w:rPr>
                      <w:rFonts w:ascii="Times New Roman" w:hAnsi="Times New Roman"/>
                      <w:color w:val="000000" w:themeColor="text1"/>
                      <w:u w:val="none"/>
                    </w:rPr>
                    <w:t>电</w:t>
                  </w:r>
                </w:p>
              </w:tc>
              <w:tc>
                <w:tcPr>
                  <w:tcW w:w="519" w:type="pct"/>
                  <w:vAlign w:val="center"/>
                </w:tcPr>
                <w:p w14:paraId="210F74BB">
                  <w:pPr>
                    <w:pStyle w:val="60"/>
                    <w:spacing w:before="60" w:after="60"/>
                    <w:rPr>
                      <w:rFonts w:ascii="Times New Roman" w:hAnsi="Times New Roman"/>
                      <w:color w:val="000000" w:themeColor="text1"/>
                      <w:u w:val="none"/>
                    </w:rPr>
                  </w:pPr>
                  <w:r>
                    <w:rPr>
                      <w:rFonts w:ascii="Times New Roman" w:hAnsi="Times New Roman"/>
                      <w:color w:val="000000" w:themeColor="text1"/>
                      <w:u w:val="none"/>
                    </w:rPr>
                    <w:t>/</w:t>
                  </w:r>
                </w:p>
              </w:tc>
              <w:tc>
                <w:tcPr>
                  <w:tcW w:w="529" w:type="pct"/>
                  <w:vAlign w:val="center"/>
                </w:tcPr>
                <w:p w14:paraId="68FDEA98">
                  <w:pPr>
                    <w:widowControl/>
                    <w:jc w:val="center"/>
                    <w:textAlignment w:val="center"/>
                    <w:rPr>
                      <w:rFonts w:ascii="Times New Roman" w:hAnsi="Times New Roman" w:cs="Times New Roman"/>
                      <w:color w:val="000000" w:themeColor="text1"/>
                      <w:sz w:val="21"/>
                      <w:szCs w:val="21"/>
                      <w:lang w:val="en-US" w:bidi="ar"/>
                    </w:rPr>
                  </w:pPr>
                  <w:r>
                    <w:rPr>
                      <w:rStyle w:val="78"/>
                      <w:rFonts w:hint="default" w:ascii="Times New Roman" w:hAnsi="Times New Roman" w:cs="Times New Roman"/>
                      <w:color w:val="000000" w:themeColor="text1"/>
                      <w:u w:val="none"/>
                      <w:lang w:val="en-US" w:bidi="ar"/>
                    </w:rPr>
                    <w:t>度</w:t>
                  </w:r>
                </w:p>
              </w:tc>
              <w:tc>
                <w:tcPr>
                  <w:tcW w:w="598" w:type="pct"/>
                  <w:vAlign w:val="center"/>
                </w:tcPr>
                <w:p w14:paraId="701DC00D">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1205412</w:t>
                  </w:r>
                </w:p>
              </w:tc>
              <w:tc>
                <w:tcPr>
                  <w:tcW w:w="598" w:type="pct"/>
                  <w:vAlign w:val="center"/>
                </w:tcPr>
                <w:p w14:paraId="405DB612">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1</w:t>
                  </w:r>
                  <w:r>
                    <w:rPr>
                      <w:rFonts w:hint="eastAsia" w:ascii="Times New Roman" w:hAnsi="Times New Roman" w:cs="Times New Roman"/>
                      <w:color w:val="000000" w:themeColor="text1"/>
                      <w:sz w:val="21"/>
                      <w:szCs w:val="21"/>
                      <w:lang w:val="en-US" w:bidi="ar"/>
                    </w:rPr>
                    <w:t>163208</w:t>
                  </w:r>
                </w:p>
              </w:tc>
              <w:tc>
                <w:tcPr>
                  <w:tcW w:w="598" w:type="pct"/>
                  <w:vAlign w:val="center"/>
                </w:tcPr>
                <w:p w14:paraId="661EBA69">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1105213</w:t>
                  </w:r>
                </w:p>
              </w:tc>
              <w:tc>
                <w:tcPr>
                  <w:tcW w:w="598" w:type="pct"/>
                  <w:vAlign w:val="center"/>
                </w:tcPr>
                <w:p w14:paraId="43E2413C">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3473833</w:t>
                  </w:r>
                </w:p>
              </w:tc>
              <w:tc>
                <w:tcPr>
                  <w:tcW w:w="963" w:type="dxa"/>
                  <w:vAlign w:val="center"/>
                </w:tcPr>
                <w:p w14:paraId="59ED74A2">
                  <w:pPr>
                    <w:widowControl/>
                    <w:jc w:val="center"/>
                    <w:textAlignment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bidi="ar"/>
                    </w:rPr>
                    <w:t>+</w:t>
                  </w:r>
                  <w:r>
                    <w:rPr>
                      <w:rFonts w:ascii="Times New Roman" w:hAnsi="Times New Roman" w:cs="Times New Roman"/>
                      <w:color w:val="000000" w:themeColor="text1"/>
                      <w:sz w:val="21"/>
                      <w:szCs w:val="21"/>
                      <w:lang w:val="en-US" w:bidi="ar"/>
                    </w:rPr>
                    <w:t>1105213</w:t>
                  </w:r>
                </w:p>
              </w:tc>
            </w:tr>
            <w:tr w14:paraId="40C7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85" w:type="pct"/>
                  <w:vAlign w:val="center"/>
                </w:tcPr>
                <w:p w14:paraId="74FE77DA">
                  <w:pPr>
                    <w:widowControl/>
                    <w:autoSpaceDE/>
                    <w:autoSpaceDN/>
                    <w:jc w:val="center"/>
                    <w:rPr>
                      <w:rFonts w:ascii="Times New Roman" w:hAnsi="Times New Roman" w:cs="Times New Roman"/>
                      <w:color w:val="000000" w:themeColor="text1"/>
                      <w:sz w:val="21"/>
                      <w:szCs w:val="21"/>
                      <w:lang w:val="en-US" w:bidi="ar-SA"/>
                    </w:rPr>
                  </w:pPr>
                  <w:r>
                    <w:rPr>
                      <w:rFonts w:hint="eastAsia" w:ascii="Times New Roman" w:hAnsi="Times New Roman" w:cs="Times New Roman"/>
                      <w:color w:val="000000" w:themeColor="text1"/>
                      <w:sz w:val="21"/>
                      <w:szCs w:val="21"/>
                      <w:lang w:val="en-US" w:bidi="ar-SA"/>
                    </w:rPr>
                    <w:t>34</w:t>
                  </w:r>
                </w:p>
              </w:tc>
              <w:tc>
                <w:tcPr>
                  <w:tcW w:w="673" w:type="pct"/>
                  <w:vAlign w:val="center"/>
                </w:tcPr>
                <w:p w14:paraId="6148DAC8">
                  <w:pPr>
                    <w:pStyle w:val="60"/>
                    <w:spacing w:before="60" w:after="60"/>
                    <w:rPr>
                      <w:rFonts w:ascii="Times New Roman" w:hAnsi="Times New Roman"/>
                      <w:color w:val="000000" w:themeColor="text1"/>
                      <w:u w:val="none"/>
                    </w:rPr>
                  </w:pPr>
                  <w:r>
                    <w:rPr>
                      <w:rFonts w:ascii="Times New Roman" w:hAnsi="Times New Roman"/>
                      <w:color w:val="000000" w:themeColor="text1"/>
                      <w:u w:val="none"/>
                    </w:rPr>
                    <w:t>水</w:t>
                  </w:r>
                </w:p>
              </w:tc>
              <w:tc>
                <w:tcPr>
                  <w:tcW w:w="519" w:type="pct"/>
                  <w:vAlign w:val="center"/>
                </w:tcPr>
                <w:p w14:paraId="42FE1CC6">
                  <w:pPr>
                    <w:pStyle w:val="60"/>
                    <w:spacing w:before="60" w:after="60"/>
                    <w:rPr>
                      <w:rFonts w:ascii="Times New Roman" w:hAnsi="Times New Roman"/>
                      <w:color w:val="000000" w:themeColor="text1"/>
                      <w:u w:val="none"/>
                    </w:rPr>
                  </w:pPr>
                  <w:r>
                    <w:rPr>
                      <w:rFonts w:ascii="Times New Roman" w:hAnsi="Times New Roman"/>
                      <w:color w:val="000000" w:themeColor="text1"/>
                      <w:u w:val="none"/>
                    </w:rPr>
                    <w:t>/</w:t>
                  </w:r>
                </w:p>
              </w:tc>
              <w:tc>
                <w:tcPr>
                  <w:tcW w:w="529" w:type="pct"/>
                  <w:vAlign w:val="center"/>
                </w:tcPr>
                <w:p w14:paraId="29A2A3E9">
                  <w:pPr>
                    <w:pStyle w:val="60"/>
                    <w:spacing w:before="60" w:after="60"/>
                    <w:rPr>
                      <w:rFonts w:ascii="Times New Roman" w:hAnsi="Times New Roman"/>
                      <w:color w:val="000000" w:themeColor="text1"/>
                      <w:u w:val="none"/>
                    </w:rPr>
                  </w:pPr>
                  <w:r>
                    <w:rPr>
                      <w:rFonts w:ascii="Times New Roman" w:hAnsi="Times New Roman"/>
                      <w:color w:val="000000" w:themeColor="text1"/>
                      <w:u w:val="none"/>
                    </w:rPr>
                    <w:t>t</w:t>
                  </w:r>
                </w:p>
              </w:tc>
              <w:tc>
                <w:tcPr>
                  <w:tcW w:w="598" w:type="pct"/>
                  <w:vAlign w:val="center"/>
                </w:tcPr>
                <w:p w14:paraId="5F76DC29">
                  <w:pPr>
                    <w:pStyle w:val="60"/>
                    <w:spacing w:before="60" w:after="60"/>
                    <w:rPr>
                      <w:rFonts w:ascii="Times New Roman" w:hAnsi="Times New Roman"/>
                      <w:color w:val="000000" w:themeColor="text1"/>
                      <w:u w:val="none"/>
                    </w:rPr>
                  </w:pPr>
                  <w:r>
                    <w:rPr>
                      <w:rFonts w:ascii="Times New Roman" w:hAnsi="Times New Roman"/>
                      <w:color w:val="000000" w:themeColor="text1"/>
                      <w:u w:val="none"/>
                    </w:rPr>
                    <w:t>76736.7</w:t>
                  </w:r>
                </w:p>
              </w:tc>
              <w:tc>
                <w:tcPr>
                  <w:tcW w:w="598" w:type="pct"/>
                  <w:vAlign w:val="center"/>
                </w:tcPr>
                <w:p w14:paraId="6DE90BC6">
                  <w:pPr>
                    <w:pStyle w:val="60"/>
                    <w:spacing w:before="60" w:after="60"/>
                    <w:rPr>
                      <w:rFonts w:ascii="Times New Roman" w:hAnsi="Times New Roman"/>
                      <w:color w:val="000000" w:themeColor="text1"/>
                      <w:u w:val="none"/>
                    </w:rPr>
                  </w:pPr>
                  <w:r>
                    <w:rPr>
                      <w:rFonts w:hint="eastAsia" w:ascii="Times New Roman" w:hAnsi="Times New Roman"/>
                      <w:color w:val="000000" w:themeColor="text1"/>
                      <w:u w:val="none"/>
                    </w:rPr>
                    <w:t>73419.75</w:t>
                  </w:r>
                </w:p>
              </w:tc>
              <w:tc>
                <w:tcPr>
                  <w:tcW w:w="598" w:type="pct"/>
                  <w:vAlign w:val="center"/>
                </w:tcPr>
                <w:p w14:paraId="2075A6F0">
                  <w:pPr>
                    <w:pStyle w:val="60"/>
                    <w:spacing w:before="60" w:after="60"/>
                    <w:rPr>
                      <w:rFonts w:ascii="Times New Roman" w:hAnsi="Times New Roman"/>
                      <w:color w:val="000000" w:themeColor="text1"/>
                      <w:u w:val="none"/>
                    </w:rPr>
                  </w:pPr>
                  <w:r>
                    <w:rPr>
                      <w:rFonts w:ascii="Times New Roman" w:hAnsi="Times New Roman"/>
                      <w:color w:val="000000" w:themeColor="text1"/>
                      <w:u w:val="none"/>
                    </w:rPr>
                    <w:t>48169.66</w:t>
                  </w:r>
                </w:p>
              </w:tc>
              <w:tc>
                <w:tcPr>
                  <w:tcW w:w="598" w:type="pct"/>
                  <w:vAlign w:val="center"/>
                </w:tcPr>
                <w:p w14:paraId="5C921057">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198326.11</w:t>
                  </w:r>
                </w:p>
              </w:tc>
              <w:tc>
                <w:tcPr>
                  <w:tcW w:w="963" w:type="dxa"/>
                  <w:vAlign w:val="center"/>
                </w:tcPr>
                <w:p w14:paraId="6A89BA8F">
                  <w:pPr>
                    <w:pStyle w:val="60"/>
                    <w:spacing w:before="60" w:after="60"/>
                    <w:rPr>
                      <w:rFonts w:ascii="Times New Roman" w:hAnsi="Times New Roman"/>
                      <w:color w:val="000000" w:themeColor="text1"/>
                    </w:rPr>
                  </w:pPr>
                  <w:r>
                    <w:rPr>
                      <w:rFonts w:hint="eastAsia" w:ascii="Times New Roman" w:hAnsi="Times New Roman"/>
                      <w:color w:val="000000" w:themeColor="text1"/>
                      <w:lang w:bidi="ar"/>
                    </w:rPr>
                    <w:t>+</w:t>
                  </w:r>
                  <w:r>
                    <w:rPr>
                      <w:rFonts w:ascii="Times New Roman" w:hAnsi="Times New Roman"/>
                      <w:color w:val="000000" w:themeColor="text1"/>
                      <w:u w:val="none"/>
                    </w:rPr>
                    <w:t>48169.66</w:t>
                  </w:r>
                </w:p>
              </w:tc>
            </w:tr>
            <w:tr w14:paraId="7756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000" w:type="pct"/>
                  <w:gridSpan w:val="9"/>
                  <w:vAlign w:val="center"/>
                </w:tcPr>
                <w:p w14:paraId="2D9CE6FF">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u w:val="single"/>
                      <w:lang w:val="en-US" w:bidi="ar"/>
                    </w:rPr>
                    <w:t>备注：本项目</w:t>
                  </w:r>
                  <w:r>
                    <w:rPr>
                      <w:rFonts w:hint="eastAsia" w:ascii="Times New Roman" w:hAnsi="Times New Roman" w:cs="Times New Roman"/>
                      <w:color w:val="000000" w:themeColor="text1"/>
                      <w:sz w:val="21"/>
                      <w:szCs w:val="21"/>
                      <w:u w:val="single"/>
                      <w:lang w:val="en-US" w:bidi="ar-SA"/>
                    </w:rPr>
                    <w:t>不单独设置供氧中心，</w:t>
                  </w:r>
                  <w:r>
                    <w:rPr>
                      <w:rFonts w:ascii="Times New Roman" w:hAnsi="Times New Roman" w:cs="Times New Roman"/>
                      <w:color w:val="000000" w:themeColor="text1"/>
                      <w:sz w:val="21"/>
                      <w:szCs w:val="21"/>
                      <w:u w:val="single"/>
                      <w:lang w:val="en-US" w:bidi="ar-SA"/>
                    </w:rPr>
                    <w:t>依托</w:t>
                  </w:r>
                  <w:r>
                    <w:rPr>
                      <w:rFonts w:hint="eastAsia" w:ascii="Times New Roman" w:hAnsi="Times New Roman" w:cs="Times New Roman"/>
                      <w:color w:val="000000" w:themeColor="text1"/>
                      <w:sz w:val="21"/>
                      <w:szCs w:val="21"/>
                      <w:u w:val="single"/>
                      <w:lang w:val="en-US" w:bidi="ar-SA"/>
                    </w:rPr>
                    <w:t>医院制氧机供氧，无液氧存放；本项目依托原有项目的柴油发电机，无柴油存放。</w:t>
                  </w:r>
                </w:p>
              </w:tc>
            </w:tr>
          </w:tbl>
          <w:p w14:paraId="4EE298D2">
            <w:pPr>
              <w:autoSpaceDE/>
              <w:autoSpaceDN/>
              <w:spacing w:line="360" w:lineRule="auto"/>
              <w:ind w:firstLine="482" w:firstLineChars="200"/>
              <w:jc w:val="both"/>
              <w:rPr>
                <w:rFonts w:ascii="Times New Roman" w:hAnsi="Times New Roman" w:cs="Times New Roman"/>
                <w:b/>
                <w:bCs/>
                <w:color w:val="000000" w:themeColor="text1"/>
                <w:kern w:val="2"/>
                <w:sz w:val="24"/>
                <w:szCs w:val="24"/>
                <w:lang w:val="en-US" w:bidi="ar-SA"/>
              </w:rPr>
            </w:pPr>
            <w:r>
              <w:rPr>
                <w:rFonts w:hint="eastAsia" w:ascii="Times New Roman" w:hAnsi="Times New Roman" w:cs="Times New Roman"/>
                <w:b/>
                <w:bCs/>
                <w:color w:val="000000" w:themeColor="text1"/>
                <w:kern w:val="2"/>
                <w:sz w:val="24"/>
                <w:szCs w:val="24"/>
                <w:lang w:val="en-US" w:bidi="ar-SA"/>
              </w:rPr>
              <w:t>6</w:t>
            </w:r>
            <w:r>
              <w:rPr>
                <w:rFonts w:ascii="Times New Roman" w:hAnsi="Times New Roman" w:cs="Times New Roman"/>
                <w:b/>
                <w:bCs/>
                <w:color w:val="000000" w:themeColor="text1"/>
                <w:kern w:val="2"/>
                <w:sz w:val="24"/>
                <w:szCs w:val="24"/>
                <w:lang w:val="en-US" w:bidi="ar-SA"/>
              </w:rPr>
              <w:t>、公用工程</w:t>
            </w:r>
          </w:p>
          <w:p w14:paraId="660DA1CE">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（1）给排水</w:t>
            </w:r>
          </w:p>
          <w:p w14:paraId="34053CCB">
            <w:pPr>
              <w:autoSpaceDE/>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本项目采用激光打印出片，不采用原始的洗片方式，无洗片废水产生；项目不设置放射科，无放射性废水产生；</w:t>
            </w:r>
            <w:r>
              <w:rPr>
                <w:rFonts w:hint="eastAsia" w:ascii="Times New Roman" w:hAnsi="Times New Roman" w:cs="Times New Roman"/>
                <w:color w:val="000000" w:themeColor="text1"/>
                <w:kern w:val="2"/>
                <w:sz w:val="24"/>
                <w:szCs w:val="24"/>
                <w:u w:val="single"/>
                <w:lang w:val="en-US" w:bidi="ar-SA"/>
              </w:rPr>
              <w:t>本项目仅在传染病楼设置痰检室，业务综合楼检验工作依托原有急诊医技楼（原名门诊楼）检验科室；</w:t>
            </w:r>
            <w:r>
              <w:rPr>
                <w:rFonts w:hint="eastAsia" w:ascii="Times New Roman" w:hAnsi="Times New Roman" w:cs="Times New Roman"/>
                <w:color w:val="000000" w:themeColor="text1"/>
                <w:kern w:val="2"/>
                <w:sz w:val="24"/>
                <w:szCs w:val="24"/>
                <w:lang w:val="en-US" w:bidi="ar-SA"/>
              </w:rPr>
              <w:t>本项目传染病楼不设置手术室，传染病人手术均转运至桂林市第三人民医院进行救治</w:t>
            </w:r>
            <w:r>
              <w:rPr>
                <w:rFonts w:hint="eastAsia" w:ascii="Times New Roman" w:hAnsi="Times New Roman" w:cs="Times New Roman" w:eastAsiaTheme="minorEastAsia"/>
                <w:color w:val="000000" w:themeColor="text1"/>
                <w:kern w:val="2"/>
                <w:sz w:val="24"/>
                <w:szCs w:val="24"/>
                <w:lang w:val="en-US" w:bidi="ar-SA"/>
              </w:rPr>
              <w:t>；项目传染病楼单独设置洗衣机，传染病楼洗衣废水经传染病预处理设施处理后</w:t>
            </w:r>
            <w:r>
              <w:rPr>
                <w:rFonts w:hint="eastAsia" w:ascii="Times New Roman" w:hAnsi="Times New Roman" w:cs="Times New Roman"/>
                <w:color w:val="000000" w:themeColor="text1"/>
                <w:kern w:val="2"/>
                <w:sz w:val="24"/>
                <w:szCs w:val="24"/>
                <w:lang w:val="en-US" w:bidi="ar-SA"/>
              </w:rPr>
              <w:t>进入综合污水处理站处理，</w:t>
            </w:r>
            <w:r>
              <w:rPr>
                <w:rFonts w:hint="eastAsia" w:ascii="Times New Roman" w:hAnsi="Times New Roman" w:cs="Times New Roman" w:eastAsiaTheme="minorEastAsia"/>
                <w:color w:val="000000" w:themeColor="text1"/>
                <w:kern w:val="2"/>
                <w:sz w:val="24"/>
                <w:szCs w:val="24"/>
                <w:lang w:val="en-US" w:bidi="ar-SA"/>
              </w:rPr>
              <w:t>业务综合楼依托医院原有洗衣房，业务综合楼洗衣废水经</w:t>
            </w:r>
            <w:r>
              <w:rPr>
                <w:rFonts w:hint="eastAsia" w:ascii="Times New Roman" w:hAnsi="Times New Roman" w:cs="Times New Roman"/>
                <w:color w:val="000000" w:themeColor="text1"/>
                <w:kern w:val="2"/>
                <w:sz w:val="24"/>
                <w:szCs w:val="24"/>
                <w:lang w:val="en-US" w:bidi="ar-SA"/>
              </w:rPr>
              <w:t>综合污水处理站处理。</w:t>
            </w:r>
          </w:p>
          <w:p w14:paraId="47FA133C">
            <w:pPr>
              <w:autoSpaceDE/>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项目职工为内部调配，全院无新增职工，调配后传染病楼职工产生的生活污水与传染废水无法分开收集，均作为传染病房废水进入传染病预处理设施，故本项目计算传染病楼员工生活污水量，原有项目污水量将会相应减少该部分职工的废水量；业务综合楼职工废水进入综合污水处理站处理，本项目无需计算该部分职工用排水，已包含在原有项目内。</w:t>
            </w:r>
          </w:p>
          <w:p w14:paraId="5FC0B651">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综上所述，本项目用排水主要包括新增住院病人产生的医疗用排水、门诊用排水、保洁用排水、洗衣用排水、住院病人食堂用排水、传染病楼职工用排水，</w:t>
            </w:r>
            <w:r>
              <w:rPr>
                <w:rFonts w:ascii="Times New Roman" w:hAnsi="Times New Roman" w:cs="Times New Roman"/>
                <w:color w:val="000000" w:themeColor="text1"/>
                <w:kern w:val="2"/>
                <w:sz w:val="24"/>
                <w:szCs w:val="24"/>
                <w:lang w:val="en-US" w:bidi="ar-SA"/>
              </w:rPr>
              <w:t>各用水单元及</w:t>
            </w:r>
            <w:r>
              <w:rPr>
                <w:rFonts w:hint="eastAsia" w:ascii="Times New Roman" w:hAnsi="Times New Roman" w:cs="Times New Roman"/>
                <w:color w:val="000000" w:themeColor="text1"/>
                <w:kern w:val="2"/>
                <w:sz w:val="24"/>
                <w:szCs w:val="24"/>
                <w:lang w:val="en-US" w:bidi="ar-SA"/>
              </w:rPr>
              <w:t>用排</w:t>
            </w:r>
            <w:r>
              <w:rPr>
                <w:rFonts w:ascii="Times New Roman" w:hAnsi="Times New Roman" w:cs="Times New Roman"/>
                <w:color w:val="000000" w:themeColor="text1"/>
                <w:kern w:val="2"/>
                <w:sz w:val="24"/>
                <w:szCs w:val="24"/>
                <w:lang w:val="en-US" w:bidi="ar-SA"/>
              </w:rPr>
              <w:t>水量如下：</w:t>
            </w:r>
            <w:r>
              <w:rPr>
                <w:rFonts w:hint="eastAsia" w:ascii="Times New Roman" w:hAnsi="Times New Roman" w:cs="Times New Roman"/>
                <w:color w:val="000000" w:themeColor="text1"/>
                <w:kern w:val="2"/>
                <w:sz w:val="24"/>
                <w:szCs w:val="24"/>
                <w:lang w:val="en-US" w:bidi="ar-SA"/>
              </w:rPr>
              <w:t xml:space="preserve"> </w:t>
            </w:r>
          </w:p>
          <w:p w14:paraId="7F1F333D">
            <w:pPr>
              <w:pStyle w:val="39"/>
              <w:autoSpaceDE/>
              <w:autoSpaceDN/>
              <w:spacing w:line="360" w:lineRule="auto"/>
              <w:ind w:left="480"/>
              <w:jc w:val="both"/>
              <w:rPr>
                <w:rFonts w:ascii="Times New Roman" w:hAnsi="Times New Roman" w:cs="Times New Roman"/>
                <w:color w:val="000000" w:themeColor="text1"/>
                <w:kern w:val="2"/>
                <w:sz w:val="24"/>
                <w:szCs w:val="24"/>
                <w:lang w:val="en-US" w:bidi="ar-SA"/>
              </w:rPr>
            </w:pPr>
            <w:r>
              <w:rPr>
                <w:rFonts w:hint="eastAsia"/>
                <w:color w:val="000000" w:themeColor="text1"/>
                <w:kern w:val="2"/>
                <w:sz w:val="24"/>
                <w:szCs w:val="24"/>
                <w:lang w:val="en-US" w:bidi="ar-SA"/>
              </w:rPr>
              <w:t>①</w:t>
            </w:r>
            <w:r>
              <w:rPr>
                <w:rFonts w:ascii="Times New Roman" w:hAnsi="Times New Roman" w:cs="Times New Roman"/>
                <w:color w:val="000000" w:themeColor="text1"/>
                <w:kern w:val="2"/>
                <w:sz w:val="24"/>
                <w:szCs w:val="24"/>
                <w:lang w:val="en-US" w:bidi="ar-SA"/>
              </w:rPr>
              <w:t>住院病房用排水</w:t>
            </w:r>
          </w:p>
          <w:p w14:paraId="6AFDA7FD">
            <w:pPr>
              <w:autoSpaceDE/>
              <w:autoSpaceDN/>
              <w:spacing w:line="360" w:lineRule="auto"/>
              <w:ind w:firstLine="480"/>
              <w:jc w:val="both"/>
              <w:rPr>
                <w:rFonts w:ascii="Times New Roman" w:hAnsi="Times New Roman" w:cs="Times New Roman"/>
                <w:color w:val="000000" w:themeColor="text1"/>
                <w:kern w:val="2"/>
                <w:sz w:val="24"/>
                <w:szCs w:val="24"/>
                <w:u w:val="single"/>
                <w:lang w:val="en-US" w:bidi="ar-SA"/>
              </w:rPr>
            </w:pPr>
            <w:r>
              <w:rPr>
                <w:rFonts w:ascii="Times New Roman" w:hAnsi="Times New Roman" w:cs="Times New Roman"/>
                <w:color w:val="000000" w:themeColor="text1"/>
                <w:kern w:val="2"/>
                <w:sz w:val="24"/>
                <w:szCs w:val="24"/>
                <w:u w:val="single"/>
                <w:lang w:val="en-US" w:bidi="ar-SA"/>
              </w:rPr>
              <w:t>按照《医院污水处理技术指南》( 环发</w:t>
            </w:r>
            <w:r>
              <w:rPr>
                <w:rFonts w:hint="eastAsia" w:ascii="Times New Roman" w:hAnsi="Times New Roman" w:cs="Times New Roman"/>
                <w:color w:val="000000" w:themeColor="text1"/>
                <w:kern w:val="2"/>
                <w:sz w:val="24"/>
                <w:szCs w:val="24"/>
                <w:u w:val="single"/>
                <w:lang w:val="en-US" w:bidi="ar-SA"/>
              </w:rPr>
              <w:t>〔2003〕197号</w:t>
            </w:r>
            <w:r>
              <w:rPr>
                <w:rFonts w:ascii="Times New Roman" w:hAnsi="Times New Roman" w:cs="Times New Roman"/>
                <w:color w:val="000000" w:themeColor="text1"/>
                <w:kern w:val="2"/>
                <w:sz w:val="24"/>
                <w:szCs w:val="24"/>
                <w:u w:val="single"/>
                <w:lang w:val="en-US" w:bidi="ar-SA"/>
              </w:rPr>
              <w:t>2003-12-10实施)要求，无实测数据时</w:t>
            </w:r>
            <w:r>
              <w:rPr>
                <w:rFonts w:hint="eastAsia" w:ascii="Times New Roman" w:hAnsi="Times New Roman" w:cs="Times New Roman"/>
                <w:color w:val="000000" w:themeColor="text1"/>
                <w:kern w:val="2"/>
                <w:sz w:val="24"/>
                <w:szCs w:val="24"/>
                <w:u w:val="single"/>
                <w:lang w:val="en-US" w:bidi="ar-SA"/>
              </w:rPr>
              <w:t>设备齐全的大型医院或500床以上医院：平均污水量为400～600L/</w:t>
            </w:r>
            <w:r>
              <w:rPr>
                <w:rFonts w:ascii="Times New Roman" w:hAnsi="Times New Roman" w:cs="Times New Roman"/>
                <w:color w:val="000000" w:themeColor="text1"/>
                <w:kern w:val="2"/>
                <w:sz w:val="24"/>
                <w:szCs w:val="24"/>
                <w:u w:val="single"/>
                <w:lang w:val="en-US" w:bidi="ar-SA"/>
              </w:rPr>
              <w:t>(床•d)计算，</w:t>
            </w:r>
            <w:r>
              <w:rPr>
                <w:rFonts w:hint="eastAsia" w:ascii="Times New Roman" w:hAnsi="Times New Roman"/>
                <w:color w:val="000000" w:themeColor="text1"/>
                <w:sz w:val="24"/>
                <w:szCs w:val="24"/>
                <w:u w:val="single"/>
                <w:lang w:val="en-US"/>
              </w:rPr>
              <w:t>本项目传染病楼布设10张病床，业务综合楼布设194张病床，</w:t>
            </w:r>
            <w:r>
              <w:rPr>
                <w:rFonts w:ascii="Times New Roman" w:hAnsi="Times New Roman" w:cs="Times New Roman"/>
                <w:color w:val="000000" w:themeColor="text1"/>
                <w:kern w:val="2"/>
                <w:sz w:val="24"/>
                <w:szCs w:val="24"/>
                <w:u w:val="single"/>
                <w:lang w:val="en-US" w:bidi="ar-SA"/>
              </w:rPr>
              <w:t>日产生污水量按照</w:t>
            </w:r>
            <w:r>
              <w:rPr>
                <w:rFonts w:hint="eastAsia" w:ascii="Times New Roman" w:hAnsi="Times New Roman" w:cs="Times New Roman"/>
                <w:color w:val="000000" w:themeColor="text1"/>
                <w:kern w:val="2"/>
                <w:sz w:val="24"/>
                <w:szCs w:val="24"/>
                <w:u w:val="single"/>
                <w:lang w:val="en-US" w:bidi="ar-SA"/>
              </w:rPr>
              <w:t>400</w:t>
            </w:r>
            <w:r>
              <w:rPr>
                <w:rFonts w:ascii="Times New Roman" w:hAnsi="Times New Roman" w:cs="Times New Roman"/>
                <w:color w:val="000000" w:themeColor="text1"/>
                <w:kern w:val="2"/>
                <w:sz w:val="24"/>
                <w:szCs w:val="24"/>
                <w:u w:val="single"/>
                <w:lang w:val="en-US" w:bidi="ar-SA"/>
              </w:rPr>
              <w:t>L/（床•d）计算，</w:t>
            </w:r>
            <w:r>
              <w:rPr>
                <w:rFonts w:hint="eastAsia" w:ascii="Times New Roman" w:hAnsi="Times New Roman" w:cs="Times New Roman"/>
                <w:color w:val="000000" w:themeColor="text1"/>
                <w:kern w:val="2"/>
                <w:sz w:val="24"/>
                <w:szCs w:val="24"/>
                <w:u w:val="single"/>
                <w:lang w:val="en-US" w:bidi="ar-SA"/>
              </w:rPr>
              <w:t>则</w:t>
            </w:r>
            <w:r>
              <w:rPr>
                <w:rFonts w:ascii="Times New Roman" w:hAnsi="Times New Roman" w:cs="Times New Roman"/>
                <w:color w:val="000000" w:themeColor="text1"/>
                <w:kern w:val="2"/>
                <w:sz w:val="24"/>
                <w:szCs w:val="24"/>
                <w:u w:val="single"/>
                <w:lang w:val="en-US" w:bidi="ar-SA"/>
              </w:rPr>
              <w:t>本项目</w:t>
            </w:r>
            <w:r>
              <w:rPr>
                <w:rFonts w:hint="eastAsia" w:ascii="Times New Roman" w:hAnsi="Times New Roman"/>
                <w:color w:val="000000" w:themeColor="text1"/>
                <w:sz w:val="24"/>
                <w:szCs w:val="24"/>
                <w:u w:val="single"/>
                <w:lang w:val="en-US"/>
              </w:rPr>
              <w:t>传染病楼</w:t>
            </w:r>
            <w:r>
              <w:rPr>
                <w:rFonts w:ascii="Times New Roman" w:hAnsi="Times New Roman" w:cs="Times New Roman"/>
                <w:color w:val="000000" w:themeColor="text1"/>
                <w:kern w:val="2"/>
                <w:sz w:val="24"/>
                <w:szCs w:val="24"/>
                <w:u w:val="single"/>
                <w:lang w:val="en-US" w:bidi="ar-SA"/>
              </w:rPr>
              <w:t>住院病房</w:t>
            </w:r>
            <w:r>
              <w:rPr>
                <w:rFonts w:hint="eastAsia" w:ascii="Times New Roman" w:hAnsi="Times New Roman" w:cs="Times New Roman"/>
                <w:color w:val="000000" w:themeColor="text1"/>
                <w:kern w:val="2"/>
                <w:sz w:val="24"/>
                <w:szCs w:val="24"/>
                <w:u w:val="single"/>
                <w:lang w:val="en-US" w:bidi="ar-SA"/>
              </w:rPr>
              <w:t>污水</w:t>
            </w:r>
            <w:r>
              <w:rPr>
                <w:rFonts w:ascii="Times New Roman" w:hAnsi="Times New Roman" w:cs="Times New Roman"/>
                <w:color w:val="000000" w:themeColor="text1"/>
                <w:kern w:val="2"/>
                <w:sz w:val="24"/>
                <w:szCs w:val="24"/>
                <w:u w:val="single"/>
                <w:lang w:val="en-US" w:bidi="ar-SA"/>
              </w:rPr>
              <w:t>量为</w:t>
            </w:r>
            <w:r>
              <w:rPr>
                <w:rFonts w:hint="eastAsia" w:ascii="Times New Roman" w:hAnsi="Times New Roman" w:cs="Times New Roman"/>
                <w:color w:val="000000" w:themeColor="text1"/>
                <w:kern w:val="2"/>
                <w:sz w:val="24"/>
                <w:szCs w:val="24"/>
                <w:u w:val="single"/>
                <w:lang w:val="en-US" w:bidi="ar-SA"/>
              </w:rPr>
              <w:t>4.00</w:t>
            </w:r>
            <w:r>
              <w:rPr>
                <w:rFonts w:ascii="Times New Roman" w:hAnsi="Times New Roman" w:cs="Times New Roman"/>
                <w:color w:val="000000" w:themeColor="text1"/>
                <w:kern w:val="2"/>
                <w:sz w:val="24"/>
                <w:szCs w:val="24"/>
                <w:u w:val="single"/>
                <w:lang w:val="en-US" w:bidi="ar-SA"/>
              </w:rPr>
              <w:t>m</w:t>
            </w:r>
            <w:r>
              <w:rPr>
                <w:rFonts w:hint="eastAsia"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kern w:val="2"/>
                <w:sz w:val="24"/>
                <w:szCs w:val="24"/>
                <w:u w:val="single"/>
                <w:lang w:val="en-US" w:bidi="ar-SA"/>
              </w:rPr>
              <w:t>1460</w:t>
            </w:r>
            <w:r>
              <w:rPr>
                <w:rFonts w:ascii="Times New Roman" w:hAnsi="Times New Roman" w:cs="Times New Roman"/>
                <w:color w:val="000000" w:themeColor="text1"/>
                <w:kern w:val="2"/>
                <w:sz w:val="24"/>
                <w:szCs w:val="24"/>
                <w:u w:val="single"/>
                <w:lang w:val="en-US" w:bidi="ar-SA"/>
              </w:rPr>
              <w:t>m</w:t>
            </w:r>
            <w:r>
              <w:rPr>
                <w:rFonts w:hint="eastAsia"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/a）</w:t>
            </w:r>
            <w:r>
              <w:rPr>
                <w:rFonts w:hint="eastAsia" w:ascii="Times New Roman" w:hAnsi="Times New Roman" w:cs="Times New Roman"/>
                <w:color w:val="000000" w:themeColor="text1"/>
                <w:kern w:val="2"/>
                <w:sz w:val="24"/>
                <w:szCs w:val="24"/>
                <w:u w:val="single"/>
                <w:lang w:val="en-US" w:bidi="ar-SA"/>
              </w:rPr>
              <w:t>；业务综合楼</w:t>
            </w:r>
            <w:r>
              <w:rPr>
                <w:rFonts w:ascii="Times New Roman" w:hAnsi="Times New Roman" w:cs="Times New Roman"/>
                <w:color w:val="000000" w:themeColor="text1"/>
                <w:kern w:val="2"/>
                <w:sz w:val="24"/>
                <w:szCs w:val="24"/>
                <w:u w:val="single"/>
                <w:lang w:val="en-US" w:bidi="ar-SA"/>
              </w:rPr>
              <w:t>住院病房</w:t>
            </w:r>
            <w:r>
              <w:rPr>
                <w:rFonts w:hint="eastAsia" w:ascii="Times New Roman" w:hAnsi="Times New Roman" w:cs="Times New Roman"/>
                <w:color w:val="000000" w:themeColor="text1"/>
                <w:kern w:val="2"/>
                <w:sz w:val="24"/>
                <w:szCs w:val="24"/>
                <w:u w:val="single"/>
                <w:lang w:val="en-US" w:bidi="ar-SA"/>
              </w:rPr>
              <w:t>污水</w:t>
            </w:r>
            <w:r>
              <w:rPr>
                <w:rFonts w:ascii="Times New Roman" w:hAnsi="Times New Roman" w:cs="Times New Roman"/>
                <w:color w:val="000000" w:themeColor="text1"/>
                <w:kern w:val="2"/>
                <w:sz w:val="24"/>
                <w:szCs w:val="24"/>
                <w:u w:val="single"/>
                <w:lang w:val="en-US" w:bidi="ar-SA"/>
              </w:rPr>
              <w:t>量为</w:t>
            </w:r>
            <w:r>
              <w:rPr>
                <w:rFonts w:hint="eastAsia" w:ascii="Times New Roman" w:hAnsi="Times New Roman" w:cs="Times New Roman"/>
                <w:color w:val="000000" w:themeColor="text1"/>
                <w:kern w:val="2"/>
                <w:sz w:val="24"/>
                <w:szCs w:val="24"/>
                <w:u w:val="single"/>
                <w:lang w:val="en-US" w:bidi="ar-SA"/>
              </w:rPr>
              <w:t>77.60</w:t>
            </w:r>
            <w:r>
              <w:rPr>
                <w:rFonts w:ascii="Times New Roman" w:hAnsi="Times New Roman" w:cs="Times New Roman"/>
                <w:color w:val="000000" w:themeColor="text1"/>
                <w:kern w:val="2"/>
                <w:sz w:val="24"/>
                <w:szCs w:val="24"/>
                <w:u w:val="single"/>
                <w:lang w:val="en-US" w:bidi="ar-SA"/>
              </w:rPr>
              <w:t>m</w:t>
            </w:r>
            <w:r>
              <w:rPr>
                <w:rFonts w:hint="eastAsia"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kern w:val="2"/>
                <w:sz w:val="24"/>
                <w:szCs w:val="24"/>
                <w:u w:val="single"/>
                <w:lang w:val="en-US" w:bidi="ar-SA"/>
              </w:rPr>
              <w:t>28324</w:t>
            </w:r>
            <w:r>
              <w:rPr>
                <w:rFonts w:ascii="Times New Roman" w:hAnsi="Times New Roman" w:cs="Times New Roman"/>
                <w:color w:val="000000" w:themeColor="text1"/>
                <w:kern w:val="2"/>
                <w:sz w:val="24"/>
                <w:szCs w:val="24"/>
                <w:u w:val="single"/>
                <w:lang w:val="en-US" w:bidi="ar-SA"/>
              </w:rPr>
              <w:t>m</w:t>
            </w:r>
            <w:r>
              <w:rPr>
                <w:rFonts w:hint="eastAsia"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/a）</w:t>
            </w:r>
            <w:r>
              <w:rPr>
                <w:rFonts w:hint="eastAsia" w:ascii="Times New Roman" w:hAnsi="Times New Roman" w:cs="Times New Roman"/>
                <w:color w:val="000000" w:themeColor="text1"/>
                <w:kern w:val="2"/>
                <w:sz w:val="24"/>
                <w:szCs w:val="24"/>
                <w:u w:val="single"/>
                <w:lang w:val="en-US" w:bidi="ar-SA"/>
              </w:rPr>
              <w:t>，共计81.60</w:t>
            </w:r>
            <w:r>
              <w:rPr>
                <w:rFonts w:ascii="Times New Roman" w:hAnsi="Times New Roman" w:cs="Times New Roman"/>
                <w:color w:val="000000" w:themeColor="text1"/>
                <w:kern w:val="2"/>
                <w:sz w:val="24"/>
                <w:szCs w:val="24"/>
                <w:u w:val="single"/>
                <w:lang w:val="en-US" w:bidi="ar-SA"/>
              </w:rPr>
              <w:t>m</w:t>
            </w:r>
            <w:r>
              <w:rPr>
                <w:rFonts w:hint="eastAsia"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kern w:val="2"/>
                <w:sz w:val="24"/>
                <w:szCs w:val="24"/>
                <w:u w:val="single"/>
                <w:lang w:val="en-US" w:bidi="ar-SA"/>
              </w:rPr>
              <w:t>29784</w:t>
            </w:r>
            <w:r>
              <w:rPr>
                <w:rFonts w:ascii="Times New Roman" w:hAnsi="Times New Roman" w:cs="Times New Roman"/>
                <w:color w:val="000000" w:themeColor="text1"/>
                <w:kern w:val="2"/>
                <w:sz w:val="24"/>
                <w:szCs w:val="24"/>
                <w:u w:val="single"/>
                <w:lang w:val="en-US" w:bidi="ar-SA"/>
              </w:rPr>
              <w:t>m</w:t>
            </w:r>
            <w:r>
              <w:rPr>
                <w:rFonts w:hint="eastAsia"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/a）</w:t>
            </w:r>
            <w:r>
              <w:rPr>
                <w:rFonts w:hint="eastAsia" w:ascii="Times New Roman" w:hAnsi="Times New Roman" w:cs="Times New Roman"/>
                <w:color w:val="000000" w:themeColor="text1"/>
                <w:kern w:val="2"/>
                <w:sz w:val="24"/>
                <w:szCs w:val="24"/>
                <w:u w:val="single"/>
                <w:lang w:val="en-US" w:bidi="ar-SA"/>
              </w:rPr>
              <w:t>，排水量按用水量的</w:t>
            </w:r>
            <w:r>
              <w:rPr>
                <w:rFonts w:ascii="Times New Roman" w:hAnsi="Times New Roman" w:cs="Times New Roman"/>
                <w:color w:val="000000" w:themeColor="text1"/>
                <w:kern w:val="2"/>
                <w:sz w:val="24"/>
                <w:szCs w:val="24"/>
                <w:u w:val="single"/>
                <w:lang w:val="en-US" w:bidi="ar-SA"/>
              </w:rPr>
              <w:t>90%计算，则倒推本项目</w:t>
            </w:r>
            <w:r>
              <w:rPr>
                <w:rFonts w:hint="eastAsia" w:ascii="Times New Roman" w:hAnsi="Times New Roman"/>
                <w:color w:val="000000" w:themeColor="text1"/>
                <w:sz w:val="24"/>
                <w:szCs w:val="24"/>
                <w:u w:val="single"/>
                <w:lang w:val="en-US"/>
              </w:rPr>
              <w:t>传染病楼</w:t>
            </w:r>
            <w:r>
              <w:rPr>
                <w:rFonts w:hint="eastAsia" w:ascii="Times New Roman" w:hAnsi="Times New Roman" w:cs="Times New Roman"/>
                <w:color w:val="000000" w:themeColor="text1"/>
                <w:kern w:val="2"/>
                <w:sz w:val="24"/>
                <w:szCs w:val="24"/>
                <w:u w:val="single"/>
                <w:lang w:val="en-US" w:bidi="ar-SA"/>
              </w:rPr>
              <w:t>、业务综合楼</w:t>
            </w:r>
            <w:r>
              <w:rPr>
                <w:rFonts w:ascii="Times New Roman" w:hAnsi="Times New Roman" w:cs="Times New Roman"/>
                <w:color w:val="000000" w:themeColor="text1"/>
                <w:kern w:val="2"/>
                <w:sz w:val="24"/>
                <w:szCs w:val="24"/>
                <w:u w:val="single"/>
                <w:lang w:val="en-US" w:bidi="ar-SA"/>
              </w:rPr>
              <w:t>住院病房用水量</w:t>
            </w:r>
            <w:r>
              <w:rPr>
                <w:rFonts w:hint="eastAsia" w:ascii="Times New Roman" w:hAnsi="Times New Roman" w:cs="Times New Roman"/>
                <w:color w:val="000000" w:themeColor="text1"/>
                <w:kern w:val="2"/>
                <w:sz w:val="24"/>
                <w:szCs w:val="24"/>
                <w:u w:val="single"/>
                <w:lang w:val="en-US" w:bidi="ar-SA"/>
              </w:rPr>
              <w:t>分别4.44</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kern w:val="2"/>
                <w:sz w:val="24"/>
                <w:szCs w:val="24"/>
                <w:u w:val="single"/>
                <w:lang w:val="en-US" w:bidi="ar-SA"/>
              </w:rPr>
              <w:t>1622.22</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/a）</w:t>
            </w:r>
            <w:r>
              <w:rPr>
                <w:rFonts w:hint="eastAsia" w:ascii="Times New Roman" w:hAnsi="Times New Roman" w:cs="Times New Roman"/>
                <w:color w:val="000000" w:themeColor="text1"/>
                <w:kern w:val="2"/>
                <w:sz w:val="24"/>
                <w:szCs w:val="24"/>
                <w:u w:val="single"/>
                <w:lang w:val="en-US" w:bidi="ar-SA"/>
              </w:rPr>
              <w:t>、86.22</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kern w:val="2"/>
                <w:sz w:val="24"/>
                <w:szCs w:val="24"/>
                <w:u w:val="single"/>
                <w:lang w:val="en-US" w:bidi="ar-SA"/>
              </w:rPr>
              <w:t>31471.11</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/a）</w:t>
            </w:r>
            <w:r>
              <w:rPr>
                <w:rFonts w:hint="eastAsia" w:ascii="Times New Roman" w:hAnsi="Times New Roman" w:cs="Times New Roman"/>
                <w:color w:val="000000" w:themeColor="text1"/>
                <w:kern w:val="2"/>
                <w:sz w:val="24"/>
                <w:szCs w:val="24"/>
                <w:u w:val="single"/>
                <w:lang w:val="en-US" w:bidi="ar-SA"/>
              </w:rPr>
              <w:t>，共计90.67</w:t>
            </w:r>
            <w:r>
              <w:rPr>
                <w:rFonts w:ascii="Times New Roman" w:hAnsi="Times New Roman" w:cs="Times New Roman"/>
                <w:color w:val="000000" w:themeColor="text1"/>
                <w:kern w:val="2"/>
                <w:sz w:val="24"/>
                <w:szCs w:val="24"/>
                <w:u w:val="single"/>
                <w:lang w:val="en-US" w:bidi="ar-SA"/>
              </w:rPr>
              <w:t>m</w:t>
            </w:r>
            <w:r>
              <w:rPr>
                <w:rFonts w:hint="eastAsia"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kern w:val="2"/>
                <w:sz w:val="24"/>
                <w:szCs w:val="24"/>
                <w:u w:val="single"/>
                <w:lang w:val="en-US" w:bidi="ar-SA"/>
              </w:rPr>
              <w:t>33093.33</w:t>
            </w:r>
            <w:r>
              <w:rPr>
                <w:rFonts w:ascii="Times New Roman" w:hAnsi="Times New Roman" w:cs="Times New Roman"/>
                <w:color w:val="000000" w:themeColor="text1"/>
                <w:kern w:val="2"/>
                <w:sz w:val="24"/>
                <w:szCs w:val="24"/>
                <w:u w:val="single"/>
                <w:lang w:val="en-US" w:bidi="ar-SA"/>
              </w:rPr>
              <w:t>m</w:t>
            </w:r>
            <w:r>
              <w:rPr>
                <w:rFonts w:hint="eastAsia"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/a）</w:t>
            </w:r>
            <w:r>
              <w:rPr>
                <w:rFonts w:hint="eastAsia" w:ascii="Times New Roman" w:hAnsi="Times New Roman" w:cs="Times New Roman"/>
                <w:color w:val="000000" w:themeColor="text1"/>
                <w:kern w:val="2"/>
                <w:sz w:val="24"/>
                <w:szCs w:val="24"/>
                <w:u w:val="single"/>
                <w:lang w:val="en-US" w:bidi="ar-SA"/>
              </w:rPr>
              <w:t>。</w:t>
            </w:r>
          </w:p>
          <w:p w14:paraId="2022866E">
            <w:pPr>
              <w:pStyle w:val="39"/>
              <w:autoSpaceDE/>
              <w:autoSpaceDN/>
              <w:spacing w:line="360" w:lineRule="auto"/>
              <w:ind w:left="480"/>
              <w:jc w:val="both"/>
              <w:rPr>
                <w:rFonts w:ascii="Times New Roman" w:hAnsi="Times New Roman" w:cs="Times New Roman"/>
                <w:color w:val="000000" w:themeColor="text1"/>
                <w:kern w:val="2"/>
                <w:sz w:val="24"/>
                <w:szCs w:val="24"/>
                <w:lang w:val="en-US" w:bidi="ar-SA"/>
              </w:rPr>
            </w:pPr>
            <w:r>
              <w:rPr>
                <w:rFonts w:hint="eastAsia"/>
                <w:color w:val="000000" w:themeColor="text1"/>
                <w:kern w:val="2"/>
                <w:sz w:val="24"/>
                <w:szCs w:val="24"/>
                <w:lang w:val="en-US" w:bidi="ar-SA"/>
              </w:rPr>
              <w:t>②</w:t>
            </w:r>
            <w:r>
              <w:rPr>
                <w:rFonts w:ascii="Times New Roman" w:hAnsi="Times New Roman" w:cs="Times New Roman"/>
                <w:color w:val="000000" w:themeColor="text1"/>
                <w:kern w:val="2"/>
                <w:sz w:val="24"/>
                <w:szCs w:val="24"/>
                <w:lang w:val="en-US" w:bidi="ar-SA"/>
              </w:rPr>
              <w:t>保洁</w:t>
            </w:r>
            <w:r>
              <w:rPr>
                <w:rFonts w:hint="eastAsia" w:ascii="Times New Roman" w:hAnsi="Times New Roman" w:cs="Times New Roman"/>
                <w:color w:val="000000" w:themeColor="text1"/>
                <w:kern w:val="2"/>
                <w:sz w:val="24"/>
                <w:szCs w:val="24"/>
                <w:lang w:val="en-US" w:bidi="ar-SA"/>
              </w:rPr>
              <w:t>用排水</w:t>
            </w:r>
          </w:p>
          <w:p w14:paraId="678BE4A1">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项目运营后将定期对</w:t>
            </w:r>
            <w:r>
              <w:rPr>
                <w:rFonts w:hint="eastAsia" w:ascii="Times New Roman" w:hAnsi="Times New Roman" w:cs="Times New Roman"/>
                <w:color w:val="000000" w:themeColor="text1"/>
                <w:kern w:val="2"/>
                <w:sz w:val="24"/>
                <w:szCs w:val="24"/>
                <w:lang w:val="en-US" w:bidi="ar-SA"/>
              </w:rPr>
              <w:t>医院</w:t>
            </w:r>
            <w:r>
              <w:rPr>
                <w:rFonts w:ascii="Times New Roman" w:hAnsi="Times New Roman" w:cs="Times New Roman"/>
                <w:color w:val="000000" w:themeColor="text1"/>
                <w:kern w:val="2"/>
                <w:sz w:val="24"/>
                <w:szCs w:val="24"/>
                <w:lang w:val="en-US" w:bidi="ar-SA"/>
              </w:rPr>
              <w:t>进行保洁，</w:t>
            </w:r>
            <w:r>
              <w:rPr>
                <w:rFonts w:hint="eastAsia" w:ascii="Times New Roman" w:hAnsi="Times New Roman" w:cs="Times New Roman"/>
                <w:color w:val="000000" w:themeColor="text1"/>
                <w:kern w:val="2"/>
                <w:sz w:val="24"/>
                <w:szCs w:val="24"/>
                <w:lang w:val="en-US" w:bidi="ar-SA"/>
              </w:rPr>
              <w:t>保洁用水</w:t>
            </w:r>
            <w:r>
              <w:rPr>
                <w:rFonts w:ascii="Times New Roman" w:hAnsi="Times New Roman" w:cs="Times New Roman"/>
                <w:color w:val="000000" w:themeColor="text1"/>
                <w:kern w:val="2"/>
                <w:sz w:val="24"/>
                <w:szCs w:val="24"/>
                <w:lang w:val="en-US" w:bidi="ar-SA"/>
              </w:rPr>
              <w:t>以1.0L/m</w:t>
            </w:r>
            <w:r>
              <w:rPr>
                <w:rFonts w:ascii="Times New Roman" w:hAnsi="Times New Roman" w:cs="Times New Roman"/>
                <w:color w:val="000000" w:themeColor="text1"/>
                <w:kern w:val="2"/>
                <w:sz w:val="24"/>
                <w:szCs w:val="24"/>
                <w:vertAlign w:val="superscript"/>
                <w:lang w:val="en-US" w:bidi="ar-SA"/>
              </w:rPr>
              <w:t>2</w:t>
            </w:r>
            <w:r>
              <w:rPr>
                <w:rFonts w:ascii="Times New Roman" w:hAnsi="Times New Roman" w:cs="Times New Roman"/>
                <w:color w:val="000000" w:themeColor="text1"/>
                <w:kern w:val="2"/>
                <w:sz w:val="24"/>
                <w:szCs w:val="24"/>
                <w:lang w:val="en-US" w:bidi="ar-SA"/>
              </w:rPr>
              <w:t>·次、1次/</w:t>
            </w:r>
            <w:r>
              <w:rPr>
                <w:rFonts w:hint="eastAsia" w:ascii="Times New Roman" w:hAnsi="Times New Roman" w:cs="Times New Roman"/>
                <w:color w:val="000000" w:themeColor="text1"/>
                <w:kern w:val="2"/>
                <w:sz w:val="24"/>
                <w:szCs w:val="24"/>
                <w:lang w:val="en-US" w:bidi="ar-SA"/>
              </w:rPr>
              <w:t>日</w:t>
            </w:r>
            <w:r>
              <w:rPr>
                <w:rFonts w:ascii="Times New Roman" w:hAnsi="Times New Roman" w:cs="Times New Roman"/>
                <w:color w:val="000000" w:themeColor="text1"/>
                <w:kern w:val="2"/>
                <w:sz w:val="24"/>
                <w:szCs w:val="24"/>
                <w:lang w:val="en-US" w:bidi="ar-SA"/>
              </w:rPr>
              <w:t>计，</w:t>
            </w:r>
            <w:r>
              <w:rPr>
                <w:rFonts w:hint="eastAsia" w:ascii="Times New Roman" w:hAnsi="Times New Roman" w:cs="Times New Roman"/>
                <w:color w:val="000000" w:themeColor="text1"/>
                <w:kern w:val="2"/>
                <w:sz w:val="24"/>
                <w:szCs w:val="24"/>
                <w:lang w:val="en-US" w:bidi="ar-SA"/>
              </w:rPr>
              <w:t>本</w:t>
            </w:r>
            <w:r>
              <w:rPr>
                <w:rFonts w:ascii="Times New Roman" w:hAnsi="Times New Roman" w:cs="Times New Roman"/>
                <w:color w:val="000000" w:themeColor="text1"/>
                <w:kern w:val="2"/>
                <w:sz w:val="24"/>
                <w:szCs w:val="24"/>
                <w:lang w:val="en-US" w:bidi="ar-SA"/>
              </w:rPr>
              <w:t>项目</w:t>
            </w:r>
            <w:r>
              <w:rPr>
                <w:rFonts w:hint="eastAsia" w:ascii="Times New Roman" w:hAnsi="Times New Roman" w:cs="Times New Roman"/>
                <w:color w:val="000000" w:themeColor="text1"/>
                <w:kern w:val="2"/>
                <w:sz w:val="24"/>
                <w:szCs w:val="24"/>
                <w:lang w:val="en-US" w:bidi="ar-SA"/>
              </w:rPr>
              <w:t>业务综合楼</w:t>
            </w:r>
            <w:r>
              <w:rPr>
                <w:rFonts w:ascii="Times New Roman" w:hAnsi="Times New Roman" w:cs="Times New Roman"/>
                <w:color w:val="000000" w:themeColor="text1"/>
                <w:kern w:val="2"/>
                <w:sz w:val="24"/>
                <w:szCs w:val="24"/>
                <w:lang w:val="en-US" w:bidi="ar-SA"/>
              </w:rPr>
              <w:t>建筑面积为</w:t>
            </w:r>
            <w:r>
              <w:rPr>
                <w:rFonts w:hint="eastAsia" w:ascii="Times New Roman" w:hAnsi="Times New Roman" w:cs="Times New Roman"/>
                <w:color w:val="000000" w:themeColor="text1"/>
                <w:kern w:val="2"/>
                <w:sz w:val="24"/>
                <w:szCs w:val="24"/>
                <w:lang w:val="en-US" w:bidi="ar-SA"/>
              </w:rPr>
              <w:t>18270</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2</w:t>
            </w:r>
            <w:r>
              <w:rPr>
                <w:rFonts w:hint="eastAsia" w:ascii="Times New Roman" w:hAnsi="Times New Roman" w:cs="Times New Roman"/>
                <w:color w:val="000000" w:themeColor="text1"/>
                <w:kern w:val="2"/>
                <w:sz w:val="24"/>
                <w:szCs w:val="24"/>
                <w:lang w:val="en-US" w:bidi="ar-SA"/>
              </w:rPr>
              <w:t>、传染病楼</w:t>
            </w:r>
            <w:r>
              <w:rPr>
                <w:rFonts w:ascii="Times New Roman" w:hAnsi="Times New Roman" w:cs="Times New Roman"/>
                <w:color w:val="000000" w:themeColor="text1"/>
                <w:kern w:val="2"/>
                <w:sz w:val="24"/>
                <w:szCs w:val="24"/>
                <w:lang w:val="en-US" w:bidi="ar-SA"/>
              </w:rPr>
              <w:t>建筑面积为</w:t>
            </w:r>
            <w:r>
              <w:rPr>
                <w:rFonts w:hint="eastAsia" w:ascii="Times New Roman" w:hAnsi="Times New Roman" w:cs="Times New Roman"/>
                <w:color w:val="000000" w:themeColor="text1"/>
                <w:kern w:val="2"/>
                <w:sz w:val="24"/>
                <w:szCs w:val="24"/>
                <w:lang w:val="en-US" w:bidi="ar-SA"/>
              </w:rPr>
              <w:t>1700</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2</w:t>
            </w:r>
            <w:r>
              <w:rPr>
                <w:rFonts w:hint="eastAsia"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则</w:t>
            </w:r>
            <w:r>
              <w:rPr>
                <w:rFonts w:hint="eastAsia" w:ascii="Times New Roman" w:hAnsi="Times New Roman" w:cs="Times New Roman"/>
                <w:color w:val="000000" w:themeColor="text1"/>
                <w:kern w:val="2"/>
                <w:sz w:val="24"/>
                <w:szCs w:val="24"/>
                <w:lang w:val="en-US" w:bidi="ar-SA"/>
              </w:rPr>
              <w:t>业务综合楼、传染病楼</w:t>
            </w:r>
            <w:r>
              <w:rPr>
                <w:rFonts w:ascii="Times New Roman" w:hAnsi="Times New Roman" w:cs="Times New Roman"/>
                <w:color w:val="000000" w:themeColor="text1"/>
                <w:kern w:val="2"/>
                <w:sz w:val="24"/>
                <w:szCs w:val="24"/>
                <w:lang w:val="en-US" w:bidi="ar-SA"/>
              </w:rPr>
              <w:t>保洁用水</w:t>
            </w:r>
            <w:r>
              <w:rPr>
                <w:rFonts w:hint="eastAsia" w:ascii="Times New Roman" w:hAnsi="Times New Roman" w:cs="Times New Roman"/>
                <w:color w:val="000000" w:themeColor="text1"/>
                <w:kern w:val="2"/>
                <w:sz w:val="24"/>
                <w:szCs w:val="24"/>
                <w:lang w:val="en-US" w:bidi="ar-SA"/>
              </w:rPr>
              <w:t>分别</w:t>
            </w:r>
            <w:r>
              <w:rPr>
                <w:rFonts w:ascii="Times New Roman" w:hAnsi="Times New Roman" w:cs="Times New Roman"/>
                <w:color w:val="000000" w:themeColor="text1"/>
                <w:kern w:val="2"/>
                <w:sz w:val="24"/>
                <w:szCs w:val="24"/>
                <w:lang w:val="en-US" w:bidi="ar-SA"/>
              </w:rPr>
              <w:t>为</w:t>
            </w:r>
            <w:r>
              <w:rPr>
                <w:rFonts w:hint="eastAsia" w:ascii="Times New Roman" w:hAnsi="Times New Roman" w:cs="Times New Roman"/>
                <w:color w:val="000000" w:themeColor="text1"/>
                <w:kern w:val="2"/>
                <w:sz w:val="24"/>
                <w:szCs w:val="24"/>
                <w:lang w:val="en-US" w:bidi="ar-SA"/>
              </w:rPr>
              <w:t>18.27</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/次</w:t>
            </w:r>
            <w:r>
              <w:rPr>
                <w:rFonts w:hint="eastAsia" w:ascii="Times New Roman" w:hAnsi="Times New Roman" w:cs="Times New Roman"/>
                <w:color w:val="000000" w:themeColor="text1"/>
                <w:kern w:val="2"/>
                <w:sz w:val="24"/>
                <w:szCs w:val="24"/>
                <w:lang w:val="en-US" w:bidi="ar-SA"/>
              </w:rPr>
              <w:t>、1.7</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/次，每日保洁用水量</w:t>
            </w:r>
            <w:r>
              <w:rPr>
                <w:rFonts w:hint="eastAsia" w:ascii="Times New Roman" w:hAnsi="Times New Roman" w:cs="Times New Roman"/>
                <w:color w:val="000000" w:themeColor="text1"/>
                <w:kern w:val="2"/>
                <w:sz w:val="24"/>
                <w:szCs w:val="24"/>
                <w:lang w:val="en-US" w:bidi="ar-SA"/>
              </w:rPr>
              <w:t>分别</w:t>
            </w:r>
            <w:r>
              <w:rPr>
                <w:rFonts w:ascii="Times New Roman" w:hAnsi="Times New Roman" w:cs="Times New Roman"/>
                <w:color w:val="000000" w:themeColor="text1"/>
                <w:kern w:val="2"/>
                <w:sz w:val="24"/>
                <w:szCs w:val="24"/>
                <w:lang w:val="en-US" w:bidi="ar-SA"/>
              </w:rPr>
              <w:t>为</w:t>
            </w:r>
            <w:r>
              <w:rPr>
                <w:rFonts w:hint="eastAsia" w:ascii="Times New Roman" w:hAnsi="Times New Roman" w:cs="Times New Roman"/>
                <w:color w:val="000000" w:themeColor="text1"/>
                <w:kern w:val="2"/>
                <w:sz w:val="24"/>
                <w:szCs w:val="24"/>
                <w:lang w:val="en-US" w:bidi="ar-SA"/>
              </w:rPr>
              <w:t>18.27</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6668.55</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kern w:val="2"/>
                <w:sz w:val="24"/>
                <w:szCs w:val="24"/>
                <w:lang w:val="en-US" w:bidi="ar-SA"/>
              </w:rPr>
              <w:t>、1.7</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620.5</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kern w:val="2"/>
                <w:sz w:val="24"/>
                <w:szCs w:val="24"/>
                <w:lang w:val="en-US" w:bidi="ar-SA"/>
              </w:rPr>
              <w:t>，共计19.97</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7289.05</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kern w:val="2"/>
                <w:sz w:val="24"/>
                <w:szCs w:val="24"/>
                <w:lang w:val="en-US" w:bidi="ar-SA"/>
              </w:rPr>
              <w:t>，排水量以70</w:t>
            </w:r>
            <w:r>
              <w:rPr>
                <w:rFonts w:ascii="Times New Roman" w:hAnsi="Times New Roman" w:cs="Times New Roman"/>
                <w:color w:val="000000" w:themeColor="text1"/>
                <w:kern w:val="2"/>
                <w:sz w:val="24"/>
                <w:szCs w:val="24"/>
                <w:lang w:val="en-US" w:bidi="ar-SA"/>
              </w:rPr>
              <w:t>%</w:t>
            </w:r>
            <w:r>
              <w:rPr>
                <w:rFonts w:hint="eastAsia" w:ascii="Times New Roman" w:hAnsi="Times New Roman" w:cs="Times New Roman"/>
                <w:color w:val="000000" w:themeColor="text1"/>
                <w:kern w:val="2"/>
                <w:sz w:val="24"/>
                <w:szCs w:val="24"/>
                <w:lang w:val="en-US" w:bidi="ar-SA"/>
              </w:rPr>
              <w:t>计，业务综合楼、传染病楼废水排放量分别为12.79</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4667.99</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kern w:val="2"/>
                <w:sz w:val="24"/>
                <w:szCs w:val="24"/>
                <w:lang w:val="en-US" w:bidi="ar-SA"/>
              </w:rPr>
              <w:t>、1.19</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434.35</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kern w:val="2"/>
                <w:sz w:val="24"/>
                <w:szCs w:val="24"/>
                <w:lang w:val="en-US" w:bidi="ar-SA"/>
              </w:rPr>
              <w:t>，共计13.98</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5102.34</w:t>
            </w:r>
            <w:r>
              <w:rPr>
                <w:rFonts w:ascii="Times New Roman" w:hAnsi="Times New Roman" w:cs="Times New Roman"/>
                <w:color w:val="000000" w:themeColor="text1"/>
                <w:kern w:val="2"/>
                <w:sz w:val="24"/>
                <w:szCs w:val="24"/>
                <w:lang w:val="en-US" w:bidi="ar-SA"/>
              </w:rPr>
              <w:t>m</w:t>
            </w:r>
            <w:r>
              <w:rPr>
                <w:rFonts w:hint="eastAsia"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kern w:val="2"/>
                <w:sz w:val="24"/>
                <w:szCs w:val="24"/>
                <w:lang w:val="en-US" w:bidi="ar-SA"/>
              </w:rPr>
              <w:t>。</w:t>
            </w:r>
          </w:p>
          <w:p w14:paraId="7CCED6F1">
            <w:pPr>
              <w:pStyle w:val="39"/>
              <w:autoSpaceDE/>
              <w:autoSpaceDN/>
              <w:spacing w:line="360" w:lineRule="auto"/>
              <w:ind w:left="480"/>
              <w:jc w:val="both"/>
              <w:rPr>
                <w:rFonts w:ascii="Times New Roman" w:hAnsi="Times New Roman" w:cs="Times New Roman"/>
                <w:color w:val="000000" w:themeColor="text1"/>
                <w:kern w:val="2"/>
                <w:sz w:val="24"/>
                <w:szCs w:val="24"/>
                <w:u w:val="single"/>
                <w:lang w:val="en-US" w:bidi="ar-SA"/>
              </w:rPr>
            </w:pPr>
            <w:r>
              <w:rPr>
                <w:rFonts w:hint="eastAsia"/>
                <w:color w:val="000000" w:themeColor="text1"/>
                <w:kern w:val="2"/>
                <w:sz w:val="24"/>
                <w:szCs w:val="24"/>
                <w:lang w:val="en-US" w:bidi="ar-SA"/>
              </w:rPr>
              <w:t>③</w:t>
            </w:r>
            <w:r>
              <w:rPr>
                <w:rFonts w:hint="eastAsia" w:ascii="Times New Roman" w:hAnsi="Times New Roman" w:cs="Times New Roman"/>
                <w:color w:val="000000" w:themeColor="text1"/>
                <w:kern w:val="2"/>
                <w:sz w:val="24"/>
                <w:szCs w:val="24"/>
                <w:u w:val="single"/>
                <w:lang w:val="en-US" w:bidi="ar-SA"/>
              </w:rPr>
              <w:t>门诊用排水</w:t>
            </w:r>
          </w:p>
          <w:p w14:paraId="2618CF51">
            <w:pPr>
              <w:tabs>
                <w:tab w:val="left" w:pos="480"/>
              </w:tabs>
              <w:autoSpaceDE/>
              <w:autoSpaceDN/>
              <w:adjustRightInd w:val="0"/>
              <w:snapToGrid w:val="0"/>
              <w:spacing w:line="360" w:lineRule="auto"/>
              <w:ind w:firstLine="480" w:firstLineChars="200"/>
              <w:rPr>
                <w:rFonts w:ascii="Times New Roman" w:hAnsi="Times New Roman" w:cs="Times New Roman"/>
                <w:snapToGrid w:val="0"/>
                <w:color w:val="000000" w:themeColor="text1"/>
                <w:sz w:val="24"/>
                <w:szCs w:val="24"/>
                <w:u w:val="single"/>
              </w:rPr>
            </w:pPr>
            <w:r>
              <w:rPr>
                <w:rFonts w:hint="eastAsia" w:ascii="Times New Roman" w:hAnsi="Times New Roman" w:cs="Times New Roman"/>
                <w:color w:val="000000" w:themeColor="text1"/>
                <w:kern w:val="2"/>
                <w:sz w:val="24"/>
                <w:szCs w:val="24"/>
                <w:u w:val="single"/>
                <w:lang w:val="en-US" w:bidi="ar-SA"/>
              </w:rPr>
              <w:t>由于本项目的扩建，医院规模变大，附带新增业务综合楼门诊人数86人，传染病楼新增门诊15人，</w:t>
            </w:r>
            <w:r>
              <w:rPr>
                <w:rFonts w:ascii="Times New Roman" w:hAnsi="Times New Roman" w:cs="Times New Roman"/>
                <w:color w:val="000000" w:themeColor="text1"/>
                <w:kern w:val="2"/>
                <w:sz w:val="24"/>
                <w:szCs w:val="24"/>
                <w:u w:val="single"/>
                <w:lang w:val="en-US" w:bidi="ar-SA"/>
              </w:rPr>
              <w:t>主要为盥洗用水及厕所冲洗用水，用水以15L/人·次计，则</w:t>
            </w:r>
            <w:r>
              <w:rPr>
                <w:rFonts w:hint="eastAsia" w:ascii="Times New Roman" w:hAnsi="Times New Roman" w:cs="Times New Roman"/>
                <w:color w:val="000000" w:themeColor="text1"/>
                <w:kern w:val="2"/>
                <w:sz w:val="24"/>
                <w:szCs w:val="24"/>
                <w:u w:val="single"/>
                <w:lang w:val="en-US" w:bidi="ar-SA"/>
              </w:rPr>
              <w:t>业务综合楼</w:t>
            </w:r>
            <w:r>
              <w:rPr>
                <w:rFonts w:ascii="Times New Roman" w:hAnsi="Times New Roman" w:cs="Times New Roman"/>
                <w:color w:val="000000" w:themeColor="text1"/>
                <w:kern w:val="2"/>
                <w:sz w:val="24"/>
                <w:szCs w:val="24"/>
                <w:u w:val="single"/>
                <w:lang w:val="en-US" w:bidi="ar-SA"/>
              </w:rPr>
              <w:t>门诊用水量为</w:t>
            </w:r>
            <w:r>
              <w:rPr>
                <w:rFonts w:hint="eastAsia" w:ascii="Times New Roman" w:hAnsi="Times New Roman" w:cs="Times New Roman"/>
                <w:color w:val="000000" w:themeColor="text1"/>
                <w:kern w:val="2"/>
                <w:sz w:val="24"/>
                <w:szCs w:val="24"/>
                <w:u w:val="single"/>
                <w:lang w:val="en-US" w:bidi="ar-SA"/>
              </w:rPr>
              <w:t>1.29</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kern w:val="2"/>
                <w:sz w:val="24"/>
                <w:szCs w:val="24"/>
                <w:u w:val="single"/>
                <w:lang w:val="en-US" w:bidi="ar-SA"/>
              </w:rPr>
              <w:t>470.85</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/a）</w:t>
            </w:r>
            <w:r>
              <w:rPr>
                <w:rFonts w:hint="eastAsia" w:ascii="Times New Roman" w:hAnsi="Times New Roman" w:cs="Times New Roman"/>
                <w:color w:val="000000" w:themeColor="text1"/>
                <w:kern w:val="2"/>
                <w:sz w:val="24"/>
                <w:szCs w:val="24"/>
                <w:u w:val="single"/>
                <w:lang w:val="en-US" w:bidi="ar-SA"/>
              </w:rPr>
              <w:t>，传染病楼</w:t>
            </w:r>
            <w:r>
              <w:rPr>
                <w:rFonts w:ascii="Times New Roman" w:hAnsi="Times New Roman" w:cs="Times New Roman"/>
                <w:color w:val="000000" w:themeColor="text1"/>
                <w:kern w:val="2"/>
                <w:sz w:val="24"/>
                <w:szCs w:val="24"/>
                <w:u w:val="single"/>
                <w:lang w:val="en-US" w:bidi="ar-SA"/>
              </w:rPr>
              <w:t>门诊用水量为</w:t>
            </w:r>
            <w:r>
              <w:rPr>
                <w:rFonts w:hint="eastAsia" w:ascii="Times New Roman" w:hAnsi="Times New Roman" w:cs="Times New Roman"/>
                <w:color w:val="000000" w:themeColor="text1"/>
                <w:kern w:val="2"/>
                <w:sz w:val="24"/>
                <w:szCs w:val="24"/>
                <w:u w:val="single"/>
                <w:lang w:val="en-US" w:bidi="ar-SA"/>
              </w:rPr>
              <w:t>0.23</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kern w:val="2"/>
                <w:sz w:val="24"/>
                <w:szCs w:val="24"/>
                <w:u w:val="single"/>
                <w:lang w:val="en-US" w:bidi="ar-SA"/>
              </w:rPr>
              <w:t>82.13</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/a）</w:t>
            </w:r>
            <w:r>
              <w:rPr>
                <w:rFonts w:hint="eastAsia" w:ascii="Times New Roman" w:hAnsi="Times New Roman" w:cs="Times New Roman"/>
                <w:color w:val="000000" w:themeColor="text1"/>
                <w:kern w:val="2"/>
                <w:sz w:val="24"/>
                <w:szCs w:val="24"/>
                <w:u w:val="single"/>
                <w:lang w:val="en-US" w:bidi="ar-SA"/>
              </w:rPr>
              <w:t>，共计1.52</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kern w:val="2"/>
                <w:sz w:val="24"/>
                <w:szCs w:val="24"/>
                <w:u w:val="single"/>
                <w:lang w:val="en-US" w:bidi="ar-SA"/>
              </w:rPr>
              <w:t>552.98</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/a）</w:t>
            </w:r>
            <w:r>
              <w:rPr>
                <w:rFonts w:hint="eastAsia" w:ascii="Times New Roman" w:hAnsi="Times New Roman" w:cs="Times New Roman"/>
                <w:color w:val="000000" w:themeColor="text1"/>
                <w:kern w:val="2"/>
                <w:sz w:val="24"/>
                <w:szCs w:val="24"/>
                <w:u w:val="single"/>
                <w:lang w:val="en-US" w:bidi="ar-SA"/>
              </w:rPr>
              <w:t>，排水量按用水量的</w:t>
            </w:r>
            <w:r>
              <w:rPr>
                <w:rFonts w:ascii="Times New Roman" w:hAnsi="Times New Roman" w:cs="Times New Roman"/>
                <w:color w:val="000000" w:themeColor="text1"/>
                <w:kern w:val="2"/>
                <w:sz w:val="24"/>
                <w:szCs w:val="24"/>
                <w:u w:val="single"/>
                <w:lang w:val="en-US" w:bidi="ar-SA"/>
              </w:rPr>
              <w:t>90%计算，则</w:t>
            </w:r>
            <w:r>
              <w:rPr>
                <w:rFonts w:hint="eastAsia" w:ascii="Times New Roman" w:hAnsi="Times New Roman" w:cs="Times New Roman"/>
                <w:color w:val="000000" w:themeColor="text1"/>
                <w:kern w:val="2"/>
                <w:sz w:val="24"/>
                <w:szCs w:val="24"/>
                <w:u w:val="single"/>
                <w:lang w:val="en-US" w:bidi="ar-SA"/>
              </w:rPr>
              <w:t>业务综合楼</w:t>
            </w:r>
            <w:r>
              <w:rPr>
                <w:rFonts w:ascii="Times New Roman" w:hAnsi="Times New Roman" w:cs="Times New Roman"/>
                <w:color w:val="000000" w:themeColor="text1"/>
                <w:kern w:val="2"/>
                <w:sz w:val="24"/>
                <w:szCs w:val="24"/>
                <w:u w:val="single"/>
                <w:lang w:val="en-US" w:bidi="ar-SA"/>
              </w:rPr>
              <w:t>门诊</w:t>
            </w:r>
            <w:r>
              <w:rPr>
                <w:rFonts w:hint="eastAsia" w:ascii="Times New Roman" w:hAnsi="Times New Roman" w:cs="Times New Roman"/>
                <w:color w:val="000000" w:themeColor="text1"/>
                <w:kern w:val="2"/>
                <w:sz w:val="24"/>
                <w:szCs w:val="24"/>
                <w:u w:val="single"/>
                <w:lang w:val="en-US" w:bidi="ar-SA"/>
              </w:rPr>
              <w:t>污</w:t>
            </w:r>
            <w:r>
              <w:rPr>
                <w:rFonts w:ascii="Times New Roman" w:hAnsi="Times New Roman" w:cs="Times New Roman"/>
                <w:color w:val="000000" w:themeColor="text1"/>
                <w:kern w:val="2"/>
                <w:sz w:val="24"/>
                <w:szCs w:val="24"/>
                <w:u w:val="single"/>
                <w:lang w:val="en-US" w:bidi="ar-SA"/>
              </w:rPr>
              <w:t>水量为</w:t>
            </w:r>
            <w:r>
              <w:rPr>
                <w:rFonts w:hint="eastAsia" w:ascii="Times New Roman" w:hAnsi="Times New Roman" w:cs="Times New Roman"/>
                <w:color w:val="000000" w:themeColor="text1"/>
                <w:kern w:val="2"/>
                <w:sz w:val="24"/>
                <w:szCs w:val="24"/>
                <w:u w:val="single"/>
                <w:lang w:val="en-US" w:bidi="ar-SA"/>
              </w:rPr>
              <w:t>1.16</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kern w:val="2"/>
                <w:sz w:val="24"/>
                <w:szCs w:val="24"/>
                <w:u w:val="single"/>
                <w:lang w:val="en-US" w:bidi="ar-SA"/>
              </w:rPr>
              <w:t>423.77</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/a）</w:t>
            </w:r>
            <w:r>
              <w:rPr>
                <w:rFonts w:hint="eastAsia" w:ascii="Times New Roman" w:hAnsi="Times New Roman" w:cs="Times New Roman"/>
                <w:color w:val="000000" w:themeColor="text1"/>
                <w:kern w:val="2"/>
                <w:sz w:val="24"/>
                <w:szCs w:val="24"/>
                <w:u w:val="single"/>
                <w:lang w:val="en-US" w:bidi="ar-SA"/>
              </w:rPr>
              <w:t>，传染病楼</w:t>
            </w:r>
            <w:r>
              <w:rPr>
                <w:rFonts w:ascii="Times New Roman" w:hAnsi="Times New Roman" w:cs="Times New Roman"/>
                <w:color w:val="000000" w:themeColor="text1"/>
                <w:kern w:val="2"/>
                <w:sz w:val="24"/>
                <w:szCs w:val="24"/>
                <w:u w:val="single"/>
                <w:lang w:val="en-US" w:bidi="ar-SA"/>
              </w:rPr>
              <w:t>门诊</w:t>
            </w:r>
            <w:r>
              <w:rPr>
                <w:rFonts w:hint="eastAsia" w:ascii="Times New Roman" w:hAnsi="Times New Roman" w:cs="Times New Roman"/>
                <w:color w:val="000000" w:themeColor="text1"/>
                <w:kern w:val="2"/>
                <w:sz w:val="24"/>
                <w:szCs w:val="24"/>
                <w:u w:val="single"/>
                <w:lang w:val="en-US" w:bidi="ar-SA"/>
              </w:rPr>
              <w:t>污</w:t>
            </w:r>
            <w:r>
              <w:rPr>
                <w:rFonts w:ascii="Times New Roman" w:hAnsi="Times New Roman" w:cs="Times New Roman"/>
                <w:color w:val="000000" w:themeColor="text1"/>
                <w:kern w:val="2"/>
                <w:sz w:val="24"/>
                <w:szCs w:val="24"/>
                <w:u w:val="single"/>
                <w:lang w:val="en-US" w:bidi="ar-SA"/>
              </w:rPr>
              <w:t>水量为</w:t>
            </w:r>
            <w:r>
              <w:rPr>
                <w:rFonts w:hint="eastAsia" w:ascii="Times New Roman" w:hAnsi="Times New Roman" w:cs="Times New Roman"/>
                <w:color w:val="000000" w:themeColor="text1"/>
                <w:kern w:val="2"/>
                <w:sz w:val="24"/>
                <w:szCs w:val="24"/>
                <w:u w:val="single"/>
                <w:lang w:val="en-US" w:bidi="ar-SA"/>
              </w:rPr>
              <w:t>0.20</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kern w:val="2"/>
                <w:sz w:val="24"/>
                <w:szCs w:val="24"/>
                <w:u w:val="single"/>
                <w:lang w:val="en-US" w:bidi="ar-SA"/>
              </w:rPr>
              <w:t>73.91</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/a）</w:t>
            </w:r>
            <w:r>
              <w:rPr>
                <w:rFonts w:hint="eastAsia" w:ascii="Times New Roman" w:hAnsi="Times New Roman" w:cs="Times New Roman"/>
                <w:color w:val="000000" w:themeColor="text1"/>
                <w:kern w:val="2"/>
                <w:sz w:val="24"/>
                <w:szCs w:val="24"/>
                <w:u w:val="single"/>
                <w:lang w:val="en-US" w:bidi="ar-SA"/>
              </w:rPr>
              <w:t>，共计1.36</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kern w:val="2"/>
                <w:sz w:val="24"/>
                <w:szCs w:val="24"/>
                <w:u w:val="single"/>
                <w:lang w:val="en-US" w:bidi="ar-SA"/>
              </w:rPr>
              <w:t>497.68</w:t>
            </w:r>
            <w:r>
              <w:rPr>
                <w:rFonts w:ascii="Times New Roman" w:hAnsi="Times New Roman" w:cs="Times New Roman"/>
                <w:color w:val="000000" w:themeColor="text1"/>
                <w:kern w:val="2"/>
                <w:sz w:val="24"/>
                <w:szCs w:val="24"/>
                <w:u w:val="single"/>
                <w:lang w:val="en-US" w:bidi="ar-SA"/>
              </w:rPr>
              <w:t>m</w:t>
            </w:r>
            <w:r>
              <w:rPr>
                <w:rFonts w:ascii="Times New Roman" w:hAnsi="Times New Roman" w:cs="Times New Roman"/>
                <w:color w:val="000000" w:themeColor="text1"/>
                <w:kern w:val="2"/>
                <w:sz w:val="24"/>
                <w:szCs w:val="24"/>
                <w:u w:val="single"/>
                <w:vertAlign w:val="superscript"/>
                <w:lang w:val="en-US" w:bidi="ar-SA"/>
              </w:rPr>
              <w:t>3</w:t>
            </w:r>
            <w:r>
              <w:rPr>
                <w:rFonts w:ascii="Times New Roman" w:hAnsi="Times New Roman" w:cs="Times New Roman"/>
                <w:color w:val="000000" w:themeColor="text1"/>
                <w:kern w:val="2"/>
                <w:sz w:val="24"/>
                <w:szCs w:val="24"/>
                <w:u w:val="single"/>
                <w:lang w:val="en-US" w:bidi="ar-SA"/>
              </w:rPr>
              <w:t>/a）。</w:t>
            </w:r>
          </w:p>
          <w:p w14:paraId="20D62255">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color w:val="000000" w:themeColor="text1"/>
                <w:kern w:val="2"/>
                <w:sz w:val="24"/>
                <w:szCs w:val="24"/>
                <w:lang w:val="en-US" w:bidi="ar-SA"/>
              </w:rPr>
              <w:t>④</w:t>
            </w:r>
            <w:r>
              <w:rPr>
                <w:rFonts w:hint="eastAsia" w:ascii="Times New Roman" w:hAnsi="Times New Roman" w:cs="Times New Roman"/>
                <w:color w:val="000000" w:themeColor="text1"/>
                <w:kern w:val="2"/>
                <w:sz w:val="24"/>
                <w:szCs w:val="24"/>
                <w:lang w:val="en-US" w:bidi="ar-SA"/>
              </w:rPr>
              <w:t>住院病人食堂用排水</w:t>
            </w:r>
          </w:p>
          <w:p w14:paraId="51EFCA6E">
            <w:pPr>
              <w:autoSpaceDE/>
              <w:spacing w:line="360" w:lineRule="auto"/>
              <w:ind w:firstLine="480"/>
              <w:jc w:val="both"/>
              <w:rPr>
                <w:rFonts w:hint="eastAsia"/>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项目</w:t>
            </w:r>
            <w:r>
              <w:rPr>
                <w:rFonts w:hint="eastAsia" w:ascii="Times New Roman" w:hAnsi="Times New Roman" w:cs="Times New Roman"/>
                <w:color w:val="000000" w:themeColor="text1"/>
                <w:kern w:val="2"/>
                <w:sz w:val="24"/>
                <w:szCs w:val="24"/>
                <w:lang w:val="en-US" w:bidi="ar-SA"/>
              </w:rPr>
              <w:t>依托医院原有</w:t>
            </w:r>
            <w:r>
              <w:rPr>
                <w:rFonts w:ascii="Times New Roman" w:hAnsi="Times New Roman" w:cs="Times New Roman"/>
                <w:color w:val="000000" w:themeColor="text1"/>
                <w:kern w:val="2"/>
                <w:sz w:val="24"/>
                <w:szCs w:val="24"/>
                <w:lang w:val="en-US" w:bidi="ar-SA"/>
              </w:rPr>
              <w:t>食堂，为员工和病人服务，</w:t>
            </w:r>
            <w:r>
              <w:rPr>
                <w:rFonts w:hint="eastAsia" w:ascii="Times New Roman" w:hAnsi="Times New Roman" w:cs="Times New Roman"/>
                <w:color w:val="000000" w:themeColor="text1"/>
                <w:kern w:val="2"/>
                <w:sz w:val="24"/>
                <w:szCs w:val="24"/>
                <w:lang w:val="en-US" w:bidi="ar-SA"/>
              </w:rPr>
              <w:t>项目职工为内部调配，全院无新增职工，本项目职工食堂用水纳入原有项目，不在本项目内计算，故本项目</w:t>
            </w:r>
            <w:r>
              <w:rPr>
                <w:rFonts w:ascii="Times New Roman" w:hAnsi="Times New Roman" w:cs="Times New Roman"/>
                <w:color w:val="000000" w:themeColor="text1"/>
                <w:kern w:val="2"/>
                <w:sz w:val="24"/>
                <w:szCs w:val="24"/>
                <w:lang w:val="en-US" w:bidi="ar-SA"/>
              </w:rPr>
              <w:t>最大就餐人员约</w:t>
            </w:r>
            <w:r>
              <w:rPr>
                <w:rFonts w:hint="eastAsia" w:ascii="Times New Roman" w:hAnsi="Times New Roman" w:cs="Times New Roman"/>
                <w:color w:val="000000" w:themeColor="text1"/>
                <w:kern w:val="2"/>
                <w:sz w:val="24"/>
                <w:szCs w:val="24"/>
                <w:lang w:val="en-US" w:bidi="ar-SA"/>
              </w:rPr>
              <w:t>204</w:t>
            </w:r>
            <w:r>
              <w:rPr>
                <w:rFonts w:ascii="Times New Roman" w:hAnsi="Times New Roman" w:cs="Times New Roman"/>
                <w:color w:val="000000" w:themeColor="text1"/>
                <w:kern w:val="2"/>
                <w:sz w:val="24"/>
                <w:szCs w:val="24"/>
                <w:lang w:val="en-US" w:bidi="ar-SA"/>
              </w:rPr>
              <w:t>人（</w:t>
            </w:r>
            <w:r>
              <w:rPr>
                <w:rFonts w:hint="eastAsia" w:ascii="Times New Roman" w:hAnsi="Times New Roman" w:cs="Times New Roman"/>
                <w:color w:val="000000" w:themeColor="text1"/>
                <w:kern w:val="2"/>
                <w:sz w:val="24"/>
                <w:szCs w:val="24"/>
                <w:lang w:val="en-US" w:bidi="ar-SA"/>
              </w:rPr>
              <w:t>即为新增</w:t>
            </w:r>
            <w:r>
              <w:rPr>
                <w:rFonts w:ascii="Times New Roman" w:hAnsi="Times New Roman" w:cs="Times New Roman"/>
                <w:color w:val="000000" w:themeColor="text1"/>
                <w:kern w:val="2"/>
                <w:sz w:val="24"/>
                <w:szCs w:val="24"/>
                <w:lang w:val="en-US" w:bidi="ar-SA"/>
              </w:rPr>
              <w:t>住院病人</w:t>
            </w:r>
            <w:r>
              <w:rPr>
                <w:rFonts w:hint="eastAsia" w:ascii="Times New Roman" w:hAnsi="Times New Roman" w:cs="Times New Roman"/>
                <w:color w:val="000000" w:themeColor="text1"/>
                <w:kern w:val="2"/>
                <w:sz w:val="24"/>
                <w:szCs w:val="24"/>
                <w:lang w:val="en-US" w:bidi="ar-SA"/>
              </w:rPr>
              <w:t>204</w:t>
            </w:r>
            <w:r>
              <w:rPr>
                <w:rFonts w:ascii="Times New Roman" w:hAnsi="Times New Roman" w:cs="Times New Roman"/>
                <w:color w:val="000000" w:themeColor="text1"/>
                <w:kern w:val="2"/>
                <w:sz w:val="24"/>
                <w:szCs w:val="24"/>
                <w:lang w:val="en-US" w:bidi="ar-SA"/>
              </w:rPr>
              <w:t>人），食堂用水按20L/人·d计，则食堂用水量为</w:t>
            </w:r>
            <w:r>
              <w:rPr>
                <w:rFonts w:hint="eastAsia" w:ascii="Times New Roman" w:hAnsi="Times New Roman" w:cs="Times New Roman"/>
                <w:color w:val="000000" w:themeColor="text1"/>
                <w:kern w:val="2"/>
                <w:sz w:val="24"/>
                <w:szCs w:val="24"/>
                <w:lang w:val="en-US" w:bidi="ar-SA"/>
              </w:rPr>
              <w:t>4.08</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1489.20</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kern w:val="2"/>
                <w:sz w:val="24"/>
                <w:szCs w:val="24"/>
                <w:lang w:val="en-US" w:bidi="ar-SA"/>
              </w:rPr>
              <w:t>，排水量以</w:t>
            </w:r>
            <w:r>
              <w:rPr>
                <w:rFonts w:ascii="Times New Roman" w:hAnsi="Times New Roman" w:cs="Times New Roman"/>
                <w:color w:val="000000" w:themeColor="text1"/>
                <w:kern w:val="2"/>
                <w:sz w:val="24"/>
                <w:szCs w:val="24"/>
                <w:lang w:val="en-US" w:bidi="ar-SA"/>
              </w:rPr>
              <w:t>80%</w:t>
            </w:r>
            <w:r>
              <w:rPr>
                <w:rFonts w:hint="eastAsia" w:ascii="Times New Roman" w:hAnsi="Times New Roman" w:cs="Times New Roman"/>
                <w:color w:val="000000" w:themeColor="text1"/>
                <w:kern w:val="2"/>
                <w:sz w:val="24"/>
                <w:szCs w:val="24"/>
                <w:lang w:val="en-US" w:bidi="ar-SA"/>
              </w:rPr>
              <w:t>计，废水排放量为3.26</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1191.36</w:t>
            </w:r>
            <w:r>
              <w:rPr>
                <w:rFonts w:ascii="Times New Roman" w:hAnsi="Times New Roman" w:cs="Times New Roman"/>
                <w:color w:val="000000" w:themeColor="text1"/>
                <w:kern w:val="2"/>
                <w:sz w:val="24"/>
                <w:szCs w:val="24"/>
                <w:lang w:val="en-US" w:bidi="ar-SA"/>
              </w:rPr>
              <w:t>m</w:t>
            </w:r>
            <w:r>
              <w:rPr>
                <w:rFonts w:hint="eastAsia"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kern w:val="2"/>
                <w:sz w:val="24"/>
                <w:szCs w:val="24"/>
                <w:lang w:val="en-US" w:bidi="ar-SA"/>
              </w:rPr>
              <w:t>。</w:t>
            </w:r>
          </w:p>
          <w:p w14:paraId="7735B699">
            <w:pPr>
              <w:autoSpaceDE/>
              <w:autoSpaceDN/>
              <w:spacing w:line="360" w:lineRule="auto"/>
              <w:ind w:firstLine="480"/>
              <w:jc w:val="both"/>
              <w:rPr>
                <w:rFonts w:ascii="Times New Roman" w:hAnsi="Times New Roman" w:cs="Times New Roman" w:eastAsiaTheme="minorEastAsia"/>
                <w:color w:val="000000" w:themeColor="text1"/>
                <w:kern w:val="2"/>
                <w:sz w:val="24"/>
                <w:szCs w:val="24"/>
                <w:lang w:val="en-US" w:bidi="ar-SA"/>
              </w:rPr>
            </w:pPr>
            <w:r>
              <w:rPr>
                <w:color w:val="000000" w:themeColor="text1"/>
                <w:kern w:val="2"/>
                <w:sz w:val="24"/>
                <w:szCs w:val="24"/>
                <w:lang w:val="en-US" w:bidi="ar-SA"/>
              </w:rPr>
              <w:t>⑤</w:t>
            </w:r>
            <w:r>
              <w:rPr>
                <w:rFonts w:hint="eastAsia" w:ascii="Times New Roman" w:hAnsi="Times New Roman" w:cs="Times New Roman" w:eastAsiaTheme="minorEastAsia"/>
                <w:color w:val="000000" w:themeColor="text1"/>
                <w:kern w:val="2"/>
                <w:sz w:val="24"/>
                <w:szCs w:val="24"/>
                <w:lang w:val="en-US" w:bidi="ar-SA"/>
              </w:rPr>
              <w:t>洗衣房</w:t>
            </w:r>
            <w:r>
              <w:rPr>
                <w:rFonts w:ascii="Times New Roman" w:hAnsi="Times New Roman" w:cs="Times New Roman" w:eastAsiaTheme="minorEastAsia"/>
                <w:color w:val="000000" w:themeColor="text1"/>
                <w:kern w:val="2"/>
                <w:sz w:val="24"/>
                <w:szCs w:val="24"/>
                <w:lang w:val="en-US" w:bidi="ar-SA"/>
              </w:rPr>
              <w:t>用</w:t>
            </w:r>
            <w:r>
              <w:rPr>
                <w:rFonts w:hint="eastAsia" w:ascii="Times New Roman" w:hAnsi="Times New Roman" w:cs="Times New Roman"/>
                <w:color w:val="000000" w:themeColor="text1"/>
                <w:kern w:val="2"/>
                <w:sz w:val="24"/>
                <w:szCs w:val="24"/>
                <w:lang w:val="en-US" w:bidi="ar-SA"/>
              </w:rPr>
              <w:t>排</w:t>
            </w:r>
            <w:r>
              <w:rPr>
                <w:rFonts w:ascii="Times New Roman" w:hAnsi="Times New Roman" w:cs="Times New Roman" w:eastAsiaTheme="minorEastAsia"/>
                <w:color w:val="000000" w:themeColor="text1"/>
                <w:kern w:val="2"/>
                <w:sz w:val="24"/>
                <w:szCs w:val="24"/>
                <w:lang w:val="en-US" w:bidi="ar-SA"/>
              </w:rPr>
              <w:t>水</w:t>
            </w:r>
            <w:r>
              <w:rPr>
                <w:rFonts w:hint="eastAsia" w:ascii="Times New Roman" w:hAnsi="Times New Roman" w:cs="Times New Roman" w:eastAsiaTheme="minorEastAsia"/>
                <w:color w:val="000000" w:themeColor="text1"/>
                <w:kern w:val="2"/>
                <w:sz w:val="24"/>
                <w:szCs w:val="24"/>
                <w:lang w:val="en-US" w:bidi="ar-SA"/>
              </w:rPr>
              <w:t xml:space="preserve"> </w:t>
            </w:r>
          </w:p>
          <w:p w14:paraId="62AB0736">
            <w:pPr>
              <w:autoSpaceDE/>
              <w:autoSpaceDN/>
              <w:spacing w:line="360" w:lineRule="auto"/>
              <w:ind w:firstLine="480"/>
              <w:jc w:val="both"/>
              <w:rPr>
                <w:rFonts w:ascii="Times New Roman" w:hAnsi="Times New Roman" w:cs="Times New Roman" w:eastAsiaTheme="minorEastAsia"/>
                <w:color w:val="000000" w:themeColor="text1"/>
                <w:kern w:val="2"/>
                <w:sz w:val="24"/>
                <w:szCs w:val="24"/>
                <w:lang w:val="en-US" w:bidi="ar-SA"/>
              </w:rPr>
            </w:pPr>
            <w:r>
              <w:rPr>
                <w:rFonts w:ascii="Times New Roman" w:hAnsi="Times New Roman" w:cs="Times New Roman" w:eastAsiaTheme="minorEastAsia"/>
                <w:color w:val="000000" w:themeColor="text1"/>
                <w:kern w:val="2"/>
                <w:sz w:val="24"/>
                <w:szCs w:val="24"/>
                <w:lang w:val="en-US" w:bidi="ar-SA"/>
              </w:rPr>
              <w:t>根据医院的运营数据统计，</w:t>
            </w:r>
            <w:r>
              <w:rPr>
                <w:rFonts w:hint="eastAsia" w:ascii="Times New Roman" w:hAnsi="Times New Roman" w:cs="Times New Roman" w:eastAsiaTheme="minorEastAsia"/>
                <w:color w:val="000000" w:themeColor="text1"/>
                <w:kern w:val="2"/>
                <w:sz w:val="24"/>
                <w:szCs w:val="24"/>
                <w:lang w:val="en-US" w:bidi="ar-SA"/>
              </w:rPr>
              <w:t>传染病楼每日洗涤量约10kg，业务综合楼每日洗涤量约194kg，根据《综合医院建筑设计规范》（GB51039-2014）（2024年修订）中“洗衣”用水为60-80L/kg，结合实际情况，本项目按60L/kg计算，则业务综合楼、传染病楼洗涤用水量分别为11.64</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/d（</w:t>
            </w:r>
            <w:r>
              <w:rPr>
                <w:rFonts w:hint="eastAsia" w:ascii="Times New Roman" w:hAnsi="Times New Roman" w:cs="Times New Roman" w:eastAsiaTheme="minorEastAsia"/>
                <w:color w:val="000000" w:themeColor="text1"/>
                <w:kern w:val="2"/>
                <w:sz w:val="24"/>
                <w:szCs w:val="24"/>
                <w:lang w:val="en-US" w:bidi="ar-SA"/>
              </w:rPr>
              <w:t>4248.6</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/a）</w:t>
            </w:r>
            <w:r>
              <w:rPr>
                <w:rFonts w:hint="eastAsia" w:ascii="Times New Roman" w:hAnsi="Times New Roman" w:cs="Times New Roman" w:eastAsiaTheme="minorEastAsia"/>
                <w:color w:val="000000" w:themeColor="text1"/>
                <w:kern w:val="2"/>
                <w:sz w:val="24"/>
                <w:szCs w:val="24"/>
                <w:lang w:val="en-US" w:bidi="ar-SA"/>
              </w:rPr>
              <w:t>、0.6</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/d（</w:t>
            </w:r>
            <w:r>
              <w:rPr>
                <w:rFonts w:hint="eastAsia" w:ascii="Times New Roman" w:hAnsi="Times New Roman" w:cs="Times New Roman" w:eastAsiaTheme="minorEastAsia"/>
                <w:color w:val="000000" w:themeColor="text1"/>
                <w:kern w:val="2"/>
                <w:sz w:val="24"/>
                <w:szCs w:val="24"/>
                <w:lang w:val="en-US" w:bidi="ar-SA"/>
              </w:rPr>
              <w:t>219</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/a）</w:t>
            </w:r>
            <w:r>
              <w:rPr>
                <w:rFonts w:hint="eastAsia" w:ascii="Times New Roman" w:hAnsi="Times New Roman" w:cs="Times New Roman" w:eastAsiaTheme="minorEastAsia"/>
                <w:color w:val="000000" w:themeColor="text1"/>
                <w:kern w:val="2"/>
                <w:sz w:val="24"/>
                <w:szCs w:val="24"/>
                <w:lang w:val="en-US" w:bidi="ar-SA"/>
              </w:rPr>
              <w:t>，共计12.24</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/d（</w:t>
            </w:r>
            <w:r>
              <w:rPr>
                <w:rFonts w:hint="eastAsia" w:ascii="Times New Roman" w:hAnsi="Times New Roman" w:cs="Times New Roman" w:eastAsiaTheme="minorEastAsia"/>
                <w:color w:val="000000" w:themeColor="text1"/>
                <w:kern w:val="2"/>
                <w:sz w:val="24"/>
                <w:szCs w:val="24"/>
                <w:lang w:val="en-US" w:bidi="ar-SA"/>
              </w:rPr>
              <w:t>4467.6</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/a）</w:t>
            </w:r>
            <w:r>
              <w:rPr>
                <w:rFonts w:hint="eastAsia" w:ascii="Times New Roman" w:hAnsi="Times New Roman" w:cs="Times New Roman" w:eastAsiaTheme="minorEastAsia"/>
                <w:color w:val="000000" w:themeColor="text1"/>
                <w:kern w:val="2"/>
                <w:sz w:val="24"/>
                <w:szCs w:val="24"/>
                <w:lang w:val="en-US" w:bidi="ar-SA"/>
              </w:rPr>
              <w:t>，</w:t>
            </w:r>
            <w:r>
              <w:rPr>
                <w:rFonts w:ascii="Times New Roman" w:hAnsi="Times New Roman" w:cs="Times New Roman" w:eastAsiaTheme="minorEastAsia"/>
                <w:color w:val="000000" w:themeColor="text1"/>
                <w:kern w:val="3"/>
                <w:sz w:val="24"/>
                <w:szCs w:val="24"/>
                <w:lang w:val="en-US" w:bidi="ar-SA"/>
              </w:rPr>
              <w:t>排水量按</w:t>
            </w:r>
            <w:r>
              <w:rPr>
                <w:rFonts w:hint="eastAsia" w:ascii="Times New Roman" w:hAnsi="Times New Roman" w:cs="Times New Roman" w:eastAsiaTheme="minorEastAsia"/>
                <w:color w:val="000000" w:themeColor="text1"/>
                <w:kern w:val="3"/>
                <w:sz w:val="24"/>
                <w:szCs w:val="24"/>
                <w:lang w:val="en-US" w:bidi="ar-SA"/>
              </w:rPr>
              <w:t>80</w:t>
            </w:r>
            <w:r>
              <w:rPr>
                <w:rFonts w:ascii="Times New Roman" w:hAnsi="Times New Roman" w:cs="Times New Roman" w:eastAsiaTheme="minorEastAsia"/>
                <w:color w:val="000000" w:themeColor="text1"/>
                <w:kern w:val="3"/>
                <w:sz w:val="24"/>
                <w:szCs w:val="24"/>
                <w:lang w:val="en-US" w:bidi="ar-SA"/>
              </w:rPr>
              <w:t>%计，</w:t>
            </w:r>
            <w:r>
              <w:rPr>
                <w:rFonts w:hint="eastAsia" w:ascii="Times New Roman" w:hAnsi="Times New Roman" w:cs="Times New Roman" w:eastAsiaTheme="minorEastAsia"/>
                <w:color w:val="000000" w:themeColor="text1"/>
                <w:kern w:val="3"/>
                <w:sz w:val="24"/>
                <w:szCs w:val="24"/>
                <w:lang w:val="en-US" w:bidi="ar-SA"/>
              </w:rPr>
              <w:t>则</w:t>
            </w:r>
            <w:r>
              <w:rPr>
                <w:rFonts w:hint="eastAsia" w:ascii="Times New Roman" w:hAnsi="Times New Roman" w:cs="Times New Roman"/>
                <w:color w:val="000000" w:themeColor="text1"/>
                <w:kern w:val="2"/>
                <w:sz w:val="24"/>
                <w:szCs w:val="24"/>
                <w:lang w:val="en-US" w:bidi="ar-SA"/>
              </w:rPr>
              <w:t>业务综合楼、传染病楼</w:t>
            </w:r>
            <w:r>
              <w:rPr>
                <w:rFonts w:hint="eastAsia" w:ascii="Times New Roman" w:hAnsi="Times New Roman" w:cs="Times New Roman" w:eastAsiaTheme="minorEastAsia"/>
                <w:color w:val="000000" w:themeColor="text1"/>
                <w:kern w:val="2"/>
                <w:sz w:val="24"/>
                <w:szCs w:val="24"/>
                <w:lang w:val="en-US" w:bidi="ar-SA"/>
              </w:rPr>
              <w:t>洗涤</w:t>
            </w:r>
            <w:r>
              <w:rPr>
                <w:rFonts w:ascii="Times New Roman" w:hAnsi="Times New Roman" w:cs="Times New Roman" w:eastAsiaTheme="minorEastAsia"/>
                <w:color w:val="000000" w:themeColor="text1"/>
                <w:kern w:val="2"/>
                <w:sz w:val="24"/>
                <w:szCs w:val="24"/>
                <w:lang w:val="en-US" w:bidi="ar-SA"/>
              </w:rPr>
              <w:t>污水排放量</w:t>
            </w:r>
            <w:r>
              <w:rPr>
                <w:rFonts w:hint="eastAsia" w:ascii="Times New Roman" w:hAnsi="Times New Roman" w:cs="Times New Roman" w:eastAsiaTheme="minorEastAsia"/>
                <w:color w:val="000000" w:themeColor="text1"/>
                <w:kern w:val="2"/>
                <w:sz w:val="24"/>
                <w:szCs w:val="24"/>
                <w:lang w:val="en-US" w:bidi="ar-SA"/>
              </w:rPr>
              <w:t>分别</w:t>
            </w:r>
            <w:r>
              <w:rPr>
                <w:rFonts w:ascii="Times New Roman" w:hAnsi="Times New Roman" w:cs="Times New Roman" w:eastAsiaTheme="minorEastAsia"/>
                <w:color w:val="000000" w:themeColor="text1"/>
                <w:kern w:val="2"/>
                <w:sz w:val="24"/>
                <w:szCs w:val="24"/>
                <w:lang w:val="en-US" w:bidi="ar-SA"/>
              </w:rPr>
              <w:t>为</w:t>
            </w:r>
            <w:r>
              <w:rPr>
                <w:rFonts w:hint="eastAsia" w:ascii="Times New Roman" w:hAnsi="Times New Roman" w:cs="Times New Roman" w:eastAsiaTheme="minorEastAsia"/>
                <w:color w:val="000000" w:themeColor="text1"/>
                <w:kern w:val="2"/>
                <w:sz w:val="24"/>
                <w:szCs w:val="24"/>
                <w:lang w:val="en-US" w:bidi="ar-SA"/>
              </w:rPr>
              <w:t>9.31</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/d（</w:t>
            </w:r>
            <w:r>
              <w:rPr>
                <w:rFonts w:hint="eastAsia" w:ascii="Times New Roman" w:hAnsi="Times New Roman" w:cs="Times New Roman" w:eastAsiaTheme="minorEastAsia"/>
                <w:color w:val="000000" w:themeColor="text1"/>
                <w:kern w:val="2"/>
                <w:sz w:val="24"/>
                <w:szCs w:val="24"/>
                <w:lang w:val="en-US" w:bidi="ar-SA"/>
              </w:rPr>
              <w:t>3398.88</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/a）</w:t>
            </w:r>
            <w:r>
              <w:rPr>
                <w:rFonts w:hint="eastAsia" w:ascii="Times New Roman" w:hAnsi="Times New Roman" w:cs="Times New Roman" w:eastAsiaTheme="minorEastAsia"/>
                <w:color w:val="000000" w:themeColor="text1"/>
                <w:kern w:val="2"/>
                <w:sz w:val="24"/>
                <w:szCs w:val="24"/>
                <w:lang w:val="en-US" w:bidi="ar-SA"/>
              </w:rPr>
              <w:t>、0.48</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/d（</w:t>
            </w:r>
            <w:r>
              <w:rPr>
                <w:rFonts w:hint="eastAsia" w:ascii="Times New Roman" w:hAnsi="Times New Roman" w:cs="Times New Roman" w:eastAsiaTheme="minorEastAsia"/>
                <w:color w:val="000000" w:themeColor="text1"/>
                <w:kern w:val="2"/>
                <w:sz w:val="24"/>
                <w:szCs w:val="24"/>
                <w:lang w:val="en-US" w:bidi="ar-SA"/>
              </w:rPr>
              <w:t>175.2</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/a）</w:t>
            </w:r>
            <w:r>
              <w:rPr>
                <w:rFonts w:hint="eastAsia" w:ascii="Times New Roman" w:hAnsi="Times New Roman" w:cs="Times New Roman" w:eastAsiaTheme="minorEastAsia"/>
                <w:color w:val="000000" w:themeColor="text1"/>
                <w:kern w:val="2"/>
                <w:sz w:val="24"/>
                <w:szCs w:val="24"/>
                <w:lang w:val="en-US" w:bidi="ar-SA"/>
              </w:rPr>
              <w:t>，共计9.79</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/d（</w:t>
            </w:r>
            <w:r>
              <w:rPr>
                <w:rFonts w:hint="eastAsia" w:ascii="Times New Roman" w:hAnsi="Times New Roman" w:cs="Times New Roman" w:eastAsiaTheme="minorEastAsia"/>
                <w:color w:val="000000" w:themeColor="text1"/>
                <w:kern w:val="2"/>
                <w:sz w:val="24"/>
                <w:szCs w:val="24"/>
                <w:lang w:val="en-US" w:bidi="ar-SA"/>
              </w:rPr>
              <w:t>3574.08</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/a）</w:t>
            </w:r>
            <w:r>
              <w:rPr>
                <w:rFonts w:hint="eastAsia" w:ascii="Times New Roman" w:hAnsi="Times New Roman" w:cs="Times New Roman" w:eastAsiaTheme="minorEastAsia"/>
                <w:color w:val="000000" w:themeColor="text1"/>
                <w:kern w:val="2"/>
                <w:sz w:val="24"/>
                <w:szCs w:val="24"/>
                <w:lang w:val="en-US" w:bidi="ar-SA"/>
              </w:rPr>
              <w:t>。</w:t>
            </w:r>
          </w:p>
          <w:p w14:paraId="564097BB">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color w:val="000000" w:themeColor="text1"/>
                <w:kern w:val="2"/>
                <w:sz w:val="24"/>
                <w:szCs w:val="24"/>
                <w:lang w:val="en-US" w:bidi="ar-SA"/>
              </w:rPr>
              <w:t>⑥</w:t>
            </w:r>
            <w:r>
              <w:rPr>
                <w:rFonts w:hint="eastAsia" w:ascii="Times New Roman" w:hAnsi="Times New Roman" w:cs="Times New Roman"/>
                <w:color w:val="000000" w:themeColor="text1"/>
                <w:kern w:val="2"/>
                <w:sz w:val="24"/>
                <w:szCs w:val="24"/>
                <w:lang w:val="en-US" w:bidi="ar-SA"/>
              </w:rPr>
              <w:t>传染病楼职工用排水</w:t>
            </w:r>
          </w:p>
          <w:p w14:paraId="0709B71B">
            <w:pPr>
              <w:autoSpaceDE/>
              <w:autoSpaceDN/>
              <w:spacing w:line="360" w:lineRule="auto"/>
              <w:ind w:firstLine="482"/>
              <w:jc w:val="both"/>
              <w:rPr>
                <w:rFonts w:hint="eastAsia"/>
                <w:color w:val="000000" w:themeColor="text1"/>
                <w:lang w:val="en-US"/>
              </w:rPr>
            </w:pPr>
            <w:r>
              <w:rPr>
                <w:rFonts w:ascii="Times New Roman" w:hAnsi="Times New Roman" w:cs="Times New Roman" w:eastAsiaTheme="minorEastAsia"/>
                <w:color w:val="000000" w:themeColor="text1"/>
                <w:kern w:val="2"/>
                <w:sz w:val="24"/>
                <w:szCs w:val="24"/>
                <w:lang w:val="en-US" w:bidi="ar-SA"/>
              </w:rPr>
              <w:t>本项目</w:t>
            </w:r>
            <w:r>
              <w:rPr>
                <w:rFonts w:hint="eastAsia" w:ascii="Times New Roman" w:hAnsi="Times New Roman" w:cs="Times New Roman" w:eastAsiaTheme="minorEastAsia"/>
                <w:color w:val="000000" w:themeColor="text1"/>
                <w:kern w:val="2"/>
                <w:sz w:val="24"/>
                <w:szCs w:val="24"/>
                <w:lang w:val="en-US" w:bidi="ar-SA"/>
              </w:rPr>
              <w:t>传染病楼</w:t>
            </w:r>
            <w:r>
              <w:rPr>
                <w:rFonts w:ascii="Times New Roman" w:hAnsi="Times New Roman" w:cs="Times New Roman" w:eastAsiaTheme="minorEastAsia"/>
                <w:color w:val="000000" w:themeColor="text1"/>
                <w:kern w:val="2"/>
                <w:sz w:val="24"/>
                <w:szCs w:val="24"/>
                <w:lang w:val="en-US" w:bidi="ar-SA"/>
              </w:rPr>
              <w:t>职工人数</w:t>
            </w:r>
            <w:r>
              <w:rPr>
                <w:rFonts w:hint="eastAsia" w:ascii="Times New Roman" w:hAnsi="Times New Roman" w:cs="Times New Roman" w:eastAsiaTheme="minorEastAsia"/>
                <w:color w:val="000000" w:themeColor="text1"/>
                <w:kern w:val="2"/>
                <w:sz w:val="24"/>
                <w:szCs w:val="24"/>
                <w:lang w:val="en-US" w:bidi="ar-SA"/>
              </w:rPr>
              <w:t>30</w:t>
            </w:r>
            <w:r>
              <w:rPr>
                <w:rFonts w:ascii="Times New Roman" w:hAnsi="Times New Roman" w:cs="Times New Roman" w:eastAsiaTheme="minorEastAsia"/>
                <w:color w:val="000000" w:themeColor="text1"/>
                <w:kern w:val="2"/>
                <w:sz w:val="24"/>
                <w:szCs w:val="24"/>
                <w:lang w:val="en-US" w:bidi="ar-SA"/>
              </w:rPr>
              <w:t>人，职工生活用水量按</w:t>
            </w:r>
            <w:r>
              <w:rPr>
                <w:rFonts w:hint="eastAsia" w:ascii="Times New Roman" w:hAnsi="Times New Roman" w:cs="Times New Roman" w:eastAsiaTheme="minorEastAsia"/>
                <w:color w:val="000000" w:themeColor="text1"/>
                <w:kern w:val="2"/>
                <w:sz w:val="24"/>
                <w:szCs w:val="24"/>
                <w:lang w:val="en-US" w:bidi="ar-SA"/>
              </w:rPr>
              <w:t>100</w:t>
            </w:r>
            <w:r>
              <w:rPr>
                <w:rFonts w:ascii="Times New Roman" w:hAnsi="Times New Roman" w:cs="Times New Roman" w:eastAsiaTheme="minorEastAsia"/>
                <w:color w:val="000000" w:themeColor="text1"/>
                <w:kern w:val="2"/>
                <w:sz w:val="24"/>
                <w:szCs w:val="24"/>
                <w:lang w:val="en-US" w:bidi="ar-SA"/>
              </w:rPr>
              <w:t>L/人</w:t>
            </w:r>
            <w:r>
              <w:rPr>
                <w:rFonts w:ascii="Times New Roman" w:hAnsi="Times New Roman" w:cs="Times New Roman"/>
                <w:color w:val="000000" w:themeColor="text1"/>
                <w:kern w:val="2"/>
                <w:sz w:val="24"/>
                <w:szCs w:val="24"/>
                <w:lang w:val="en-US" w:bidi="ar-SA"/>
              </w:rPr>
              <w:t>·</w:t>
            </w:r>
            <w:r>
              <w:rPr>
                <w:rFonts w:ascii="Times New Roman" w:hAnsi="Times New Roman" w:cs="Times New Roman" w:eastAsiaTheme="minorEastAsia"/>
                <w:color w:val="000000" w:themeColor="text1"/>
                <w:kern w:val="2"/>
                <w:sz w:val="24"/>
                <w:szCs w:val="24"/>
                <w:lang w:val="en-US" w:bidi="ar-SA"/>
              </w:rPr>
              <w:t>d计，则用水量为</w:t>
            </w:r>
            <w:r>
              <w:rPr>
                <w:rFonts w:hint="eastAsia" w:ascii="Times New Roman" w:hAnsi="Times New Roman" w:cs="Times New Roman" w:eastAsiaTheme="minorEastAsia"/>
                <w:color w:val="000000" w:themeColor="text1"/>
                <w:kern w:val="2"/>
                <w:sz w:val="24"/>
                <w:szCs w:val="24"/>
                <w:lang w:val="en-US" w:bidi="ar-SA"/>
              </w:rPr>
              <w:t>3</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/d（</w:t>
            </w:r>
            <w:r>
              <w:rPr>
                <w:rFonts w:hint="eastAsia" w:ascii="Times New Roman" w:hAnsi="Times New Roman" w:cs="Times New Roman" w:eastAsiaTheme="minorEastAsia"/>
                <w:color w:val="000000" w:themeColor="text1"/>
                <w:kern w:val="2"/>
                <w:sz w:val="24"/>
                <w:szCs w:val="24"/>
                <w:lang w:val="en-US" w:bidi="ar-SA"/>
              </w:rPr>
              <w:t>1095</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/a）</w:t>
            </w:r>
            <w:r>
              <w:rPr>
                <w:rFonts w:hint="eastAsia" w:ascii="Times New Roman" w:hAnsi="Times New Roman" w:cs="Times New Roman" w:eastAsiaTheme="minorEastAsia"/>
                <w:color w:val="000000" w:themeColor="text1"/>
                <w:kern w:val="2"/>
                <w:sz w:val="24"/>
                <w:szCs w:val="24"/>
                <w:lang w:val="en-US" w:bidi="ar-SA"/>
              </w:rPr>
              <w:t>，</w:t>
            </w:r>
            <w:r>
              <w:rPr>
                <w:rFonts w:ascii="Times New Roman" w:hAnsi="Times New Roman" w:cs="Times New Roman" w:eastAsiaTheme="minorEastAsia"/>
                <w:color w:val="000000" w:themeColor="text1"/>
                <w:kern w:val="2"/>
                <w:sz w:val="24"/>
                <w:szCs w:val="24"/>
                <w:lang w:val="en-US" w:bidi="ar-SA"/>
              </w:rPr>
              <w:t>污水排放量按用水量的</w:t>
            </w:r>
            <w:r>
              <w:rPr>
                <w:rFonts w:hint="eastAsia" w:ascii="Times New Roman" w:hAnsi="Times New Roman" w:cs="Times New Roman" w:eastAsiaTheme="minorEastAsia"/>
                <w:color w:val="000000" w:themeColor="text1"/>
                <w:kern w:val="2"/>
                <w:sz w:val="24"/>
                <w:szCs w:val="24"/>
                <w:lang w:val="en-US" w:bidi="ar-SA"/>
              </w:rPr>
              <w:t>80</w:t>
            </w:r>
            <w:r>
              <w:rPr>
                <w:rFonts w:ascii="Times New Roman" w:hAnsi="Times New Roman" w:cs="Times New Roman" w:eastAsiaTheme="minorEastAsia"/>
                <w:color w:val="000000" w:themeColor="text1"/>
                <w:kern w:val="2"/>
                <w:sz w:val="24"/>
                <w:szCs w:val="24"/>
                <w:lang w:val="en-US" w:bidi="ar-SA"/>
              </w:rPr>
              <w:t>%计，则</w:t>
            </w:r>
            <w:r>
              <w:rPr>
                <w:rFonts w:hint="eastAsia" w:ascii="Times New Roman" w:hAnsi="Times New Roman" w:cs="Times New Roman"/>
                <w:color w:val="000000" w:themeColor="text1"/>
                <w:kern w:val="2"/>
                <w:sz w:val="24"/>
                <w:szCs w:val="24"/>
                <w:lang w:val="en-US" w:bidi="ar-SA"/>
              </w:rPr>
              <w:t>传染病楼</w:t>
            </w:r>
            <w:r>
              <w:rPr>
                <w:rFonts w:ascii="Times New Roman" w:hAnsi="Times New Roman" w:cs="Times New Roman" w:eastAsiaTheme="minorEastAsia"/>
                <w:color w:val="000000" w:themeColor="text1"/>
                <w:kern w:val="2"/>
                <w:sz w:val="24"/>
                <w:szCs w:val="24"/>
                <w:lang w:val="en-US" w:bidi="ar-SA"/>
              </w:rPr>
              <w:t>职工生活污水排放量为</w:t>
            </w:r>
            <w:r>
              <w:rPr>
                <w:rFonts w:hint="eastAsia" w:ascii="Times New Roman" w:hAnsi="Times New Roman" w:cs="Times New Roman" w:eastAsiaTheme="minorEastAsia"/>
                <w:color w:val="000000" w:themeColor="text1"/>
                <w:kern w:val="2"/>
                <w:sz w:val="24"/>
                <w:szCs w:val="24"/>
                <w:lang w:val="en-US" w:bidi="ar-SA"/>
              </w:rPr>
              <w:t>2.4</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/d（</w:t>
            </w:r>
            <w:r>
              <w:rPr>
                <w:rFonts w:hint="eastAsia" w:ascii="Times New Roman" w:hAnsi="Times New Roman" w:cs="Times New Roman" w:eastAsiaTheme="minorEastAsia"/>
                <w:color w:val="000000" w:themeColor="text1"/>
                <w:kern w:val="2"/>
                <w:sz w:val="24"/>
                <w:szCs w:val="24"/>
                <w:lang w:val="en-US" w:bidi="ar-SA"/>
              </w:rPr>
              <w:t>876</w:t>
            </w:r>
            <w:r>
              <w:rPr>
                <w:rFonts w:ascii="Times New Roman" w:hAnsi="Times New Roman" w:cs="Times New Roman" w:eastAsiaTheme="minorEastAsia"/>
                <w:color w:val="000000" w:themeColor="text1"/>
                <w:kern w:val="2"/>
                <w:sz w:val="24"/>
                <w:szCs w:val="24"/>
                <w:lang w:val="en-US" w:bidi="ar-SA"/>
              </w:rPr>
              <w:t>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/a）</w:t>
            </w:r>
            <w:r>
              <w:rPr>
                <w:rFonts w:hint="eastAsia" w:ascii="Times New Roman" w:hAnsi="Times New Roman" w:cs="Times New Roman" w:eastAsiaTheme="minorEastAsia"/>
                <w:color w:val="000000" w:themeColor="text1"/>
                <w:kern w:val="2"/>
                <w:sz w:val="24"/>
                <w:szCs w:val="24"/>
                <w:lang w:val="en-US" w:bidi="ar-SA"/>
              </w:rPr>
              <w:t>。</w:t>
            </w:r>
          </w:p>
          <w:p w14:paraId="1AC235F1">
            <w:pPr>
              <w:adjustRightInd w:val="0"/>
              <w:spacing w:line="360" w:lineRule="auto"/>
              <w:ind w:firstLine="480" w:firstLineChars="200"/>
              <w:jc w:val="both"/>
              <w:rPr>
                <w:rFonts w:hint="eastAsia"/>
                <w:color w:val="000000" w:themeColor="text1"/>
                <w:kern w:val="2"/>
                <w:sz w:val="24"/>
                <w:szCs w:val="24"/>
                <w:lang w:val="en-US" w:bidi="ar-SA"/>
              </w:rPr>
            </w:pPr>
            <w:r>
              <w:rPr>
                <w:color w:val="000000" w:themeColor="text1"/>
                <w:kern w:val="2"/>
                <w:sz w:val="24"/>
                <w:szCs w:val="24"/>
                <w:u w:val="single"/>
                <w:lang w:val="en-US" w:bidi="ar-SA"/>
              </w:rPr>
              <w:t>⑦传染病楼</w:t>
            </w:r>
            <w:r>
              <w:rPr>
                <w:rFonts w:ascii="Times New Roman" w:hAnsi="Times New Roman" w:cs="Times New Roman" w:eastAsiaTheme="minorEastAsia"/>
                <w:color w:val="000000" w:themeColor="text1"/>
                <w:kern w:val="2"/>
                <w:sz w:val="24"/>
                <w:szCs w:val="24"/>
                <w:u w:val="single"/>
                <w:lang w:val="en-US" w:bidi="ar-SA"/>
              </w:rPr>
              <w:t>检验室用水：检验室用水量为0.5m</w:t>
            </w:r>
            <w:r>
              <w:rPr>
                <w:rFonts w:ascii="Times New Roman" w:hAnsi="Times New Roman" w:cs="Times New Roman" w:eastAsiaTheme="minorEastAsia"/>
                <w:color w:val="000000" w:themeColor="text1"/>
                <w:kern w:val="2"/>
                <w:sz w:val="24"/>
                <w:szCs w:val="24"/>
                <w:u w:val="single"/>
                <w:vertAlign w:val="superscript"/>
                <w:lang w:val="en-US" w:bidi="ar-SA"/>
              </w:rPr>
              <w:t>3</w:t>
            </w:r>
            <w:r>
              <w:rPr>
                <w:rFonts w:ascii="Times New Roman" w:hAnsi="Times New Roman" w:cs="Times New Roman" w:eastAsiaTheme="minorEastAsia"/>
                <w:color w:val="000000" w:themeColor="text1"/>
                <w:kern w:val="2"/>
                <w:sz w:val="24"/>
                <w:szCs w:val="24"/>
                <w:u w:val="single"/>
                <w:lang w:val="en-US" w:bidi="ar-SA"/>
              </w:rPr>
              <w:t>/d（182.5m</w:t>
            </w:r>
            <w:r>
              <w:rPr>
                <w:rFonts w:ascii="Times New Roman" w:hAnsi="Times New Roman" w:cs="Times New Roman" w:eastAsiaTheme="minorEastAsia"/>
                <w:color w:val="000000" w:themeColor="text1"/>
                <w:kern w:val="2"/>
                <w:sz w:val="24"/>
                <w:szCs w:val="24"/>
                <w:u w:val="single"/>
                <w:vertAlign w:val="superscript"/>
                <w:lang w:val="en-US" w:bidi="ar-SA"/>
              </w:rPr>
              <w:t>3</w:t>
            </w:r>
            <w:r>
              <w:rPr>
                <w:rFonts w:ascii="Times New Roman" w:hAnsi="Times New Roman" w:cs="Times New Roman" w:eastAsiaTheme="minorEastAsia"/>
                <w:color w:val="000000" w:themeColor="text1"/>
                <w:kern w:val="2"/>
                <w:sz w:val="24"/>
                <w:szCs w:val="24"/>
                <w:u w:val="single"/>
                <w:lang w:val="en-US" w:bidi="ar-SA"/>
              </w:rPr>
              <w:t>/a）</w:t>
            </w:r>
            <w:r>
              <w:rPr>
                <w:rFonts w:hint="eastAsia" w:ascii="Times New Roman" w:hAnsi="Times New Roman" w:cs="Times New Roman" w:eastAsiaTheme="minorEastAsia"/>
                <w:color w:val="000000" w:themeColor="text1"/>
                <w:kern w:val="2"/>
                <w:sz w:val="24"/>
                <w:szCs w:val="24"/>
                <w:u w:val="single"/>
                <w:lang w:val="en-US" w:bidi="ar-SA"/>
              </w:rPr>
              <w:t>，</w:t>
            </w:r>
            <w:r>
              <w:rPr>
                <w:rFonts w:ascii="Times New Roman" w:hAnsi="Times New Roman" w:cs="Times New Roman" w:eastAsiaTheme="minorEastAsia"/>
                <w:color w:val="000000" w:themeColor="text1"/>
                <w:kern w:val="3"/>
                <w:sz w:val="24"/>
                <w:szCs w:val="24"/>
                <w:u w:val="single"/>
                <w:lang w:val="en-US" w:bidi="ar-SA"/>
              </w:rPr>
              <w:t>排水量按90%计，检验室废水排放量为0.45m</w:t>
            </w:r>
            <w:r>
              <w:rPr>
                <w:rFonts w:ascii="Times New Roman" w:hAnsi="Times New Roman" w:cs="Times New Roman" w:eastAsiaTheme="minorEastAsia"/>
                <w:color w:val="000000" w:themeColor="text1"/>
                <w:kern w:val="3"/>
                <w:sz w:val="24"/>
                <w:szCs w:val="24"/>
                <w:u w:val="single"/>
                <w:vertAlign w:val="superscript"/>
                <w:lang w:val="en-US" w:bidi="ar-SA"/>
              </w:rPr>
              <w:t>3</w:t>
            </w:r>
            <w:r>
              <w:rPr>
                <w:rFonts w:ascii="Times New Roman" w:hAnsi="Times New Roman" w:cs="Times New Roman" w:eastAsiaTheme="minorEastAsia"/>
                <w:color w:val="000000" w:themeColor="text1"/>
                <w:kern w:val="3"/>
                <w:sz w:val="24"/>
                <w:szCs w:val="24"/>
                <w:u w:val="single"/>
                <w:lang w:val="en-US" w:bidi="ar-SA"/>
              </w:rPr>
              <w:t>/d（164.25m</w:t>
            </w:r>
            <w:r>
              <w:rPr>
                <w:rFonts w:ascii="Times New Roman" w:hAnsi="Times New Roman" w:cs="Times New Roman" w:eastAsiaTheme="minorEastAsia"/>
                <w:color w:val="000000" w:themeColor="text1"/>
                <w:kern w:val="3"/>
                <w:sz w:val="24"/>
                <w:szCs w:val="24"/>
                <w:u w:val="single"/>
                <w:vertAlign w:val="superscript"/>
                <w:lang w:val="en-US" w:bidi="ar-SA"/>
              </w:rPr>
              <w:t>3</w:t>
            </w:r>
            <w:r>
              <w:rPr>
                <w:rFonts w:ascii="Times New Roman" w:hAnsi="Times New Roman" w:cs="Times New Roman" w:eastAsiaTheme="minorEastAsia"/>
                <w:color w:val="000000" w:themeColor="text1"/>
                <w:kern w:val="3"/>
                <w:sz w:val="24"/>
                <w:szCs w:val="24"/>
                <w:u w:val="single"/>
                <w:lang w:val="en-US" w:bidi="ar-SA"/>
              </w:rPr>
              <w:t>/a）。</w:t>
            </w:r>
          </w:p>
          <w:p w14:paraId="279C1BB2">
            <w:pPr>
              <w:tabs>
                <w:tab w:val="left" w:pos="480"/>
              </w:tabs>
              <w:autoSpaceDE/>
              <w:autoSpaceDN/>
              <w:adjustRightInd w:val="0"/>
              <w:snapToGrid w:val="0"/>
              <w:spacing w:line="360" w:lineRule="auto"/>
              <w:ind w:firstLine="480" w:firstLineChars="200"/>
              <w:rPr>
                <w:rFonts w:ascii="Segoe UI" w:hAnsi="Segoe UI" w:cs="Segoe UI"/>
                <w:color w:val="000000" w:themeColor="text1"/>
                <w:sz w:val="24"/>
                <w:szCs w:val="24"/>
                <w:shd w:val="clear" w:color="auto" w:fill="FFFFFF"/>
                <w:lang w:val="en-US"/>
              </w:rPr>
            </w:pPr>
            <w:r>
              <w:rPr>
                <w:rFonts w:ascii="Times New Roman" w:hAnsi="Times New Roman" w:cs="Times New Roman"/>
                <w:snapToGrid w:val="0"/>
                <w:color w:val="000000" w:themeColor="text1"/>
                <w:sz w:val="24"/>
                <w:szCs w:val="24"/>
              </w:rPr>
              <w:t>根据《医疗机构水污染物排放标准》（GB18466-2005）规定，医疗机构的办公区、非医疗生活区等污水与病区污水合流时，一律视为医疗机构污水。本项目医疗废水和生活污水没有分流</w:t>
            </w:r>
            <w:r>
              <w:rPr>
                <w:rFonts w:hint="eastAsia" w:ascii="Times New Roman" w:hAnsi="Times New Roman" w:cs="Times New Roman"/>
                <w:snapToGrid w:val="0"/>
                <w:color w:val="000000" w:themeColor="text1"/>
                <w:sz w:val="24"/>
                <w:szCs w:val="24"/>
              </w:rPr>
              <w:t>，</w:t>
            </w:r>
            <w:r>
              <w:rPr>
                <w:rFonts w:ascii="Times New Roman" w:hAnsi="Times New Roman" w:cs="Times New Roman"/>
                <w:snapToGrid w:val="0"/>
                <w:color w:val="000000" w:themeColor="text1"/>
                <w:sz w:val="24"/>
                <w:szCs w:val="24"/>
              </w:rPr>
              <w:t>因此运营期产生的污水全部按照医疗废水处理</w:t>
            </w:r>
            <w:r>
              <w:rPr>
                <w:rFonts w:hint="eastAsia" w:ascii="Times New Roman" w:hAnsi="Times New Roman" w:cs="Times New Roman"/>
                <w:snapToGrid w:val="0"/>
                <w:color w:val="000000" w:themeColor="text1"/>
                <w:sz w:val="24"/>
                <w:szCs w:val="24"/>
              </w:rPr>
              <w:t>；</w:t>
            </w:r>
            <w:r>
              <w:rPr>
                <w:rFonts w:ascii="Segoe UI" w:hAnsi="Segoe UI" w:eastAsia="Segoe UI" w:cs="Segoe UI"/>
                <w:color w:val="000000" w:themeColor="text1"/>
                <w:sz w:val="24"/>
                <w:szCs w:val="24"/>
                <w:shd w:val="clear" w:color="auto" w:fill="FFFFFF"/>
              </w:rPr>
              <w:t>带传染病房的综合医疗机构，应将传染病房污水与非传染病房污水分开。传染病房的污水、粪便经过消毒后方可与其他污水合并处理。</w:t>
            </w:r>
            <w:r>
              <w:rPr>
                <w:rFonts w:hint="eastAsia" w:ascii="Segoe UI" w:hAnsi="Segoe UI" w:cs="Segoe UI"/>
                <w:color w:val="000000" w:themeColor="text1"/>
                <w:sz w:val="24"/>
                <w:szCs w:val="24"/>
                <w:shd w:val="clear" w:color="auto" w:fill="FFFFFF"/>
                <w:lang w:val="en-US"/>
              </w:rPr>
              <w:t xml:space="preserve">  </w:t>
            </w:r>
          </w:p>
          <w:p w14:paraId="2ADF3789">
            <w:pPr>
              <w:tabs>
                <w:tab w:val="left" w:pos="480"/>
              </w:tabs>
              <w:autoSpaceDE/>
              <w:autoSpaceDN/>
              <w:adjustRightInd w:val="0"/>
              <w:snapToGrid w:val="0"/>
              <w:spacing w:line="360" w:lineRule="auto"/>
              <w:ind w:firstLine="480" w:firstLineChars="200"/>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sz w:val="24"/>
                <w:szCs w:val="24"/>
              </w:rPr>
              <w:t>综上所述，</w:t>
            </w:r>
            <w:r>
              <w:rPr>
                <w:rFonts w:hint="eastAsia" w:ascii="Times New Roman" w:hAnsi="Times New Roman" w:cs="Times New Roman"/>
                <w:color w:val="000000" w:themeColor="text1"/>
                <w:kern w:val="2"/>
                <w:sz w:val="24"/>
                <w:szCs w:val="24"/>
                <w:lang w:val="en-US" w:bidi="ar-SA"/>
              </w:rPr>
              <w:t>业务综合楼、传染病楼、住院病人食堂</w:t>
            </w:r>
            <w:r>
              <w:rPr>
                <w:rFonts w:ascii="Times New Roman" w:hAnsi="Times New Roman" w:cs="Times New Roman"/>
                <w:color w:val="000000" w:themeColor="text1"/>
                <w:sz w:val="24"/>
                <w:szCs w:val="24"/>
              </w:rPr>
              <w:t>总新鲜用水量</w:t>
            </w:r>
            <w:r>
              <w:rPr>
                <w:rFonts w:hint="eastAsia" w:ascii="Times New Roman" w:hAnsi="Times New Roman" w:cs="Times New Roman"/>
                <w:color w:val="000000" w:themeColor="text1"/>
                <w:sz w:val="24"/>
                <w:szCs w:val="24"/>
                <w:lang w:val="en-US"/>
              </w:rPr>
              <w:t>分别</w:t>
            </w:r>
            <w:r>
              <w:rPr>
                <w:rFonts w:ascii="Times New Roman" w:hAnsi="Times New Roman" w:cs="Times New Roman"/>
                <w:color w:val="000000" w:themeColor="text1"/>
                <w:sz w:val="24"/>
                <w:szCs w:val="24"/>
              </w:rPr>
              <w:t>为</w:t>
            </w:r>
            <w:r>
              <w:rPr>
                <w:rFonts w:hint="eastAsia" w:ascii="Times New Roman" w:hAnsi="Times New Roman" w:cs="Times New Roman"/>
                <w:color w:val="000000" w:themeColor="text1"/>
                <w:sz w:val="24"/>
                <w:szCs w:val="24"/>
                <w:lang w:val="en-US"/>
              </w:rPr>
              <w:t>117.42</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/d（</w:t>
            </w:r>
            <w:r>
              <w:rPr>
                <w:rFonts w:hint="eastAsia" w:ascii="Times New Roman" w:hAnsi="Times New Roman" w:cs="Times New Roman"/>
                <w:color w:val="000000" w:themeColor="text1"/>
                <w:sz w:val="24"/>
                <w:szCs w:val="24"/>
                <w:lang w:val="en-US"/>
              </w:rPr>
              <w:t>42859.11</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lang w:val="en-US"/>
              </w:rPr>
              <w:t>10.47</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/d（</w:t>
            </w:r>
            <w:r>
              <w:rPr>
                <w:rFonts w:hint="eastAsia" w:ascii="Times New Roman" w:hAnsi="Times New Roman" w:cs="Times New Roman"/>
                <w:color w:val="000000" w:themeColor="text1"/>
                <w:sz w:val="24"/>
                <w:szCs w:val="24"/>
                <w:lang w:val="en-US"/>
              </w:rPr>
              <w:t>3821.35</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lang w:val="en-US"/>
              </w:rPr>
              <w:t>4.08</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/d（</w:t>
            </w:r>
            <w:r>
              <w:rPr>
                <w:rFonts w:hint="eastAsia" w:ascii="Times New Roman" w:hAnsi="Times New Roman" w:cs="Times New Roman"/>
                <w:color w:val="000000" w:themeColor="text1"/>
                <w:kern w:val="2"/>
                <w:sz w:val="24"/>
                <w:szCs w:val="24"/>
                <w:lang w:val="en-US" w:bidi="ar-SA"/>
              </w:rPr>
              <w:t>1489.20</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lang w:val="en-US"/>
              </w:rPr>
              <w:t>本项目共计131.97</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/d（</w:t>
            </w:r>
            <w:r>
              <w:rPr>
                <w:rFonts w:hint="eastAsia" w:ascii="Times New Roman" w:hAnsi="Times New Roman" w:cs="Times New Roman"/>
                <w:color w:val="000000" w:themeColor="text1"/>
                <w:sz w:val="24"/>
                <w:szCs w:val="24"/>
                <w:lang w:val="en-US"/>
              </w:rPr>
              <w:t>48169.66</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kern w:val="2"/>
                <w:sz w:val="24"/>
                <w:szCs w:val="24"/>
                <w:lang w:val="en-US" w:bidi="ar-SA"/>
              </w:rPr>
              <w:t>业务综合楼、传染病楼</w:t>
            </w:r>
            <w:r>
              <w:rPr>
                <w:rFonts w:ascii="Times New Roman" w:hAnsi="Times New Roman" w:cs="Times New Roman"/>
                <w:color w:val="000000" w:themeColor="text1"/>
                <w:sz w:val="24"/>
                <w:szCs w:val="24"/>
                <w:lang w:val="en-US"/>
              </w:rPr>
              <w:t>医疗废水</w:t>
            </w:r>
            <w:r>
              <w:rPr>
                <w:rFonts w:hint="eastAsia" w:ascii="Times New Roman" w:hAnsi="Times New Roman" w:cs="Times New Roman"/>
                <w:color w:val="000000" w:themeColor="text1"/>
                <w:sz w:val="24"/>
                <w:szCs w:val="24"/>
                <w:lang w:val="en-US"/>
              </w:rPr>
              <w:t>、住院病人食堂废水</w:t>
            </w:r>
            <w:r>
              <w:rPr>
                <w:rFonts w:ascii="Times New Roman" w:hAnsi="Times New Roman" w:cs="Times New Roman"/>
                <w:color w:val="000000" w:themeColor="text1"/>
                <w:sz w:val="24"/>
                <w:szCs w:val="24"/>
                <w:lang w:val="en-US"/>
              </w:rPr>
              <w:t>量</w:t>
            </w:r>
            <w:r>
              <w:rPr>
                <w:rFonts w:hint="eastAsia" w:ascii="Times New Roman" w:hAnsi="Times New Roman" w:cs="Times New Roman"/>
                <w:color w:val="000000" w:themeColor="text1"/>
                <w:sz w:val="24"/>
                <w:szCs w:val="24"/>
                <w:lang w:val="en-US"/>
              </w:rPr>
              <w:t>分别</w:t>
            </w:r>
            <w:r>
              <w:rPr>
                <w:rFonts w:ascii="Times New Roman" w:hAnsi="Times New Roman" w:cs="Times New Roman"/>
                <w:color w:val="000000" w:themeColor="text1"/>
                <w:sz w:val="24"/>
                <w:szCs w:val="24"/>
                <w:lang w:val="en-US"/>
              </w:rPr>
              <w:t>为</w:t>
            </w:r>
            <w:r>
              <w:rPr>
                <w:rFonts w:hint="eastAsia" w:ascii="Times New Roman" w:hAnsi="Times New Roman" w:cs="Times New Roman"/>
                <w:color w:val="000000" w:themeColor="text1"/>
                <w:sz w:val="24"/>
                <w:szCs w:val="24"/>
                <w:lang w:val="en-US"/>
              </w:rPr>
              <w:t>100.86</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/d（</w:t>
            </w:r>
            <w:r>
              <w:rPr>
                <w:rFonts w:hint="eastAsia" w:ascii="Times New Roman" w:hAnsi="Times New Roman" w:cs="Times New Roman"/>
                <w:color w:val="000000" w:themeColor="text1"/>
                <w:sz w:val="24"/>
                <w:szCs w:val="24"/>
                <w:lang w:val="en-US"/>
              </w:rPr>
              <w:t>36814.63</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lang w:val="en-US"/>
              </w:rPr>
              <w:t>8.72</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/d（</w:t>
            </w:r>
            <w:r>
              <w:rPr>
                <w:rFonts w:hint="eastAsia" w:ascii="Times New Roman" w:hAnsi="Times New Roman" w:cs="Times New Roman"/>
                <w:color w:val="000000" w:themeColor="text1"/>
                <w:sz w:val="24"/>
                <w:szCs w:val="24"/>
                <w:lang w:val="en-US"/>
              </w:rPr>
              <w:t>3183.71</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sz w:val="24"/>
                <w:szCs w:val="24"/>
              </w:rPr>
              <w:t>、</w:t>
            </w:r>
            <w:r>
              <w:rPr>
                <w:rFonts w:hint="eastAsia" w:ascii="Times New Roman" w:hAnsi="Times New Roman" w:cs="Times New Roman"/>
                <w:color w:val="000000" w:themeColor="text1"/>
                <w:kern w:val="2"/>
                <w:sz w:val="24"/>
                <w:szCs w:val="24"/>
                <w:lang w:val="en-US" w:bidi="ar-SA"/>
              </w:rPr>
              <w:t>3.26</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1191.36</w:t>
            </w:r>
            <w:r>
              <w:rPr>
                <w:rFonts w:ascii="Times New Roman" w:hAnsi="Times New Roman" w:cs="Times New Roman"/>
                <w:color w:val="000000" w:themeColor="text1"/>
                <w:kern w:val="2"/>
                <w:sz w:val="24"/>
                <w:szCs w:val="24"/>
                <w:lang w:val="en-US" w:bidi="ar-SA"/>
              </w:rPr>
              <w:t>m</w:t>
            </w:r>
            <w:r>
              <w:rPr>
                <w:rFonts w:hint="eastAsia"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lang w:val="en-US"/>
              </w:rPr>
              <w:t>本项目共计112.84</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/d（</w:t>
            </w:r>
            <w:r>
              <w:rPr>
                <w:rFonts w:hint="eastAsia" w:ascii="Times New Roman" w:hAnsi="Times New Roman" w:cs="Times New Roman"/>
                <w:color w:val="000000" w:themeColor="text1"/>
                <w:sz w:val="24"/>
                <w:szCs w:val="24"/>
                <w:lang w:val="en-US"/>
              </w:rPr>
              <w:t>41189.70</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项目运营期用排水情况详见表2-</w:t>
            </w:r>
            <w:r>
              <w:rPr>
                <w:rFonts w:ascii="Times New Roman" w:hAnsi="Times New Roman" w:cs="Times New Roman"/>
                <w:color w:val="000000" w:themeColor="text1"/>
                <w:sz w:val="24"/>
                <w:szCs w:val="24"/>
                <w:lang w:val="en-US"/>
              </w:rPr>
              <w:t>4</w:t>
            </w:r>
            <w:r>
              <w:rPr>
                <w:rFonts w:ascii="Times New Roman" w:hAnsi="Times New Roman" w:cs="Times New Roman"/>
                <w:color w:val="000000" w:themeColor="text1"/>
                <w:sz w:val="24"/>
                <w:szCs w:val="24"/>
              </w:rPr>
              <w:t>。</w:t>
            </w:r>
          </w:p>
        </w:tc>
      </w:tr>
    </w:tbl>
    <w:p w14:paraId="638877E4">
      <w:pPr>
        <w:ind w:firstLine="420"/>
        <w:rPr>
          <w:rFonts w:ascii="Times New Roman" w:hAnsi="Times New Roman" w:cs="Times New Roman"/>
          <w:sz w:val="21"/>
        </w:rPr>
      </w:pPr>
    </w:p>
    <w:p w14:paraId="056C5E04">
      <w:pPr>
        <w:rPr>
          <w:rFonts w:hint="eastAsia"/>
        </w:rPr>
        <w:sectPr>
          <w:pgSz w:w="11910" w:h="16840"/>
          <w:pgMar w:top="1580" w:right="1320" w:bottom="1000" w:left="1340" w:header="0" w:footer="1043" w:gutter="0"/>
          <w:cols w:space="720" w:num="1"/>
        </w:sectPr>
      </w:pPr>
    </w:p>
    <w:tbl>
      <w:tblPr>
        <w:tblStyle w:val="27"/>
        <w:tblW w:w="5022"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4333"/>
      </w:tblGrid>
      <w:tr w14:paraId="59F52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30"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295F806B">
            <w:pPr>
              <w:autoSpaceDE/>
              <w:autoSpaceDN/>
              <w:jc w:val="center"/>
              <w:rPr>
                <w:rFonts w:ascii="Times New Roman" w:hAnsi="Times New Roman" w:cs="Times New Roman"/>
                <w:b/>
                <w:bCs/>
                <w:color w:val="000000" w:themeColor="text1"/>
                <w:kern w:val="2"/>
                <w:sz w:val="24"/>
                <w:szCs w:val="24"/>
                <w:lang w:val="en-US" w:bidi="ar-SA"/>
              </w:rPr>
            </w:pPr>
            <w:r>
              <w:rPr>
                <w:rFonts w:ascii="Times New Roman" w:hAnsi="Times New Roman" w:cs="Times New Roman"/>
                <w:b/>
                <w:bCs/>
                <w:color w:val="000000" w:themeColor="text1"/>
                <w:kern w:val="2"/>
                <w:sz w:val="24"/>
                <w:szCs w:val="24"/>
                <w:lang w:val="en-US" w:bidi="ar-SA"/>
              </w:rPr>
              <w:t>表</w:t>
            </w:r>
            <w:r>
              <w:rPr>
                <w:rFonts w:hint="eastAsia" w:ascii="Times New Roman" w:hAnsi="Times New Roman" w:cs="Times New Roman"/>
                <w:b/>
                <w:bCs/>
                <w:color w:val="000000" w:themeColor="text1"/>
                <w:kern w:val="2"/>
                <w:sz w:val="24"/>
                <w:szCs w:val="24"/>
                <w:lang w:val="en-US" w:bidi="ar-SA"/>
              </w:rPr>
              <w:t>2</w:t>
            </w:r>
            <w:r>
              <w:rPr>
                <w:rFonts w:ascii="Times New Roman" w:hAnsi="Times New Roman" w:cs="Times New Roman"/>
                <w:b/>
                <w:bCs/>
                <w:color w:val="000000" w:themeColor="text1"/>
                <w:kern w:val="2"/>
                <w:sz w:val="24"/>
                <w:szCs w:val="24"/>
                <w:lang w:val="en-US" w:bidi="ar-SA"/>
              </w:rPr>
              <w:t>-</w:t>
            </w:r>
            <w:r>
              <w:rPr>
                <w:rFonts w:hint="eastAsia" w:ascii="Times New Roman" w:hAnsi="Times New Roman" w:cs="Times New Roman"/>
                <w:b/>
                <w:bCs/>
                <w:color w:val="000000" w:themeColor="text1"/>
                <w:kern w:val="2"/>
                <w:sz w:val="24"/>
                <w:szCs w:val="24"/>
                <w:lang w:val="en-US" w:bidi="ar-SA"/>
              </w:rPr>
              <w:t>4</w:t>
            </w:r>
            <w:r>
              <w:rPr>
                <w:rFonts w:ascii="Times New Roman" w:hAnsi="Times New Roman" w:cs="Times New Roman"/>
                <w:b/>
                <w:bCs/>
                <w:color w:val="000000" w:themeColor="text1"/>
                <w:kern w:val="2"/>
                <w:sz w:val="24"/>
                <w:szCs w:val="24"/>
                <w:lang w:val="en-US" w:bidi="ar-SA"/>
              </w:rPr>
              <w:t>运营期用排水情况表</w:t>
            </w:r>
          </w:p>
          <w:p w14:paraId="4FCE4EDA">
            <w:pPr>
              <w:autoSpaceDE/>
              <w:autoSpaceDN/>
              <w:jc w:val="center"/>
              <w:rPr>
                <w:rFonts w:ascii="Times New Roman" w:hAnsi="Times New Roman" w:cs="Times New Roman"/>
                <w:color w:val="000000" w:themeColor="text1"/>
                <w:kern w:val="2"/>
                <w:sz w:val="24"/>
                <w:szCs w:val="24"/>
                <w:lang w:val="en-US" w:bidi="ar-SA"/>
              </w:rPr>
            </w:pPr>
          </w:p>
          <w:tbl>
            <w:tblPr>
              <w:tblStyle w:val="27"/>
              <w:tblpPr w:leftFromText="180" w:rightFromText="180" w:vertAnchor="text" w:horzAnchor="margin" w:tblpXSpec="center" w:tblpY="-172"/>
              <w:tblOverlap w:val="never"/>
              <w:tblW w:w="4965" w:type="pct"/>
              <w:jc w:val="center"/>
              <w:tblLayout w:type="autofit"/>
              <w:tblCellMar>
                <w:top w:w="0" w:type="dxa"/>
                <w:left w:w="108" w:type="dxa"/>
                <w:bottom w:w="0" w:type="dxa"/>
                <w:right w:w="108" w:type="dxa"/>
              </w:tblCellMar>
            </w:tblPr>
            <w:tblGrid>
              <w:gridCol w:w="1479"/>
              <w:gridCol w:w="1795"/>
              <w:gridCol w:w="2738"/>
              <w:gridCol w:w="2738"/>
              <w:gridCol w:w="2735"/>
              <w:gridCol w:w="2738"/>
            </w:tblGrid>
            <w:tr w14:paraId="36CB2E80">
              <w:tblPrEx>
                <w:tblCellMar>
                  <w:top w:w="0" w:type="dxa"/>
                  <w:left w:w="108" w:type="dxa"/>
                  <w:bottom w:w="0" w:type="dxa"/>
                  <w:right w:w="108" w:type="dxa"/>
                </w:tblCellMar>
              </w:tblPrEx>
              <w:trPr>
                <w:trHeight w:val="390" w:hRule="atLeast"/>
                <w:jc w:val="center"/>
              </w:trPr>
              <w:tc>
                <w:tcPr>
                  <w:tcW w:w="1151" w:type="pct"/>
                  <w:gridSpan w:val="2"/>
                  <w:tcBorders>
                    <w:top w:val="single" w:color="auto" w:sz="4" w:space="0"/>
                    <w:left w:val="single" w:color="auto" w:sz="4" w:space="0"/>
                    <w:bottom w:val="single" w:color="auto" w:sz="4" w:space="0"/>
                    <w:right w:val="single" w:color="auto" w:sz="4" w:space="0"/>
                  </w:tcBorders>
                  <w:vAlign w:val="center"/>
                </w:tcPr>
                <w:p w14:paraId="38B3F410">
                  <w:pPr>
                    <w:widowControl/>
                    <w:autoSpaceDE/>
                    <w:autoSpaceDN/>
                    <w:jc w:val="center"/>
                    <w:rPr>
                      <w:rFonts w:ascii="Times New Roman" w:hAnsi="Times New Roman" w:cs="Times New Roman" w:eastAsiaTheme="minorEastAsia"/>
                      <w:b/>
                      <w:bCs/>
                      <w:color w:val="000000" w:themeColor="text1"/>
                      <w:kern w:val="2"/>
                      <w:sz w:val="21"/>
                      <w:szCs w:val="21"/>
                      <w:lang w:val="en-US" w:bidi="ar-SA"/>
                    </w:rPr>
                  </w:pPr>
                  <w:r>
                    <w:rPr>
                      <w:rFonts w:ascii="Times New Roman" w:hAnsi="Times New Roman" w:cs="Times New Roman" w:eastAsiaTheme="minorEastAsia"/>
                      <w:b/>
                      <w:bCs/>
                      <w:color w:val="000000" w:themeColor="text1"/>
                      <w:kern w:val="2"/>
                      <w:sz w:val="21"/>
                      <w:szCs w:val="21"/>
                      <w:lang w:val="en-US" w:bidi="ar-SA"/>
                    </w:rPr>
                    <w:t>项目</w:t>
                  </w:r>
                </w:p>
              </w:tc>
              <w:tc>
                <w:tcPr>
                  <w:tcW w:w="1924" w:type="pct"/>
                  <w:gridSpan w:val="2"/>
                  <w:tcBorders>
                    <w:top w:val="single" w:color="auto" w:sz="4" w:space="0"/>
                    <w:left w:val="nil"/>
                    <w:bottom w:val="single" w:color="auto" w:sz="4" w:space="0"/>
                    <w:right w:val="single" w:color="auto" w:sz="4" w:space="0"/>
                  </w:tcBorders>
                  <w:vAlign w:val="center"/>
                </w:tcPr>
                <w:p w14:paraId="6AA6CEBF">
                  <w:pPr>
                    <w:widowControl/>
                    <w:autoSpaceDE/>
                    <w:autoSpaceDN/>
                    <w:jc w:val="center"/>
                    <w:rPr>
                      <w:rFonts w:ascii="Times New Roman" w:hAnsi="Times New Roman" w:cs="Times New Roman" w:eastAsiaTheme="minorEastAsia"/>
                      <w:b/>
                      <w:bCs/>
                      <w:color w:val="000000" w:themeColor="text1"/>
                      <w:kern w:val="2"/>
                      <w:sz w:val="21"/>
                      <w:szCs w:val="21"/>
                      <w:lang w:val="en-US" w:bidi="ar-SA"/>
                    </w:rPr>
                  </w:pPr>
                  <w:r>
                    <w:rPr>
                      <w:rFonts w:ascii="Times New Roman" w:hAnsi="Times New Roman" w:cs="Times New Roman" w:eastAsiaTheme="minorEastAsia"/>
                      <w:b/>
                      <w:bCs/>
                      <w:color w:val="000000" w:themeColor="text1"/>
                      <w:kern w:val="2"/>
                      <w:sz w:val="21"/>
                      <w:szCs w:val="21"/>
                      <w:lang w:val="en-US" w:bidi="ar-SA"/>
                    </w:rPr>
                    <w:t>用水量（m</w:t>
                  </w:r>
                  <w:r>
                    <w:rPr>
                      <w:rFonts w:ascii="Times New Roman" w:hAnsi="Times New Roman" w:cs="Times New Roman" w:eastAsiaTheme="minorEastAsia"/>
                      <w:b/>
                      <w:bCs/>
                      <w:color w:val="000000" w:themeColor="text1"/>
                      <w:kern w:val="2"/>
                      <w:sz w:val="21"/>
                      <w:szCs w:val="21"/>
                      <w:vertAlign w:val="superscript"/>
                      <w:lang w:val="en-US" w:bidi="ar-SA"/>
                    </w:rPr>
                    <w:t>3</w:t>
                  </w:r>
                  <w:r>
                    <w:rPr>
                      <w:rFonts w:ascii="Times New Roman" w:hAnsi="Times New Roman" w:cs="Times New Roman" w:eastAsiaTheme="minorEastAsia"/>
                      <w:b/>
                      <w:bCs/>
                      <w:color w:val="000000" w:themeColor="text1"/>
                      <w:kern w:val="2"/>
                      <w:sz w:val="21"/>
                      <w:szCs w:val="21"/>
                      <w:lang w:val="en-US" w:bidi="ar-SA"/>
                    </w:rPr>
                    <w:t>/d）</w:t>
                  </w:r>
                </w:p>
              </w:tc>
              <w:tc>
                <w:tcPr>
                  <w:tcW w:w="1923" w:type="pct"/>
                  <w:gridSpan w:val="2"/>
                  <w:tcBorders>
                    <w:top w:val="single" w:color="auto" w:sz="4" w:space="0"/>
                    <w:left w:val="nil"/>
                    <w:bottom w:val="single" w:color="auto" w:sz="4" w:space="0"/>
                    <w:right w:val="single" w:color="auto" w:sz="4" w:space="0"/>
                  </w:tcBorders>
                  <w:vAlign w:val="center"/>
                </w:tcPr>
                <w:p w14:paraId="1C56536D">
                  <w:pPr>
                    <w:widowControl/>
                    <w:autoSpaceDE/>
                    <w:autoSpaceDN/>
                    <w:jc w:val="center"/>
                    <w:rPr>
                      <w:rFonts w:ascii="Times New Roman" w:hAnsi="Times New Roman" w:cs="Times New Roman" w:eastAsiaTheme="minorEastAsia"/>
                      <w:b/>
                      <w:bCs/>
                      <w:color w:val="000000" w:themeColor="text1"/>
                      <w:kern w:val="2"/>
                      <w:sz w:val="21"/>
                      <w:szCs w:val="21"/>
                      <w:lang w:val="en-US" w:bidi="ar-SA"/>
                    </w:rPr>
                  </w:pPr>
                  <w:r>
                    <w:rPr>
                      <w:rFonts w:ascii="Times New Roman" w:hAnsi="Times New Roman" w:cs="Times New Roman" w:eastAsiaTheme="minorEastAsia"/>
                      <w:b/>
                      <w:bCs/>
                      <w:color w:val="000000" w:themeColor="text1"/>
                      <w:kern w:val="2"/>
                      <w:sz w:val="21"/>
                      <w:szCs w:val="21"/>
                      <w:lang w:val="en-US" w:bidi="ar-SA"/>
                    </w:rPr>
                    <w:t>排水量（m</w:t>
                  </w:r>
                  <w:r>
                    <w:rPr>
                      <w:rFonts w:ascii="Times New Roman" w:hAnsi="Times New Roman" w:cs="Times New Roman" w:eastAsiaTheme="minorEastAsia"/>
                      <w:b/>
                      <w:bCs/>
                      <w:color w:val="000000" w:themeColor="text1"/>
                      <w:kern w:val="2"/>
                      <w:sz w:val="21"/>
                      <w:szCs w:val="21"/>
                      <w:vertAlign w:val="superscript"/>
                      <w:lang w:val="en-US" w:bidi="ar-SA"/>
                    </w:rPr>
                    <w:t>3</w:t>
                  </w:r>
                  <w:r>
                    <w:rPr>
                      <w:rFonts w:ascii="Times New Roman" w:hAnsi="Times New Roman" w:cs="Times New Roman" w:eastAsiaTheme="minorEastAsia"/>
                      <w:b/>
                      <w:bCs/>
                      <w:color w:val="000000" w:themeColor="text1"/>
                      <w:kern w:val="2"/>
                      <w:sz w:val="21"/>
                      <w:szCs w:val="21"/>
                      <w:lang w:val="en-US" w:bidi="ar-SA"/>
                    </w:rPr>
                    <w:t>/d）</w:t>
                  </w:r>
                </w:p>
              </w:tc>
            </w:tr>
            <w:tr w14:paraId="21E566DC">
              <w:tblPrEx>
                <w:tblCellMar>
                  <w:top w:w="0" w:type="dxa"/>
                  <w:left w:w="108" w:type="dxa"/>
                  <w:bottom w:w="0" w:type="dxa"/>
                  <w:right w:w="108" w:type="dxa"/>
                </w:tblCellMar>
              </w:tblPrEx>
              <w:trPr>
                <w:trHeight w:val="466" w:hRule="atLeast"/>
                <w:jc w:val="center"/>
              </w:trPr>
              <w:tc>
                <w:tcPr>
                  <w:tcW w:w="1151" w:type="pct"/>
                  <w:gridSpan w:val="2"/>
                  <w:tcBorders>
                    <w:top w:val="nil"/>
                    <w:left w:val="single" w:color="auto" w:sz="4" w:space="0"/>
                    <w:bottom w:val="single" w:color="auto" w:sz="4" w:space="0"/>
                    <w:right w:val="single" w:color="auto" w:sz="4" w:space="0"/>
                  </w:tcBorders>
                  <w:vAlign w:val="center"/>
                </w:tcPr>
                <w:p w14:paraId="2BC3BD4B">
                  <w:pPr>
                    <w:widowControl/>
                    <w:autoSpaceDE/>
                    <w:autoSpaceDN/>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用水单位</w:t>
                  </w:r>
                </w:p>
              </w:tc>
              <w:tc>
                <w:tcPr>
                  <w:tcW w:w="962" w:type="pct"/>
                  <w:tcBorders>
                    <w:top w:val="nil"/>
                    <w:left w:val="nil"/>
                    <w:bottom w:val="single" w:color="auto" w:sz="4" w:space="0"/>
                    <w:right w:val="single" w:color="auto" w:sz="4" w:space="0"/>
                  </w:tcBorders>
                  <w:vAlign w:val="center"/>
                </w:tcPr>
                <w:p w14:paraId="0F41A317">
                  <w:pPr>
                    <w:widowControl/>
                    <w:autoSpaceDE/>
                    <w:autoSpaceDN/>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总用水</w:t>
                  </w:r>
                </w:p>
              </w:tc>
              <w:tc>
                <w:tcPr>
                  <w:tcW w:w="962" w:type="pct"/>
                  <w:tcBorders>
                    <w:top w:val="nil"/>
                    <w:left w:val="nil"/>
                    <w:bottom w:val="single" w:color="auto" w:sz="4" w:space="0"/>
                    <w:right w:val="single" w:color="auto" w:sz="4" w:space="0"/>
                  </w:tcBorders>
                  <w:vAlign w:val="center"/>
                </w:tcPr>
                <w:p w14:paraId="641A6FB6">
                  <w:pPr>
                    <w:widowControl/>
                    <w:autoSpaceDE/>
                    <w:autoSpaceDN/>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新鲜水</w:t>
                  </w:r>
                </w:p>
              </w:tc>
              <w:tc>
                <w:tcPr>
                  <w:tcW w:w="961" w:type="pct"/>
                  <w:tcBorders>
                    <w:top w:val="nil"/>
                    <w:left w:val="nil"/>
                    <w:bottom w:val="single" w:color="auto" w:sz="4" w:space="0"/>
                    <w:right w:val="single" w:color="auto" w:sz="4" w:space="0"/>
                  </w:tcBorders>
                  <w:vAlign w:val="center"/>
                </w:tcPr>
                <w:p w14:paraId="653C8875">
                  <w:pPr>
                    <w:widowControl/>
                    <w:autoSpaceDE/>
                    <w:autoSpaceDN/>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损耗</w:t>
                  </w:r>
                </w:p>
              </w:tc>
              <w:tc>
                <w:tcPr>
                  <w:tcW w:w="962" w:type="pct"/>
                  <w:tcBorders>
                    <w:top w:val="nil"/>
                    <w:left w:val="nil"/>
                    <w:bottom w:val="single" w:color="auto" w:sz="4" w:space="0"/>
                    <w:right w:val="single" w:color="auto" w:sz="4" w:space="0"/>
                  </w:tcBorders>
                  <w:vAlign w:val="center"/>
                </w:tcPr>
                <w:p w14:paraId="5E4BED8F">
                  <w:pPr>
                    <w:widowControl/>
                    <w:autoSpaceDE/>
                    <w:autoSpaceDN/>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排水</w:t>
                  </w:r>
                </w:p>
              </w:tc>
            </w:tr>
            <w:tr w14:paraId="5363AD44">
              <w:tblPrEx>
                <w:tblCellMar>
                  <w:top w:w="0" w:type="dxa"/>
                  <w:left w:w="108" w:type="dxa"/>
                  <w:bottom w:w="0" w:type="dxa"/>
                  <w:right w:w="108" w:type="dxa"/>
                </w:tblCellMar>
              </w:tblPrEx>
              <w:trPr>
                <w:trHeight w:val="418" w:hRule="atLeast"/>
                <w:jc w:val="center"/>
              </w:trPr>
              <w:tc>
                <w:tcPr>
                  <w:tcW w:w="520" w:type="pct"/>
                  <w:vMerge w:val="restart"/>
                  <w:tcBorders>
                    <w:top w:val="nil"/>
                    <w:left w:val="single" w:color="auto" w:sz="4" w:space="0"/>
                    <w:right w:val="single" w:color="auto" w:sz="4" w:space="0"/>
                  </w:tcBorders>
                  <w:vAlign w:val="center"/>
                </w:tcPr>
                <w:p w14:paraId="78A7CC93">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传染病楼</w:t>
                  </w:r>
                </w:p>
              </w:tc>
              <w:tc>
                <w:tcPr>
                  <w:tcW w:w="630" w:type="pct"/>
                  <w:tcBorders>
                    <w:top w:val="nil"/>
                    <w:left w:val="single" w:color="auto" w:sz="4" w:space="0"/>
                    <w:bottom w:val="single" w:color="auto" w:sz="4" w:space="0"/>
                    <w:right w:val="single" w:color="auto" w:sz="4" w:space="0"/>
                  </w:tcBorders>
                  <w:vAlign w:val="center"/>
                </w:tcPr>
                <w:p w14:paraId="58602E9E">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住院病房用水</w:t>
                  </w:r>
                </w:p>
              </w:tc>
              <w:tc>
                <w:tcPr>
                  <w:tcW w:w="962" w:type="pct"/>
                  <w:tcBorders>
                    <w:top w:val="nil"/>
                    <w:left w:val="nil"/>
                    <w:bottom w:val="single" w:color="auto" w:sz="4" w:space="0"/>
                    <w:right w:val="single" w:color="auto" w:sz="4" w:space="0"/>
                  </w:tcBorders>
                  <w:vAlign w:val="center"/>
                </w:tcPr>
                <w:p w14:paraId="7CE9501E">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4.44</w:t>
                  </w:r>
                </w:p>
              </w:tc>
              <w:tc>
                <w:tcPr>
                  <w:tcW w:w="962" w:type="pct"/>
                  <w:tcBorders>
                    <w:top w:val="nil"/>
                    <w:left w:val="nil"/>
                    <w:bottom w:val="single" w:color="auto" w:sz="4" w:space="0"/>
                    <w:right w:val="single" w:color="auto" w:sz="4" w:space="0"/>
                  </w:tcBorders>
                  <w:vAlign w:val="center"/>
                </w:tcPr>
                <w:p w14:paraId="1DB37E3F">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4.44</w:t>
                  </w:r>
                </w:p>
              </w:tc>
              <w:tc>
                <w:tcPr>
                  <w:tcW w:w="961" w:type="pct"/>
                  <w:tcBorders>
                    <w:top w:val="nil"/>
                    <w:left w:val="nil"/>
                    <w:bottom w:val="single" w:color="auto" w:sz="4" w:space="0"/>
                    <w:right w:val="single" w:color="auto" w:sz="4" w:space="0"/>
                  </w:tcBorders>
                  <w:vAlign w:val="center"/>
                </w:tcPr>
                <w:p w14:paraId="09FEE75E">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0.44</w:t>
                  </w:r>
                </w:p>
              </w:tc>
              <w:tc>
                <w:tcPr>
                  <w:tcW w:w="962" w:type="pct"/>
                  <w:tcBorders>
                    <w:top w:val="nil"/>
                    <w:left w:val="nil"/>
                    <w:bottom w:val="single" w:color="auto" w:sz="4" w:space="0"/>
                    <w:right w:val="single" w:color="auto" w:sz="4" w:space="0"/>
                  </w:tcBorders>
                  <w:vAlign w:val="center"/>
                </w:tcPr>
                <w:p w14:paraId="12FEC8A2">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4</w:t>
                  </w:r>
                  <w:r>
                    <w:rPr>
                      <w:rFonts w:hint="eastAsia" w:ascii="Times New Roman" w:hAnsi="Times New Roman" w:cs="Times New Roman"/>
                      <w:color w:val="000000" w:themeColor="text1"/>
                      <w:sz w:val="21"/>
                      <w:szCs w:val="21"/>
                      <w:lang w:val="en-US" w:bidi="ar"/>
                    </w:rPr>
                    <w:t>.00</w:t>
                  </w:r>
                </w:p>
              </w:tc>
            </w:tr>
            <w:tr w14:paraId="1B960581">
              <w:tblPrEx>
                <w:tblCellMar>
                  <w:top w:w="0" w:type="dxa"/>
                  <w:left w:w="108" w:type="dxa"/>
                  <w:bottom w:w="0" w:type="dxa"/>
                  <w:right w:w="108" w:type="dxa"/>
                </w:tblCellMar>
              </w:tblPrEx>
              <w:trPr>
                <w:trHeight w:val="418" w:hRule="atLeast"/>
                <w:jc w:val="center"/>
              </w:trPr>
              <w:tc>
                <w:tcPr>
                  <w:tcW w:w="520" w:type="pct"/>
                  <w:vMerge w:val="continue"/>
                  <w:tcBorders>
                    <w:left w:val="single" w:color="auto" w:sz="4" w:space="0"/>
                    <w:right w:val="single" w:color="auto" w:sz="4" w:space="0"/>
                  </w:tcBorders>
                  <w:vAlign w:val="center"/>
                </w:tcPr>
                <w:p w14:paraId="31FAEF4F">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p>
              </w:tc>
              <w:tc>
                <w:tcPr>
                  <w:tcW w:w="630" w:type="pct"/>
                  <w:tcBorders>
                    <w:top w:val="nil"/>
                    <w:left w:val="single" w:color="auto" w:sz="4" w:space="0"/>
                    <w:bottom w:val="single" w:color="auto" w:sz="4" w:space="0"/>
                    <w:right w:val="single" w:color="auto" w:sz="4" w:space="0"/>
                  </w:tcBorders>
                  <w:vAlign w:val="center"/>
                </w:tcPr>
                <w:p w14:paraId="02BB68DE">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保洁用水</w:t>
                  </w:r>
                </w:p>
              </w:tc>
              <w:tc>
                <w:tcPr>
                  <w:tcW w:w="962" w:type="pct"/>
                  <w:tcBorders>
                    <w:top w:val="nil"/>
                    <w:left w:val="nil"/>
                    <w:bottom w:val="single" w:color="auto" w:sz="4" w:space="0"/>
                    <w:right w:val="single" w:color="auto" w:sz="4" w:space="0"/>
                  </w:tcBorders>
                  <w:vAlign w:val="center"/>
                </w:tcPr>
                <w:p w14:paraId="6AB2C4D8">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1.7</w:t>
                  </w:r>
                </w:p>
              </w:tc>
              <w:tc>
                <w:tcPr>
                  <w:tcW w:w="962" w:type="pct"/>
                  <w:tcBorders>
                    <w:top w:val="nil"/>
                    <w:left w:val="nil"/>
                    <w:bottom w:val="single" w:color="auto" w:sz="4" w:space="0"/>
                    <w:right w:val="single" w:color="auto" w:sz="4" w:space="0"/>
                  </w:tcBorders>
                  <w:vAlign w:val="center"/>
                </w:tcPr>
                <w:p w14:paraId="67367526">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1.7</w:t>
                  </w:r>
                </w:p>
              </w:tc>
              <w:tc>
                <w:tcPr>
                  <w:tcW w:w="961" w:type="pct"/>
                  <w:tcBorders>
                    <w:top w:val="nil"/>
                    <w:left w:val="nil"/>
                    <w:bottom w:val="single" w:color="auto" w:sz="4" w:space="0"/>
                    <w:right w:val="single" w:color="auto" w:sz="4" w:space="0"/>
                  </w:tcBorders>
                  <w:vAlign w:val="center"/>
                </w:tcPr>
                <w:p w14:paraId="2F392C1D">
                  <w:pPr>
                    <w:widowControl/>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color w:val="000000" w:themeColor="text1"/>
                      <w:sz w:val="21"/>
                      <w:szCs w:val="21"/>
                      <w:lang w:val="en-US" w:bidi="ar"/>
                    </w:rPr>
                    <w:t>0.51</w:t>
                  </w:r>
                </w:p>
              </w:tc>
              <w:tc>
                <w:tcPr>
                  <w:tcW w:w="962" w:type="pct"/>
                  <w:tcBorders>
                    <w:top w:val="nil"/>
                    <w:left w:val="nil"/>
                    <w:bottom w:val="single" w:color="auto" w:sz="4" w:space="0"/>
                    <w:right w:val="single" w:color="auto" w:sz="4" w:space="0"/>
                  </w:tcBorders>
                  <w:vAlign w:val="center"/>
                </w:tcPr>
                <w:p w14:paraId="3F5E314C">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1.19</w:t>
                  </w:r>
                </w:p>
              </w:tc>
            </w:tr>
            <w:tr w14:paraId="34EDF0EA">
              <w:tblPrEx>
                <w:tblCellMar>
                  <w:top w:w="0" w:type="dxa"/>
                  <w:left w:w="108" w:type="dxa"/>
                  <w:bottom w:w="0" w:type="dxa"/>
                  <w:right w:w="108" w:type="dxa"/>
                </w:tblCellMar>
              </w:tblPrEx>
              <w:trPr>
                <w:trHeight w:val="418" w:hRule="atLeast"/>
                <w:jc w:val="center"/>
              </w:trPr>
              <w:tc>
                <w:tcPr>
                  <w:tcW w:w="520" w:type="pct"/>
                  <w:vMerge w:val="continue"/>
                  <w:tcBorders>
                    <w:left w:val="single" w:color="auto" w:sz="4" w:space="0"/>
                    <w:right w:val="single" w:color="auto" w:sz="4" w:space="0"/>
                  </w:tcBorders>
                  <w:vAlign w:val="center"/>
                </w:tcPr>
                <w:p w14:paraId="655DF7FC">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p>
              </w:tc>
              <w:tc>
                <w:tcPr>
                  <w:tcW w:w="630" w:type="pct"/>
                  <w:tcBorders>
                    <w:top w:val="nil"/>
                    <w:left w:val="single" w:color="auto" w:sz="4" w:space="0"/>
                    <w:bottom w:val="single" w:color="auto" w:sz="4" w:space="0"/>
                    <w:right w:val="single" w:color="auto" w:sz="4" w:space="0"/>
                  </w:tcBorders>
                  <w:vAlign w:val="center"/>
                </w:tcPr>
                <w:p w14:paraId="60FF5B62">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门诊用水</w:t>
                  </w:r>
                </w:p>
              </w:tc>
              <w:tc>
                <w:tcPr>
                  <w:tcW w:w="962" w:type="pct"/>
                  <w:tcBorders>
                    <w:top w:val="nil"/>
                    <w:left w:val="nil"/>
                    <w:bottom w:val="single" w:color="auto" w:sz="4" w:space="0"/>
                    <w:right w:val="single" w:color="auto" w:sz="4" w:space="0"/>
                  </w:tcBorders>
                  <w:vAlign w:val="center"/>
                </w:tcPr>
                <w:p w14:paraId="3F619A77">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0.23</w:t>
                  </w:r>
                </w:p>
              </w:tc>
              <w:tc>
                <w:tcPr>
                  <w:tcW w:w="962" w:type="pct"/>
                  <w:tcBorders>
                    <w:top w:val="nil"/>
                    <w:left w:val="nil"/>
                    <w:bottom w:val="single" w:color="auto" w:sz="4" w:space="0"/>
                    <w:right w:val="single" w:color="auto" w:sz="4" w:space="0"/>
                  </w:tcBorders>
                  <w:vAlign w:val="center"/>
                </w:tcPr>
                <w:p w14:paraId="1E6F953C">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0.23</w:t>
                  </w:r>
                </w:p>
              </w:tc>
              <w:tc>
                <w:tcPr>
                  <w:tcW w:w="961" w:type="pct"/>
                  <w:tcBorders>
                    <w:top w:val="nil"/>
                    <w:left w:val="nil"/>
                    <w:bottom w:val="single" w:color="auto" w:sz="4" w:space="0"/>
                    <w:right w:val="single" w:color="auto" w:sz="4" w:space="0"/>
                  </w:tcBorders>
                  <w:vAlign w:val="center"/>
                </w:tcPr>
                <w:p w14:paraId="39BCD5A5">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0.03</w:t>
                  </w:r>
                </w:p>
              </w:tc>
              <w:tc>
                <w:tcPr>
                  <w:tcW w:w="962" w:type="pct"/>
                  <w:tcBorders>
                    <w:top w:val="nil"/>
                    <w:left w:val="nil"/>
                    <w:bottom w:val="single" w:color="auto" w:sz="4" w:space="0"/>
                    <w:right w:val="single" w:color="auto" w:sz="4" w:space="0"/>
                  </w:tcBorders>
                  <w:vAlign w:val="center"/>
                </w:tcPr>
                <w:p w14:paraId="1C5CF349">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0.2</w:t>
                  </w:r>
                </w:p>
              </w:tc>
            </w:tr>
            <w:tr w14:paraId="1D4F8240">
              <w:tblPrEx>
                <w:tblCellMar>
                  <w:top w:w="0" w:type="dxa"/>
                  <w:left w:w="108" w:type="dxa"/>
                  <w:bottom w:w="0" w:type="dxa"/>
                  <w:right w:w="108" w:type="dxa"/>
                </w:tblCellMar>
              </w:tblPrEx>
              <w:trPr>
                <w:trHeight w:val="418" w:hRule="atLeast"/>
                <w:jc w:val="center"/>
              </w:trPr>
              <w:tc>
                <w:tcPr>
                  <w:tcW w:w="520" w:type="pct"/>
                  <w:vMerge w:val="continue"/>
                  <w:tcBorders>
                    <w:left w:val="single" w:color="auto" w:sz="4" w:space="0"/>
                    <w:right w:val="single" w:color="auto" w:sz="4" w:space="0"/>
                  </w:tcBorders>
                  <w:vAlign w:val="center"/>
                </w:tcPr>
                <w:p w14:paraId="27402018">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p>
              </w:tc>
              <w:tc>
                <w:tcPr>
                  <w:tcW w:w="630" w:type="pct"/>
                  <w:tcBorders>
                    <w:top w:val="nil"/>
                    <w:left w:val="single" w:color="auto" w:sz="4" w:space="0"/>
                    <w:bottom w:val="single" w:color="auto" w:sz="4" w:space="0"/>
                    <w:right w:val="single" w:color="auto" w:sz="4" w:space="0"/>
                  </w:tcBorders>
                  <w:vAlign w:val="center"/>
                </w:tcPr>
                <w:p w14:paraId="621BFF73">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职工用</w:t>
                  </w:r>
                  <w:r>
                    <w:rPr>
                      <w:rFonts w:ascii="Times New Roman" w:hAnsi="Times New Roman" w:cs="Times New Roman" w:eastAsiaTheme="minorEastAsia"/>
                      <w:color w:val="000000" w:themeColor="text1"/>
                      <w:sz w:val="21"/>
                      <w:szCs w:val="21"/>
                    </w:rPr>
                    <w:t>水</w:t>
                  </w:r>
                </w:p>
              </w:tc>
              <w:tc>
                <w:tcPr>
                  <w:tcW w:w="962" w:type="pct"/>
                  <w:tcBorders>
                    <w:top w:val="nil"/>
                    <w:left w:val="nil"/>
                    <w:bottom w:val="single" w:color="auto" w:sz="4" w:space="0"/>
                    <w:right w:val="single" w:color="auto" w:sz="4" w:space="0"/>
                  </w:tcBorders>
                  <w:vAlign w:val="center"/>
                </w:tcPr>
                <w:p w14:paraId="6723CA99">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3</w:t>
                  </w:r>
                </w:p>
              </w:tc>
              <w:tc>
                <w:tcPr>
                  <w:tcW w:w="962" w:type="pct"/>
                  <w:tcBorders>
                    <w:top w:val="nil"/>
                    <w:left w:val="nil"/>
                    <w:bottom w:val="single" w:color="auto" w:sz="4" w:space="0"/>
                    <w:right w:val="single" w:color="auto" w:sz="4" w:space="0"/>
                  </w:tcBorders>
                  <w:vAlign w:val="center"/>
                </w:tcPr>
                <w:p w14:paraId="63203808">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3</w:t>
                  </w:r>
                </w:p>
              </w:tc>
              <w:tc>
                <w:tcPr>
                  <w:tcW w:w="961" w:type="pct"/>
                  <w:tcBorders>
                    <w:top w:val="nil"/>
                    <w:left w:val="nil"/>
                    <w:bottom w:val="single" w:color="auto" w:sz="4" w:space="0"/>
                    <w:right w:val="single" w:color="auto" w:sz="4" w:space="0"/>
                  </w:tcBorders>
                  <w:vAlign w:val="center"/>
                </w:tcPr>
                <w:p w14:paraId="66126CB0">
                  <w:pPr>
                    <w:widowControl/>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color w:val="000000" w:themeColor="text1"/>
                      <w:sz w:val="21"/>
                      <w:szCs w:val="21"/>
                      <w:lang w:val="en-US" w:bidi="ar"/>
                    </w:rPr>
                    <w:t>0.6</w:t>
                  </w:r>
                </w:p>
              </w:tc>
              <w:tc>
                <w:tcPr>
                  <w:tcW w:w="962" w:type="pct"/>
                  <w:tcBorders>
                    <w:top w:val="nil"/>
                    <w:left w:val="nil"/>
                    <w:bottom w:val="single" w:color="auto" w:sz="4" w:space="0"/>
                    <w:right w:val="single" w:color="auto" w:sz="4" w:space="0"/>
                  </w:tcBorders>
                  <w:vAlign w:val="center"/>
                </w:tcPr>
                <w:p w14:paraId="6BE07759">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2.4</w:t>
                  </w:r>
                </w:p>
              </w:tc>
            </w:tr>
            <w:tr w14:paraId="32C3A8C4">
              <w:tblPrEx>
                <w:tblCellMar>
                  <w:top w:w="0" w:type="dxa"/>
                  <w:left w:w="108" w:type="dxa"/>
                  <w:bottom w:w="0" w:type="dxa"/>
                  <w:right w:w="108" w:type="dxa"/>
                </w:tblCellMar>
              </w:tblPrEx>
              <w:trPr>
                <w:trHeight w:val="418" w:hRule="atLeast"/>
                <w:jc w:val="center"/>
              </w:trPr>
              <w:tc>
                <w:tcPr>
                  <w:tcW w:w="520" w:type="pct"/>
                  <w:vMerge w:val="continue"/>
                  <w:tcBorders>
                    <w:left w:val="single" w:color="auto" w:sz="4" w:space="0"/>
                    <w:right w:val="single" w:color="auto" w:sz="4" w:space="0"/>
                  </w:tcBorders>
                  <w:vAlign w:val="center"/>
                </w:tcPr>
                <w:p w14:paraId="0E44A0E7">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p>
              </w:tc>
              <w:tc>
                <w:tcPr>
                  <w:tcW w:w="630" w:type="pct"/>
                  <w:tcBorders>
                    <w:top w:val="nil"/>
                    <w:left w:val="single" w:color="auto" w:sz="4" w:space="0"/>
                    <w:bottom w:val="single" w:color="auto" w:sz="4" w:space="0"/>
                    <w:right w:val="single" w:color="auto" w:sz="4" w:space="0"/>
                  </w:tcBorders>
                  <w:vAlign w:val="center"/>
                </w:tcPr>
                <w:p w14:paraId="79DD749D">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洗衣房用水</w:t>
                  </w:r>
                </w:p>
              </w:tc>
              <w:tc>
                <w:tcPr>
                  <w:tcW w:w="962" w:type="pct"/>
                  <w:tcBorders>
                    <w:top w:val="nil"/>
                    <w:left w:val="nil"/>
                    <w:bottom w:val="single" w:color="auto" w:sz="4" w:space="0"/>
                    <w:right w:val="single" w:color="auto" w:sz="4" w:space="0"/>
                  </w:tcBorders>
                  <w:vAlign w:val="center"/>
                </w:tcPr>
                <w:p w14:paraId="3FCF9BCD">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0.6</w:t>
                  </w:r>
                </w:p>
              </w:tc>
              <w:tc>
                <w:tcPr>
                  <w:tcW w:w="962" w:type="pct"/>
                  <w:tcBorders>
                    <w:top w:val="nil"/>
                    <w:left w:val="nil"/>
                    <w:bottom w:val="single" w:color="auto" w:sz="4" w:space="0"/>
                    <w:right w:val="single" w:color="auto" w:sz="4" w:space="0"/>
                  </w:tcBorders>
                  <w:vAlign w:val="center"/>
                </w:tcPr>
                <w:p w14:paraId="1A98EF8D">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0.6</w:t>
                  </w:r>
                </w:p>
              </w:tc>
              <w:tc>
                <w:tcPr>
                  <w:tcW w:w="961" w:type="pct"/>
                  <w:tcBorders>
                    <w:top w:val="nil"/>
                    <w:left w:val="nil"/>
                    <w:bottom w:val="single" w:color="auto" w:sz="4" w:space="0"/>
                    <w:right w:val="single" w:color="auto" w:sz="4" w:space="0"/>
                  </w:tcBorders>
                  <w:vAlign w:val="center"/>
                </w:tcPr>
                <w:p w14:paraId="782AB329">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0.12</w:t>
                  </w:r>
                </w:p>
              </w:tc>
              <w:tc>
                <w:tcPr>
                  <w:tcW w:w="962" w:type="pct"/>
                  <w:tcBorders>
                    <w:top w:val="nil"/>
                    <w:left w:val="nil"/>
                    <w:bottom w:val="single" w:color="auto" w:sz="4" w:space="0"/>
                    <w:right w:val="single" w:color="auto" w:sz="4" w:space="0"/>
                  </w:tcBorders>
                  <w:vAlign w:val="center"/>
                </w:tcPr>
                <w:p w14:paraId="19281BEA">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0.48</w:t>
                  </w:r>
                </w:p>
              </w:tc>
            </w:tr>
            <w:tr w14:paraId="3DE260BD">
              <w:tblPrEx>
                <w:tblCellMar>
                  <w:top w:w="0" w:type="dxa"/>
                  <w:left w:w="108" w:type="dxa"/>
                  <w:bottom w:w="0" w:type="dxa"/>
                  <w:right w:w="108" w:type="dxa"/>
                </w:tblCellMar>
              </w:tblPrEx>
              <w:trPr>
                <w:trHeight w:val="418" w:hRule="atLeast"/>
                <w:jc w:val="center"/>
              </w:trPr>
              <w:tc>
                <w:tcPr>
                  <w:tcW w:w="520" w:type="pct"/>
                  <w:vMerge w:val="continue"/>
                  <w:tcBorders>
                    <w:left w:val="single" w:color="auto" w:sz="4" w:space="0"/>
                    <w:right w:val="single" w:color="auto" w:sz="4" w:space="0"/>
                  </w:tcBorders>
                  <w:vAlign w:val="center"/>
                </w:tcPr>
                <w:p w14:paraId="172E28FE">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p>
              </w:tc>
              <w:tc>
                <w:tcPr>
                  <w:tcW w:w="630" w:type="pct"/>
                  <w:tcBorders>
                    <w:top w:val="nil"/>
                    <w:left w:val="single" w:color="auto" w:sz="4" w:space="0"/>
                    <w:bottom w:val="single" w:color="auto" w:sz="4" w:space="0"/>
                    <w:right w:val="single" w:color="auto" w:sz="4" w:space="0"/>
                  </w:tcBorders>
                  <w:vAlign w:val="center"/>
                </w:tcPr>
                <w:p w14:paraId="60E75E2E">
                  <w:pPr>
                    <w:autoSpaceDE/>
                    <w:autoSpaceDN/>
                    <w:spacing w:line="400" w:lineRule="exact"/>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检验室用水</w:t>
                  </w:r>
                </w:p>
              </w:tc>
              <w:tc>
                <w:tcPr>
                  <w:tcW w:w="962" w:type="pct"/>
                  <w:tcBorders>
                    <w:top w:val="nil"/>
                    <w:left w:val="nil"/>
                    <w:bottom w:val="single" w:color="auto" w:sz="4" w:space="0"/>
                    <w:right w:val="single" w:color="auto" w:sz="4" w:space="0"/>
                  </w:tcBorders>
                  <w:vAlign w:val="center"/>
                </w:tcPr>
                <w:p w14:paraId="2714F69C">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0.5</w:t>
                  </w:r>
                </w:p>
              </w:tc>
              <w:tc>
                <w:tcPr>
                  <w:tcW w:w="962" w:type="pct"/>
                  <w:tcBorders>
                    <w:top w:val="nil"/>
                    <w:left w:val="nil"/>
                    <w:bottom w:val="single" w:color="auto" w:sz="4" w:space="0"/>
                    <w:right w:val="single" w:color="auto" w:sz="4" w:space="0"/>
                  </w:tcBorders>
                  <w:vAlign w:val="center"/>
                </w:tcPr>
                <w:p w14:paraId="6A4587BA">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0.5</w:t>
                  </w:r>
                </w:p>
              </w:tc>
              <w:tc>
                <w:tcPr>
                  <w:tcW w:w="961" w:type="pct"/>
                  <w:tcBorders>
                    <w:top w:val="nil"/>
                    <w:left w:val="nil"/>
                    <w:bottom w:val="single" w:color="auto" w:sz="4" w:space="0"/>
                    <w:right w:val="single" w:color="auto" w:sz="4" w:space="0"/>
                  </w:tcBorders>
                  <w:vAlign w:val="center"/>
                </w:tcPr>
                <w:p w14:paraId="0874C83C">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0.05</w:t>
                  </w:r>
                </w:p>
              </w:tc>
              <w:tc>
                <w:tcPr>
                  <w:tcW w:w="962" w:type="pct"/>
                  <w:tcBorders>
                    <w:top w:val="nil"/>
                    <w:left w:val="nil"/>
                    <w:bottom w:val="single" w:color="auto" w:sz="4" w:space="0"/>
                    <w:right w:val="single" w:color="auto" w:sz="4" w:space="0"/>
                  </w:tcBorders>
                  <w:vAlign w:val="center"/>
                </w:tcPr>
                <w:p w14:paraId="03325B3A">
                  <w:pPr>
                    <w:widowControl/>
                    <w:jc w:val="center"/>
                    <w:textAlignment w:val="center"/>
                    <w:rPr>
                      <w:rFonts w:ascii="Times New Roman" w:hAnsi="Times New Roman" w:cs="Times New Roman"/>
                      <w:color w:val="000000" w:themeColor="text1"/>
                      <w:sz w:val="21"/>
                      <w:szCs w:val="21"/>
                      <w:u w:val="single"/>
                      <w:lang w:val="en-US" w:bidi="ar"/>
                    </w:rPr>
                  </w:pPr>
                  <w:r>
                    <w:rPr>
                      <w:rFonts w:hint="eastAsia" w:ascii="Times New Roman" w:hAnsi="Times New Roman" w:cs="Times New Roman"/>
                      <w:color w:val="000000" w:themeColor="text1"/>
                      <w:sz w:val="21"/>
                      <w:szCs w:val="21"/>
                      <w:u w:val="single"/>
                      <w:lang w:val="en-US" w:bidi="ar"/>
                    </w:rPr>
                    <w:t>0.45</w:t>
                  </w:r>
                </w:p>
              </w:tc>
            </w:tr>
            <w:tr w14:paraId="3B6F8C79">
              <w:tblPrEx>
                <w:tblCellMar>
                  <w:top w:w="0" w:type="dxa"/>
                  <w:left w:w="108" w:type="dxa"/>
                  <w:bottom w:w="0" w:type="dxa"/>
                  <w:right w:w="108" w:type="dxa"/>
                </w:tblCellMar>
              </w:tblPrEx>
              <w:trPr>
                <w:trHeight w:val="418" w:hRule="atLeast"/>
                <w:jc w:val="center"/>
              </w:trPr>
              <w:tc>
                <w:tcPr>
                  <w:tcW w:w="520" w:type="pct"/>
                  <w:vMerge w:val="continue"/>
                  <w:tcBorders>
                    <w:left w:val="single" w:color="auto" w:sz="4" w:space="0"/>
                    <w:bottom w:val="single" w:color="auto" w:sz="4" w:space="0"/>
                    <w:right w:val="single" w:color="auto" w:sz="4" w:space="0"/>
                  </w:tcBorders>
                  <w:vAlign w:val="center"/>
                </w:tcPr>
                <w:p w14:paraId="30A613FF">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p>
              </w:tc>
              <w:tc>
                <w:tcPr>
                  <w:tcW w:w="630" w:type="pct"/>
                  <w:tcBorders>
                    <w:top w:val="nil"/>
                    <w:left w:val="single" w:color="auto" w:sz="4" w:space="0"/>
                    <w:bottom w:val="single" w:color="auto" w:sz="4" w:space="0"/>
                    <w:right w:val="single" w:color="auto" w:sz="4" w:space="0"/>
                  </w:tcBorders>
                  <w:vAlign w:val="center"/>
                </w:tcPr>
                <w:p w14:paraId="6E59E63D">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小计</w:t>
                  </w:r>
                </w:p>
              </w:tc>
              <w:tc>
                <w:tcPr>
                  <w:tcW w:w="962" w:type="pct"/>
                  <w:tcBorders>
                    <w:top w:val="nil"/>
                    <w:left w:val="nil"/>
                    <w:bottom w:val="single" w:color="auto" w:sz="4" w:space="0"/>
                    <w:right w:val="single" w:color="auto" w:sz="4" w:space="0"/>
                  </w:tcBorders>
                  <w:vAlign w:val="center"/>
                </w:tcPr>
                <w:p w14:paraId="09E2B2BE">
                  <w:pPr>
                    <w:widowControl/>
                    <w:jc w:val="center"/>
                    <w:textAlignment w:val="center"/>
                    <w:rPr>
                      <w:rFonts w:ascii="Times New Roman" w:hAnsi="Times New Roman" w:cs="Times New Roman" w:eastAsiaTheme="minorEastAsia"/>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10.47</w:t>
                  </w:r>
                </w:p>
              </w:tc>
              <w:tc>
                <w:tcPr>
                  <w:tcW w:w="962" w:type="pct"/>
                  <w:tcBorders>
                    <w:top w:val="nil"/>
                    <w:left w:val="nil"/>
                    <w:bottom w:val="single" w:color="auto" w:sz="4" w:space="0"/>
                    <w:right w:val="single" w:color="auto" w:sz="4" w:space="0"/>
                  </w:tcBorders>
                  <w:vAlign w:val="center"/>
                </w:tcPr>
                <w:p w14:paraId="58EFCACF">
                  <w:pPr>
                    <w:widowControl/>
                    <w:jc w:val="center"/>
                    <w:textAlignment w:val="center"/>
                    <w:rPr>
                      <w:rFonts w:ascii="Times New Roman" w:hAnsi="Times New Roman" w:cs="Times New Roman" w:eastAsiaTheme="minorEastAsia"/>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10.47</w:t>
                  </w:r>
                </w:p>
              </w:tc>
              <w:tc>
                <w:tcPr>
                  <w:tcW w:w="961" w:type="pct"/>
                  <w:tcBorders>
                    <w:top w:val="nil"/>
                    <w:left w:val="nil"/>
                    <w:bottom w:val="single" w:color="auto" w:sz="4" w:space="0"/>
                    <w:right w:val="single" w:color="auto" w:sz="4" w:space="0"/>
                  </w:tcBorders>
                  <w:vAlign w:val="center"/>
                </w:tcPr>
                <w:p w14:paraId="0244525A">
                  <w:pPr>
                    <w:widowControl/>
                    <w:jc w:val="center"/>
                    <w:textAlignment w:val="center"/>
                    <w:rPr>
                      <w:rFonts w:ascii="Times New Roman" w:hAnsi="Times New Roman" w:cs="Times New Roman" w:eastAsiaTheme="minorEastAsia"/>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1.75</w:t>
                  </w:r>
                </w:p>
              </w:tc>
              <w:tc>
                <w:tcPr>
                  <w:tcW w:w="962" w:type="pct"/>
                  <w:tcBorders>
                    <w:top w:val="nil"/>
                    <w:left w:val="nil"/>
                    <w:bottom w:val="single" w:color="auto" w:sz="4" w:space="0"/>
                    <w:right w:val="single" w:color="auto" w:sz="4" w:space="0"/>
                  </w:tcBorders>
                  <w:vAlign w:val="center"/>
                </w:tcPr>
                <w:p w14:paraId="1217F06F">
                  <w:pPr>
                    <w:widowControl/>
                    <w:jc w:val="center"/>
                    <w:textAlignment w:val="center"/>
                    <w:rPr>
                      <w:rFonts w:ascii="Times New Roman" w:hAnsi="Times New Roman" w:cs="Times New Roman" w:eastAsiaTheme="minorEastAsia"/>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8.72</w:t>
                  </w:r>
                </w:p>
              </w:tc>
            </w:tr>
            <w:tr w14:paraId="1235F7CD">
              <w:tblPrEx>
                <w:tblCellMar>
                  <w:top w:w="0" w:type="dxa"/>
                  <w:left w:w="108" w:type="dxa"/>
                  <w:bottom w:w="0" w:type="dxa"/>
                  <w:right w:w="108" w:type="dxa"/>
                </w:tblCellMar>
              </w:tblPrEx>
              <w:trPr>
                <w:trHeight w:val="415" w:hRule="atLeast"/>
                <w:jc w:val="center"/>
              </w:trPr>
              <w:tc>
                <w:tcPr>
                  <w:tcW w:w="520" w:type="pct"/>
                  <w:vMerge w:val="restart"/>
                  <w:tcBorders>
                    <w:top w:val="single" w:color="auto" w:sz="4" w:space="0"/>
                    <w:left w:val="single" w:color="auto" w:sz="4" w:space="0"/>
                    <w:bottom w:val="single" w:color="auto" w:sz="4" w:space="0"/>
                    <w:right w:val="single" w:color="auto" w:sz="4" w:space="0"/>
                  </w:tcBorders>
                  <w:vAlign w:val="center"/>
                </w:tcPr>
                <w:p w14:paraId="416CC6A3">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业务综合楼</w:t>
                  </w:r>
                </w:p>
              </w:tc>
              <w:tc>
                <w:tcPr>
                  <w:tcW w:w="630" w:type="pct"/>
                  <w:tcBorders>
                    <w:top w:val="nil"/>
                    <w:left w:val="single" w:color="auto" w:sz="4" w:space="0"/>
                    <w:bottom w:val="single" w:color="auto" w:sz="4" w:space="0"/>
                    <w:right w:val="single" w:color="auto" w:sz="4" w:space="0"/>
                  </w:tcBorders>
                  <w:vAlign w:val="center"/>
                </w:tcPr>
                <w:p w14:paraId="050D3C67">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住院病房用水</w:t>
                  </w:r>
                </w:p>
              </w:tc>
              <w:tc>
                <w:tcPr>
                  <w:tcW w:w="962" w:type="pct"/>
                  <w:tcBorders>
                    <w:top w:val="nil"/>
                    <w:left w:val="nil"/>
                    <w:bottom w:val="single" w:color="auto" w:sz="4" w:space="0"/>
                    <w:right w:val="single" w:color="auto" w:sz="4" w:space="0"/>
                  </w:tcBorders>
                  <w:vAlign w:val="center"/>
                </w:tcPr>
                <w:p w14:paraId="67D2DF15">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86.22</w:t>
                  </w:r>
                </w:p>
              </w:tc>
              <w:tc>
                <w:tcPr>
                  <w:tcW w:w="962" w:type="pct"/>
                  <w:tcBorders>
                    <w:top w:val="nil"/>
                    <w:left w:val="nil"/>
                    <w:bottom w:val="single" w:color="auto" w:sz="4" w:space="0"/>
                    <w:right w:val="single" w:color="auto" w:sz="4" w:space="0"/>
                  </w:tcBorders>
                  <w:vAlign w:val="center"/>
                </w:tcPr>
                <w:p w14:paraId="1FC51427">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86.22</w:t>
                  </w:r>
                </w:p>
              </w:tc>
              <w:tc>
                <w:tcPr>
                  <w:tcW w:w="961" w:type="pct"/>
                  <w:tcBorders>
                    <w:top w:val="nil"/>
                    <w:left w:val="nil"/>
                    <w:bottom w:val="single" w:color="auto" w:sz="4" w:space="0"/>
                    <w:right w:val="single" w:color="auto" w:sz="4" w:space="0"/>
                  </w:tcBorders>
                  <w:vAlign w:val="center"/>
                </w:tcPr>
                <w:p w14:paraId="66A2E8BE">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8.62</w:t>
                  </w:r>
                </w:p>
              </w:tc>
              <w:tc>
                <w:tcPr>
                  <w:tcW w:w="962" w:type="pct"/>
                  <w:tcBorders>
                    <w:top w:val="nil"/>
                    <w:left w:val="nil"/>
                    <w:bottom w:val="single" w:color="auto" w:sz="4" w:space="0"/>
                    <w:right w:val="single" w:color="auto" w:sz="4" w:space="0"/>
                  </w:tcBorders>
                  <w:vAlign w:val="center"/>
                </w:tcPr>
                <w:p w14:paraId="12C7B34B">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77.6</w:t>
                  </w:r>
                  <w:r>
                    <w:rPr>
                      <w:rFonts w:hint="eastAsia" w:ascii="Times New Roman" w:hAnsi="Times New Roman" w:cs="Times New Roman"/>
                      <w:color w:val="000000" w:themeColor="text1"/>
                      <w:sz w:val="21"/>
                      <w:szCs w:val="21"/>
                      <w:lang w:val="en-US" w:bidi="ar"/>
                    </w:rPr>
                    <w:t>0</w:t>
                  </w:r>
                </w:p>
              </w:tc>
            </w:tr>
            <w:tr w14:paraId="485F43A8">
              <w:tblPrEx>
                <w:tblCellMar>
                  <w:top w:w="0" w:type="dxa"/>
                  <w:left w:w="108" w:type="dxa"/>
                  <w:bottom w:w="0" w:type="dxa"/>
                  <w:right w:w="108" w:type="dxa"/>
                </w:tblCellMar>
              </w:tblPrEx>
              <w:trPr>
                <w:trHeight w:val="418" w:hRule="atLeast"/>
                <w:jc w:val="center"/>
              </w:trPr>
              <w:tc>
                <w:tcPr>
                  <w:tcW w:w="520" w:type="pct"/>
                  <w:vMerge w:val="continue"/>
                  <w:tcBorders>
                    <w:top w:val="single" w:color="auto" w:sz="4" w:space="0"/>
                    <w:left w:val="single" w:color="auto" w:sz="4" w:space="0"/>
                    <w:bottom w:val="single" w:color="auto" w:sz="4" w:space="0"/>
                    <w:right w:val="single" w:color="auto" w:sz="4" w:space="0"/>
                  </w:tcBorders>
                  <w:vAlign w:val="center"/>
                </w:tcPr>
                <w:p w14:paraId="3B7025C0">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p>
              </w:tc>
              <w:tc>
                <w:tcPr>
                  <w:tcW w:w="630" w:type="pct"/>
                  <w:tcBorders>
                    <w:top w:val="nil"/>
                    <w:left w:val="single" w:color="auto" w:sz="4" w:space="0"/>
                    <w:bottom w:val="single" w:color="auto" w:sz="4" w:space="0"/>
                    <w:right w:val="single" w:color="auto" w:sz="4" w:space="0"/>
                  </w:tcBorders>
                  <w:vAlign w:val="center"/>
                </w:tcPr>
                <w:p w14:paraId="58650C04">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保洁用水</w:t>
                  </w:r>
                </w:p>
              </w:tc>
              <w:tc>
                <w:tcPr>
                  <w:tcW w:w="962" w:type="pct"/>
                  <w:tcBorders>
                    <w:top w:val="nil"/>
                    <w:left w:val="nil"/>
                    <w:bottom w:val="single" w:color="auto" w:sz="4" w:space="0"/>
                    <w:right w:val="single" w:color="auto" w:sz="4" w:space="0"/>
                  </w:tcBorders>
                  <w:vAlign w:val="center"/>
                </w:tcPr>
                <w:p w14:paraId="378AEA6B">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18.27</w:t>
                  </w:r>
                </w:p>
              </w:tc>
              <w:tc>
                <w:tcPr>
                  <w:tcW w:w="962" w:type="pct"/>
                  <w:tcBorders>
                    <w:top w:val="nil"/>
                    <w:left w:val="nil"/>
                    <w:bottom w:val="single" w:color="auto" w:sz="4" w:space="0"/>
                    <w:right w:val="single" w:color="auto" w:sz="4" w:space="0"/>
                  </w:tcBorders>
                  <w:vAlign w:val="center"/>
                </w:tcPr>
                <w:p w14:paraId="674FD31A">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18.27</w:t>
                  </w:r>
                </w:p>
              </w:tc>
              <w:tc>
                <w:tcPr>
                  <w:tcW w:w="961" w:type="pct"/>
                  <w:tcBorders>
                    <w:top w:val="nil"/>
                    <w:left w:val="nil"/>
                    <w:bottom w:val="single" w:color="auto" w:sz="4" w:space="0"/>
                    <w:right w:val="single" w:color="auto" w:sz="4" w:space="0"/>
                  </w:tcBorders>
                  <w:vAlign w:val="center"/>
                </w:tcPr>
                <w:p w14:paraId="7C626A2D">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5.48</w:t>
                  </w:r>
                </w:p>
              </w:tc>
              <w:tc>
                <w:tcPr>
                  <w:tcW w:w="962" w:type="pct"/>
                  <w:tcBorders>
                    <w:top w:val="nil"/>
                    <w:left w:val="nil"/>
                    <w:bottom w:val="single" w:color="auto" w:sz="4" w:space="0"/>
                    <w:right w:val="single" w:color="auto" w:sz="4" w:space="0"/>
                  </w:tcBorders>
                  <w:vAlign w:val="center"/>
                </w:tcPr>
                <w:p w14:paraId="66904977">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12.79</w:t>
                  </w:r>
                </w:p>
              </w:tc>
            </w:tr>
            <w:tr w14:paraId="128D80E4">
              <w:tblPrEx>
                <w:tblCellMar>
                  <w:top w:w="0" w:type="dxa"/>
                  <w:left w:w="108" w:type="dxa"/>
                  <w:bottom w:w="0" w:type="dxa"/>
                  <w:right w:w="108" w:type="dxa"/>
                </w:tblCellMar>
              </w:tblPrEx>
              <w:trPr>
                <w:trHeight w:val="418" w:hRule="atLeast"/>
                <w:jc w:val="center"/>
              </w:trPr>
              <w:tc>
                <w:tcPr>
                  <w:tcW w:w="520" w:type="pct"/>
                  <w:vMerge w:val="continue"/>
                  <w:tcBorders>
                    <w:top w:val="single" w:color="auto" w:sz="4" w:space="0"/>
                    <w:left w:val="single" w:color="auto" w:sz="4" w:space="0"/>
                    <w:bottom w:val="single" w:color="auto" w:sz="4" w:space="0"/>
                    <w:right w:val="single" w:color="auto" w:sz="4" w:space="0"/>
                  </w:tcBorders>
                  <w:vAlign w:val="center"/>
                </w:tcPr>
                <w:p w14:paraId="09B34D51">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p>
              </w:tc>
              <w:tc>
                <w:tcPr>
                  <w:tcW w:w="630" w:type="pct"/>
                  <w:tcBorders>
                    <w:top w:val="nil"/>
                    <w:left w:val="single" w:color="auto" w:sz="4" w:space="0"/>
                    <w:bottom w:val="single" w:color="auto" w:sz="4" w:space="0"/>
                    <w:right w:val="single" w:color="auto" w:sz="4" w:space="0"/>
                  </w:tcBorders>
                  <w:vAlign w:val="center"/>
                </w:tcPr>
                <w:p w14:paraId="3EA9C244">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门诊用水</w:t>
                  </w:r>
                </w:p>
              </w:tc>
              <w:tc>
                <w:tcPr>
                  <w:tcW w:w="962" w:type="pct"/>
                  <w:tcBorders>
                    <w:top w:val="nil"/>
                    <w:left w:val="nil"/>
                    <w:bottom w:val="single" w:color="auto" w:sz="4" w:space="0"/>
                    <w:right w:val="single" w:color="auto" w:sz="4" w:space="0"/>
                  </w:tcBorders>
                  <w:vAlign w:val="center"/>
                </w:tcPr>
                <w:p w14:paraId="118E7A21">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1.29</w:t>
                  </w:r>
                </w:p>
              </w:tc>
              <w:tc>
                <w:tcPr>
                  <w:tcW w:w="962" w:type="pct"/>
                  <w:tcBorders>
                    <w:top w:val="nil"/>
                    <w:left w:val="nil"/>
                    <w:bottom w:val="single" w:color="auto" w:sz="4" w:space="0"/>
                    <w:right w:val="single" w:color="auto" w:sz="4" w:space="0"/>
                  </w:tcBorders>
                  <w:vAlign w:val="center"/>
                </w:tcPr>
                <w:p w14:paraId="21F00C25">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1.29</w:t>
                  </w:r>
                </w:p>
              </w:tc>
              <w:tc>
                <w:tcPr>
                  <w:tcW w:w="961" w:type="pct"/>
                  <w:tcBorders>
                    <w:top w:val="nil"/>
                    <w:left w:val="nil"/>
                    <w:bottom w:val="single" w:color="auto" w:sz="4" w:space="0"/>
                    <w:right w:val="single" w:color="auto" w:sz="4" w:space="0"/>
                  </w:tcBorders>
                  <w:vAlign w:val="center"/>
                </w:tcPr>
                <w:p w14:paraId="110EBE36">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0.13</w:t>
                  </w:r>
                </w:p>
              </w:tc>
              <w:tc>
                <w:tcPr>
                  <w:tcW w:w="962" w:type="pct"/>
                  <w:tcBorders>
                    <w:top w:val="nil"/>
                    <w:left w:val="nil"/>
                    <w:bottom w:val="single" w:color="auto" w:sz="4" w:space="0"/>
                    <w:right w:val="single" w:color="auto" w:sz="4" w:space="0"/>
                  </w:tcBorders>
                  <w:vAlign w:val="center"/>
                </w:tcPr>
                <w:p w14:paraId="7DA3DE21">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1.16</w:t>
                  </w:r>
                </w:p>
              </w:tc>
            </w:tr>
            <w:tr w14:paraId="5646059E">
              <w:tblPrEx>
                <w:tblCellMar>
                  <w:top w:w="0" w:type="dxa"/>
                  <w:left w:w="108" w:type="dxa"/>
                  <w:bottom w:w="0" w:type="dxa"/>
                  <w:right w:w="108" w:type="dxa"/>
                </w:tblCellMar>
              </w:tblPrEx>
              <w:trPr>
                <w:trHeight w:val="418" w:hRule="atLeast"/>
                <w:jc w:val="center"/>
              </w:trPr>
              <w:tc>
                <w:tcPr>
                  <w:tcW w:w="520" w:type="pct"/>
                  <w:vMerge w:val="continue"/>
                  <w:tcBorders>
                    <w:top w:val="single" w:color="auto" w:sz="4" w:space="0"/>
                    <w:left w:val="single" w:color="auto" w:sz="4" w:space="0"/>
                    <w:bottom w:val="single" w:color="auto" w:sz="4" w:space="0"/>
                    <w:right w:val="single" w:color="auto" w:sz="4" w:space="0"/>
                  </w:tcBorders>
                  <w:vAlign w:val="center"/>
                </w:tcPr>
                <w:p w14:paraId="599669B1">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p>
              </w:tc>
              <w:tc>
                <w:tcPr>
                  <w:tcW w:w="630" w:type="pct"/>
                  <w:tcBorders>
                    <w:top w:val="nil"/>
                    <w:left w:val="single" w:color="auto" w:sz="4" w:space="0"/>
                    <w:bottom w:val="single" w:color="auto" w:sz="4" w:space="0"/>
                    <w:right w:val="single" w:color="auto" w:sz="4" w:space="0"/>
                  </w:tcBorders>
                  <w:vAlign w:val="center"/>
                </w:tcPr>
                <w:p w14:paraId="7A619459">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洗衣房用水</w:t>
                  </w:r>
                </w:p>
              </w:tc>
              <w:tc>
                <w:tcPr>
                  <w:tcW w:w="962" w:type="pct"/>
                  <w:tcBorders>
                    <w:top w:val="nil"/>
                    <w:left w:val="nil"/>
                    <w:bottom w:val="single" w:color="auto" w:sz="4" w:space="0"/>
                    <w:right w:val="single" w:color="auto" w:sz="4" w:space="0"/>
                  </w:tcBorders>
                  <w:vAlign w:val="center"/>
                </w:tcPr>
                <w:p w14:paraId="0C850D80">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11.64</w:t>
                  </w:r>
                </w:p>
              </w:tc>
              <w:tc>
                <w:tcPr>
                  <w:tcW w:w="962" w:type="pct"/>
                  <w:tcBorders>
                    <w:top w:val="nil"/>
                    <w:left w:val="nil"/>
                    <w:bottom w:val="single" w:color="auto" w:sz="4" w:space="0"/>
                    <w:right w:val="single" w:color="auto" w:sz="4" w:space="0"/>
                  </w:tcBorders>
                  <w:vAlign w:val="center"/>
                </w:tcPr>
                <w:p w14:paraId="6763A204">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11.64</w:t>
                  </w:r>
                </w:p>
              </w:tc>
              <w:tc>
                <w:tcPr>
                  <w:tcW w:w="961" w:type="pct"/>
                  <w:tcBorders>
                    <w:top w:val="nil"/>
                    <w:left w:val="nil"/>
                    <w:bottom w:val="single" w:color="auto" w:sz="4" w:space="0"/>
                    <w:right w:val="single" w:color="auto" w:sz="4" w:space="0"/>
                  </w:tcBorders>
                  <w:vAlign w:val="center"/>
                </w:tcPr>
                <w:p w14:paraId="744B6E55">
                  <w:pPr>
                    <w:widowControl/>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color w:val="000000" w:themeColor="text1"/>
                      <w:sz w:val="21"/>
                      <w:szCs w:val="21"/>
                      <w:lang w:val="en-US" w:bidi="ar"/>
                    </w:rPr>
                    <w:t>2.33</w:t>
                  </w:r>
                </w:p>
              </w:tc>
              <w:tc>
                <w:tcPr>
                  <w:tcW w:w="962" w:type="pct"/>
                  <w:tcBorders>
                    <w:top w:val="nil"/>
                    <w:left w:val="nil"/>
                    <w:bottom w:val="single" w:color="auto" w:sz="4" w:space="0"/>
                    <w:right w:val="single" w:color="auto" w:sz="4" w:space="0"/>
                  </w:tcBorders>
                  <w:vAlign w:val="center"/>
                </w:tcPr>
                <w:p w14:paraId="0CD4AEE4">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9.31</w:t>
                  </w:r>
                </w:p>
              </w:tc>
            </w:tr>
            <w:tr w14:paraId="3AF384E0">
              <w:tblPrEx>
                <w:tblCellMar>
                  <w:top w:w="0" w:type="dxa"/>
                  <w:left w:w="108" w:type="dxa"/>
                  <w:bottom w:w="0" w:type="dxa"/>
                  <w:right w:w="108" w:type="dxa"/>
                </w:tblCellMar>
              </w:tblPrEx>
              <w:trPr>
                <w:trHeight w:val="418" w:hRule="atLeast"/>
                <w:jc w:val="center"/>
              </w:trPr>
              <w:tc>
                <w:tcPr>
                  <w:tcW w:w="520" w:type="pct"/>
                  <w:vMerge w:val="continue"/>
                  <w:tcBorders>
                    <w:top w:val="single" w:color="auto" w:sz="4" w:space="0"/>
                    <w:left w:val="single" w:color="auto" w:sz="4" w:space="0"/>
                    <w:bottom w:val="single" w:color="auto" w:sz="4" w:space="0"/>
                    <w:right w:val="single" w:color="auto" w:sz="4" w:space="0"/>
                  </w:tcBorders>
                  <w:vAlign w:val="center"/>
                </w:tcPr>
                <w:p w14:paraId="57525F5B">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p>
              </w:tc>
              <w:tc>
                <w:tcPr>
                  <w:tcW w:w="630" w:type="pct"/>
                  <w:tcBorders>
                    <w:top w:val="nil"/>
                    <w:left w:val="single" w:color="auto" w:sz="4" w:space="0"/>
                    <w:bottom w:val="single" w:color="auto" w:sz="4" w:space="0"/>
                    <w:right w:val="single" w:color="auto" w:sz="4" w:space="0"/>
                  </w:tcBorders>
                  <w:vAlign w:val="center"/>
                </w:tcPr>
                <w:p w14:paraId="0E21018D">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小计</w:t>
                  </w:r>
                </w:p>
              </w:tc>
              <w:tc>
                <w:tcPr>
                  <w:tcW w:w="962" w:type="pct"/>
                  <w:tcBorders>
                    <w:top w:val="nil"/>
                    <w:left w:val="nil"/>
                    <w:bottom w:val="single" w:color="auto" w:sz="4" w:space="0"/>
                    <w:right w:val="single" w:color="auto" w:sz="4" w:space="0"/>
                  </w:tcBorders>
                  <w:vAlign w:val="center"/>
                </w:tcPr>
                <w:p w14:paraId="23452962">
                  <w:pPr>
                    <w:widowControl/>
                    <w:jc w:val="center"/>
                    <w:textAlignment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color w:val="000000" w:themeColor="text1"/>
                      <w:sz w:val="21"/>
                      <w:szCs w:val="21"/>
                      <w:lang w:val="en-US" w:bidi="ar"/>
                    </w:rPr>
                    <w:t>117.42</w:t>
                  </w:r>
                </w:p>
              </w:tc>
              <w:tc>
                <w:tcPr>
                  <w:tcW w:w="962" w:type="pct"/>
                  <w:tcBorders>
                    <w:top w:val="nil"/>
                    <w:left w:val="nil"/>
                    <w:bottom w:val="single" w:color="auto" w:sz="4" w:space="0"/>
                    <w:right w:val="single" w:color="auto" w:sz="4" w:space="0"/>
                  </w:tcBorders>
                  <w:vAlign w:val="center"/>
                </w:tcPr>
                <w:p w14:paraId="2F51600E">
                  <w:pPr>
                    <w:widowControl/>
                    <w:jc w:val="center"/>
                    <w:textAlignment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color w:val="000000" w:themeColor="text1"/>
                      <w:sz w:val="21"/>
                      <w:szCs w:val="21"/>
                      <w:lang w:val="en-US" w:bidi="ar"/>
                    </w:rPr>
                    <w:t>117.42</w:t>
                  </w:r>
                </w:p>
              </w:tc>
              <w:tc>
                <w:tcPr>
                  <w:tcW w:w="961" w:type="pct"/>
                  <w:tcBorders>
                    <w:top w:val="nil"/>
                    <w:left w:val="nil"/>
                    <w:bottom w:val="single" w:color="auto" w:sz="4" w:space="0"/>
                    <w:right w:val="single" w:color="auto" w:sz="4" w:space="0"/>
                  </w:tcBorders>
                  <w:vAlign w:val="center"/>
                </w:tcPr>
                <w:p w14:paraId="5FDECF8D">
                  <w:pPr>
                    <w:widowControl/>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color w:val="000000" w:themeColor="text1"/>
                      <w:sz w:val="21"/>
                      <w:szCs w:val="21"/>
                      <w:lang w:val="en-US" w:bidi="ar"/>
                    </w:rPr>
                    <w:t>16.56</w:t>
                  </w:r>
                </w:p>
              </w:tc>
              <w:tc>
                <w:tcPr>
                  <w:tcW w:w="962" w:type="pct"/>
                  <w:tcBorders>
                    <w:top w:val="nil"/>
                    <w:left w:val="nil"/>
                    <w:bottom w:val="single" w:color="auto" w:sz="4" w:space="0"/>
                    <w:right w:val="single" w:color="auto" w:sz="4" w:space="0"/>
                  </w:tcBorders>
                  <w:vAlign w:val="center"/>
                </w:tcPr>
                <w:p w14:paraId="01CD4598">
                  <w:pPr>
                    <w:widowControl/>
                    <w:jc w:val="center"/>
                    <w:textAlignment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color w:val="000000" w:themeColor="text1"/>
                      <w:sz w:val="21"/>
                      <w:szCs w:val="21"/>
                      <w:lang w:val="en-US" w:bidi="ar"/>
                    </w:rPr>
                    <w:t>100.86</w:t>
                  </w:r>
                </w:p>
              </w:tc>
            </w:tr>
            <w:tr w14:paraId="6D1844DA">
              <w:tblPrEx>
                <w:tblCellMar>
                  <w:top w:w="0" w:type="dxa"/>
                  <w:left w:w="108" w:type="dxa"/>
                  <w:bottom w:w="0" w:type="dxa"/>
                  <w:right w:w="108" w:type="dxa"/>
                </w:tblCellMar>
              </w:tblPrEx>
              <w:trPr>
                <w:trHeight w:val="418" w:hRule="atLeast"/>
                <w:jc w:val="center"/>
              </w:trPr>
              <w:tc>
                <w:tcPr>
                  <w:tcW w:w="1151" w:type="pct"/>
                  <w:gridSpan w:val="2"/>
                  <w:tcBorders>
                    <w:top w:val="single" w:color="auto" w:sz="4" w:space="0"/>
                    <w:left w:val="single" w:color="auto" w:sz="4" w:space="0"/>
                    <w:right w:val="single" w:color="auto" w:sz="4" w:space="0"/>
                  </w:tcBorders>
                  <w:vAlign w:val="center"/>
                </w:tcPr>
                <w:p w14:paraId="2B3D691C">
                  <w:pPr>
                    <w:autoSpaceDE/>
                    <w:autoSpaceDN/>
                    <w:spacing w:line="400" w:lineRule="exact"/>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食堂用水</w:t>
                  </w:r>
                </w:p>
              </w:tc>
              <w:tc>
                <w:tcPr>
                  <w:tcW w:w="962" w:type="pct"/>
                  <w:tcBorders>
                    <w:top w:val="nil"/>
                    <w:left w:val="nil"/>
                    <w:bottom w:val="single" w:color="auto" w:sz="4" w:space="0"/>
                    <w:right w:val="single" w:color="auto" w:sz="4" w:space="0"/>
                  </w:tcBorders>
                  <w:vAlign w:val="center"/>
                </w:tcPr>
                <w:p w14:paraId="6DF61895">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4.08</w:t>
                  </w:r>
                </w:p>
              </w:tc>
              <w:tc>
                <w:tcPr>
                  <w:tcW w:w="962" w:type="pct"/>
                  <w:tcBorders>
                    <w:top w:val="nil"/>
                    <w:left w:val="nil"/>
                    <w:bottom w:val="single" w:color="auto" w:sz="4" w:space="0"/>
                    <w:right w:val="single" w:color="auto" w:sz="4" w:space="0"/>
                  </w:tcBorders>
                  <w:vAlign w:val="center"/>
                </w:tcPr>
                <w:p w14:paraId="1519FBED">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4.08</w:t>
                  </w:r>
                </w:p>
              </w:tc>
              <w:tc>
                <w:tcPr>
                  <w:tcW w:w="961" w:type="pct"/>
                  <w:tcBorders>
                    <w:top w:val="nil"/>
                    <w:left w:val="nil"/>
                    <w:bottom w:val="single" w:color="auto" w:sz="4" w:space="0"/>
                    <w:right w:val="single" w:color="auto" w:sz="4" w:space="0"/>
                  </w:tcBorders>
                  <w:vAlign w:val="center"/>
                </w:tcPr>
                <w:p w14:paraId="20E266E0">
                  <w:pPr>
                    <w:widowControl/>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color w:val="000000" w:themeColor="text1"/>
                      <w:sz w:val="21"/>
                      <w:szCs w:val="21"/>
                      <w:lang w:val="en-US" w:bidi="ar"/>
                    </w:rPr>
                    <w:t>0.82</w:t>
                  </w:r>
                </w:p>
              </w:tc>
              <w:tc>
                <w:tcPr>
                  <w:tcW w:w="962" w:type="pct"/>
                  <w:tcBorders>
                    <w:top w:val="nil"/>
                    <w:left w:val="nil"/>
                    <w:bottom w:val="single" w:color="auto" w:sz="4" w:space="0"/>
                    <w:right w:val="single" w:color="auto" w:sz="4" w:space="0"/>
                  </w:tcBorders>
                  <w:vAlign w:val="center"/>
                </w:tcPr>
                <w:p w14:paraId="2891668F">
                  <w:pPr>
                    <w:widowControl/>
                    <w:jc w:val="center"/>
                    <w:textAlignment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color w:val="000000" w:themeColor="text1"/>
                      <w:sz w:val="21"/>
                      <w:szCs w:val="21"/>
                      <w:lang w:val="en-US" w:bidi="ar"/>
                    </w:rPr>
                    <w:t>3.26</w:t>
                  </w:r>
                </w:p>
              </w:tc>
            </w:tr>
            <w:tr w14:paraId="7A87E610">
              <w:tblPrEx>
                <w:tblCellMar>
                  <w:top w:w="0" w:type="dxa"/>
                  <w:left w:w="108" w:type="dxa"/>
                  <w:bottom w:w="0" w:type="dxa"/>
                  <w:right w:w="108" w:type="dxa"/>
                </w:tblCellMar>
              </w:tblPrEx>
              <w:trPr>
                <w:trHeight w:val="443" w:hRule="atLeast"/>
                <w:jc w:val="center"/>
              </w:trPr>
              <w:tc>
                <w:tcPr>
                  <w:tcW w:w="1151" w:type="pct"/>
                  <w:gridSpan w:val="2"/>
                  <w:tcBorders>
                    <w:top w:val="single" w:color="auto" w:sz="4" w:space="0"/>
                    <w:left w:val="single" w:color="auto" w:sz="4" w:space="0"/>
                    <w:bottom w:val="single" w:color="auto" w:sz="4" w:space="0"/>
                    <w:right w:val="single" w:color="auto" w:sz="4" w:space="0"/>
                  </w:tcBorders>
                  <w:vAlign w:val="center"/>
                </w:tcPr>
                <w:p w14:paraId="57165548">
                  <w:pPr>
                    <w:widowControl/>
                    <w:autoSpaceDE/>
                    <w:autoSpaceDN/>
                    <w:jc w:val="center"/>
                    <w:rPr>
                      <w:rFonts w:ascii="Times New Roman" w:hAnsi="Times New Roman" w:cs="Times New Roman" w:eastAsiaTheme="minorEastAsia"/>
                      <w:color w:val="000000" w:themeColor="text1"/>
                      <w:kern w:val="2"/>
                      <w:sz w:val="21"/>
                      <w:szCs w:val="21"/>
                      <w:lang w:val="en-US" w:bidi="ar-SA"/>
                    </w:rPr>
                  </w:pPr>
                  <w:r>
                    <w:rPr>
                      <w:rFonts w:ascii="Times New Roman" w:hAnsi="Times New Roman" w:cs="Times New Roman" w:eastAsiaTheme="minorEastAsia"/>
                      <w:color w:val="000000" w:themeColor="text1"/>
                      <w:kern w:val="2"/>
                      <w:sz w:val="21"/>
                      <w:szCs w:val="21"/>
                      <w:lang w:val="en-US" w:bidi="ar-SA"/>
                    </w:rPr>
                    <w:t>合计</w:t>
                  </w:r>
                </w:p>
              </w:tc>
              <w:tc>
                <w:tcPr>
                  <w:tcW w:w="962" w:type="pct"/>
                  <w:tcBorders>
                    <w:top w:val="single" w:color="auto" w:sz="4" w:space="0"/>
                    <w:left w:val="single" w:color="auto" w:sz="4" w:space="0"/>
                    <w:bottom w:val="single" w:color="auto" w:sz="4" w:space="0"/>
                    <w:right w:val="single" w:color="auto" w:sz="4" w:space="0"/>
                  </w:tcBorders>
                  <w:vAlign w:val="center"/>
                </w:tcPr>
                <w:p w14:paraId="0ED28F30">
                  <w:pPr>
                    <w:widowControl/>
                    <w:jc w:val="center"/>
                    <w:textAlignment w:val="center"/>
                    <w:rPr>
                      <w:rFonts w:ascii="Times New Roman" w:hAnsi="Times New Roman" w:cs="Times New Roman" w:eastAsiaTheme="minorEastAsia"/>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131.97</w:t>
                  </w:r>
                </w:p>
              </w:tc>
              <w:tc>
                <w:tcPr>
                  <w:tcW w:w="962" w:type="pct"/>
                  <w:tcBorders>
                    <w:top w:val="single" w:color="auto" w:sz="4" w:space="0"/>
                    <w:left w:val="single" w:color="auto" w:sz="4" w:space="0"/>
                    <w:bottom w:val="single" w:color="auto" w:sz="4" w:space="0"/>
                    <w:right w:val="single" w:color="auto" w:sz="4" w:space="0"/>
                  </w:tcBorders>
                  <w:vAlign w:val="center"/>
                </w:tcPr>
                <w:p w14:paraId="3ECBEAB8">
                  <w:pPr>
                    <w:widowControl/>
                    <w:jc w:val="center"/>
                    <w:textAlignment w:val="center"/>
                    <w:rPr>
                      <w:rFonts w:ascii="Times New Roman" w:hAnsi="Times New Roman" w:cs="Times New Roman" w:eastAsiaTheme="minorEastAsia"/>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131.97</w:t>
                  </w:r>
                </w:p>
              </w:tc>
              <w:tc>
                <w:tcPr>
                  <w:tcW w:w="961" w:type="pct"/>
                  <w:tcBorders>
                    <w:top w:val="single" w:color="auto" w:sz="4" w:space="0"/>
                    <w:left w:val="single" w:color="auto" w:sz="4" w:space="0"/>
                    <w:bottom w:val="single" w:color="auto" w:sz="4" w:space="0"/>
                    <w:right w:val="single" w:color="auto" w:sz="4" w:space="0"/>
                  </w:tcBorders>
                  <w:vAlign w:val="center"/>
                </w:tcPr>
                <w:p w14:paraId="2FF87D38">
                  <w:pPr>
                    <w:widowControl/>
                    <w:jc w:val="center"/>
                    <w:textAlignment w:val="center"/>
                    <w:rPr>
                      <w:rFonts w:ascii="Times New Roman" w:hAnsi="Times New Roman" w:cs="Times New Roman" w:eastAsiaTheme="minorEastAsia"/>
                      <w:color w:val="000000" w:themeColor="text1"/>
                      <w:sz w:val="21"/>
                      <w:szCs w:val="21"/>
                      <w:u w:val="single"/>
                      <w:lang w:val="en-US" w:bidi="ar"/>
                    </w:rPr>
                  </w:pPr>
                  <w:r>
                    <w:rPr>
                      <w:rFonts w:ascii="Times New Roman" w:hAnsi="Times New Roman" w:cs="Times New Roman"/>
                      <w:color w:val="000000" w:themeColor="text1"/>
                      <w:sz w:val="21"/>
                      <w:szCs w:val="21"/>
                      <w:u w:val="single"/>
                      <w:lang w:val="en-US" w:bidi="ar"/>
                    </w:rPr>
                    <w:t>19.13</w:t>
                  </w:r>
                </w:p>
              </w:tc>
              <w:tc>
                <w:tcPr>
                  <w:tcW w:w="962" w:type="pct"/>
                  <w:tcBorders>
                    <w:top w:val="single" w:color="auto" w:sz="4" w:space="0"/>
                    <w:left w:val="single" w:color="auto" w:sz="4" w:space="0"/>
                    <w:bottom w:val="single" w:color="auto" w:sz="4" w:space="0"/>
                    <w:right w:val="single" w:color="auto" w:sz="4" w:space="0"/>
                  </w:tcBorders>
                  <w:vAlign w:val="center"/>
                </w:tcPr>
                <w:p w14:paraId="6AE8A828">
                  <w:pPr>
                    <w:widowControl/>
                    <w:jc w:val="center"/>
                    <w:textAlignment w:val="center"/>
                    <w:rPr>
                      <w:rFonts w:ascii="Times New Roman" w:hAnsi="Times New Roman" w:cs="Times New Roman" w:eastAsiaTheme="minorEastAsia"/>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112.8</w:t>
                  </w:r>
                  <w:r>
                    <w:rPr>
                      <w:rFonts w:hint="eastAsia" w:ascii="Times New Roman" w:hAnsi="Times New Roman" w:cs="Times New Roman"/>
                      <w:color w:val="000000" w:themeColor="text1"/>
                      <w:sz w:val="21"/>
                      <w:szCs w:val="21"/>
                      <w:u w:val="single"/>
                      <w:lang w:val="en-US" w:bidi="ar"/>
                    </w:rPr>
                    <w:t>4</w:t>
                  </w:r>
                </w:p>
              </w:tc>
            </w:tr>
          </w:tbl>
          <w:p w14:paraId="4A91E46E">
            <w:pPr>
              <w:autoSpaceDE/>
              <w:autoSpaceDN/>
              <w:spacing w:line="360" w:lineRule="auto"/>
              <w:jc w:val="both"/>
              <w:rPr>
                <w:rFonts w:ascii="Times New Roman" w:hAnsi="Times New Roman" w:cs="Times New Roman"/>
                <w:color w:val="000000" w:themeColor="text1"/>
                <w:kern w:val="2"/>
                <w:sz w:val="24"/>
                <w:szCs w:val="24"/>
                <w:lang w:val="en-US" w:bidi="ar-SA"/>
              </w:rPr>
            </w:pPr>
          </w:p>
        </w:tc>
      </w:tr>
    </w:tbl>
    <w:p w14:paraId="2D5CEEA1">
      <w:pPr>
        <w:rPr>
          <w:rFonts w:hint="eastAsia"/>
        </w:rPr>
      </w:pPr>
    </w:p>
    <w:p w14:paraId="613B5F64">
      <w:pPr>
        <w:tabs>
          <w:tab w:val="right" w:pos="9250"/>
        </w:tabs>
        <w:rPr>
          <w:rFonts w:hint="eastAsia"/>
        </w:rPr>
      </w:pPr>
      <w:r>
        <w:rPr>
          <w:rFonts w:hint="eastAsia"/>
        </w:rPr>
        <w:tab/>
      </w:r>
    </w:p>
    <w:p w14:paraId="3DC7756A">
      <w:pPr>
        <w:tabs>
          <w:tab w:val="right" w:pos="9250"/>
        </w:tabs>
        <w:rPr>
          <w:rFonts w:hint="eastAsia"/>
        </w:rPr>
      </w:pPr>
    </w:p>
    <w:p w14:paraId="27F0478A">
      <w:pPr>
        <w:tabs>
          <w:tab w:val="right" w:pos="9250"/>
        </w:tabs>
        <w:rPr>
          <w:rFonts w:hint="eastAsia"/>
        </w:rPr>
        <w:sectPr>
          <w:pgSz w:w="16840" w:h="11910" w:orient="landscape"/>
          <w:pgMar w:top="1340" w:right="1580" w:bottom="1320" w:left="1000" w:header="0" w:footer="1043" w:gutter="0"/>
          <w:cols w:space="720" w:num="1"/>
        </w:sectPr>
      </w:pPr>
    </w:p>
    <w:tbl>
      <w:tblPr>
        <w:tblStyle w:val="27"/>
        <w:tblW w:w="501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10"/>
        <w:gridCol w:w="8087"/>
      </w:tblGrid>
      <w:tr w14:paraId="5FC00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3" w:hRule="atLeast"/>
          <w:jc w:val="center"/>
        </w:trPr>
        <w:tc>
          <w:tcPr>
            <w:tcW w:w="651" w:type="pct"/>
            <w:tcBorders>
              <w:bottom w:val="single" w:color="000000" w:sz="4" w:space="0"/>
              <w:right w:val="single" w:color="auto" w:sz="4" w:space="0"/>
            </w:tcBorders>
            <w:vAlign w:val="center"/>
          </w:tcPr>
          <w:p w14:paraId="47F53F6A">
            <w:pPr>
              <w:pStyle w:val="40"/>
              <w:spacing w:line="242" w:lineRule="auto"/>
              <w:ind w:right="79"/>
              <w:jc w:val="center"/>
              <w:rPr>
                <w:rFonts w:ascii="Times New Roman" w:hAnsi="Times New Roman" w:cs="Times New Roman"/>
                <w:color w:val="000000" w:themeColor="text1"/>
                <w:sz w:val="24"/>
                <w:szCs w:val="24"/>
              </w:rPr>
            </w:pPr>
            <w:bookmarkStart w:id="8" w:name="_Toc4121"/>
            <w:bookmarkStart w:id="9" w:name="_Toc1153"/>
            <w:bookmarkStart w:id="10" w:name="_Toc7250"/>
            <w:bookmarkStart w:id="11" w:name="_Toc14170"/>
            <w:r>
              <w:rPr>
                <w:rFonts w:ascii="Times New Roman" w:hAnsi="Times New Roman" w:cs="Times New Roman"/>
                <w:color w:val="000000" w:themeColor="text1"/>
                <w:sz w:val="24"/>
                <w:szCs w:val="24"/>
              </w:rPr>
              <w:t>建设内容</w:t>
            </w:r>
          </w:p>
        </w:tc>
        <w:tc>
          <w:tcPr>
            <w:tcW w:w="4348" w:type="pct"/>
            <w:tcBorders>
              <w:top w:val="single" w:color="auto" w:sz="4" w:space="0"/>
              <w:left w:val="single" w:color="auto" w:sz="4" w:space="0"/>
              <w:bottom w:val="single" w:color="auto" w:sz="4" w:space="0"/>
              <w:right w:val="single" w:color="auto" w:sz="4" w:space="0"/>
            </w:tcBorders>
            <w:vAlign w:val="center"/>
          </w:tcPr>
          <w:p w14:paraId="268EADE3">
            <w:pPr>
              <w:pStyle w:val="5"/>
              <w:jc w:val="center"/>
              <w:rPr>
                <w:rFonts w:cs="Times New Roman"/>
                <w:color w:val="000000" w:themeColor="text1"/>
                <w:sz w:val="24"/>
                <w:szCs w:val="24"/>
                <w:lang w:val="en-US" w:bidi="ar-SA"/>
              </w:rPr>
            </w:pPr>
            <w:r>
              <w:rPr>
                <w:color w:val="000000" w:themeColor="text1"/>
              </w:rPr>
              <w:drawing>
                <wp:inline distT="0" distB="0" distL="114300" distR="114300">
                  <wp:extent cx="5128260" cy="4453255"/>
                  <wp:effectExtent l="0" t="0" r="1524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128260" cy="4453255"/>
                          </a:xfrm>
                          <a:prstGeom prst="rect">
                            <a:avLst/>
                          </a:prstGeom>
                          <a:noFill/>
                          <a:ln>
                            <a:noFill/>
                          </a:ln>
                        </pic:spPr>
                      </pic:pic>
                    </a:graphicData>
                  </a:graphic>
                </wp:inline>
              </w:drawing>
            </w:r>
          </w:p>
          <w:p w14:paraId="4AB191EA">
            <w:pPr>
              <w:autoSpaceDE/>
              <w:autoSpaceDN/>
              <w:spacing w:line="360" w:lineRule="auto"/>
              <w:jc w:val="center"/>
              <w:rPr>
                <w:rFonts w:ascii="Times New Roman" w:hAnsi="Times New Roman" w:cs="Times New Roman"/>
                <w:b/>
                <w:bCs/>
                <w:color w:val="000000" w:themeColor="text1"/>
                <w:kern w:val="2"/>
                <w:sz w:val="21"/>
                <w:szCs w:val="20"/>
                <w:lang w:val="en-US" w:bidi="ar-SA"/>
              </w:rPr>
            </w:pPr>
            <w:r>
              <w:rPr>
                <w:rFonts w:ascii="Times New Roman" w:hAnsi="Times New Roman" w:cs="Times New Roman"/>
                <w:b/>
                <w:bCs/>
                <w:color w:val="000000" w:themeColor="text1"/>
                <w:kern w:val="2"/>
                <w:sz w:val="21"/>
                <w:szCs w:val="20"/>
                <w:lang w:val="en-US" w:bidi="ar-SA"/>
              </w:rPr>
              <w:t>图</w:t>
            </w:r>
            <w:r>
              <w:rPr>
                <w:rFonts w:hint="eastAsia" w:ascii="Times New Roman" w:hAnsi="Times New Roman" w:cs="Times New Roman"/>
                <w:b/>
                <w:bCs/>
                <w:color w:val="000000" w:themeColor="text1"/>
                <w:kern w:val="2"/>
                <w:sz w:val="21"/>
                <w:szCs w:val="20"/>
                <w:lang w:val="en-US" w:bidi="ar-SA"/>
              </w:rPr>
              <w:t>2</w:t>
            </w:r>
            <w:r>
              <w:rPr>
                <w:rFonts w:ascii="Times New Roman" w:hAnsi="Times New Roman" w:cs="Times New Roman"/>
                <w:b/>
                <w:bCs/>
                <w:color w:val="000000" w:themeColor="text1"/>
                <w:kern w:val="2"/>
                <w:sz w:val="21"/>
                <w:szCs w:val="20"/>
                <w:lang w:val="en-US" w:bidi="ar-SA"/>
              </w:rPr>
              <w:t>-</w:t>
            </w:r>
            <w:r>
              <w:rPr>
                <w:rFonts w:hint="eastAsia" w:ascii="Times New Roman" w:hAnsi="Times New Roman" w:cs="Times New Roman"/>
                <w:b/>
                <w:bCs/>
                <w:color w:val="000000" w:themeColor="text1"/>
                <w:kern w:val="2"/>
                <w:sz w:val="21"/>
                <w:szCs w:val="20"/>
                <w:lang w:val="en-US" w:bidi="ar-SA"/>
              </w:rPr>
              <w:t>1</w:t>
            </w:r>
            <w:r>
              <w:rPr>
                <w:rFonts w:ascii="Times New Roman" w:hAnsi="Times New Roman" w:cs="Times New Roman"/>
                <w:b/>
                <w:bCs/>
                <w:color w:val="000000" w:themeColor="text1"/>
                <w:kern w:val="2"/>
                <w:sz w:val="21"/>
                <w:szCs w:val="20"/>
                <w:lang w:val="en-US" w:bidi="ar-SA"/>
              </w:rPr>
              <w:t xml:space="preserve">  项目水平衡图（单位：m</w:t>
            </w:r>
            <w:r>
              <w:rPr>
                <w:rFonts w:ascii="Times New Roman" w:hAnsi="Times New Roman" w:cs="Times New Roman"/>
                <w:b/>
                <w:bCs/>
                <w:color w:val="000000" w:themeColor="text1"/>
                <w:kern w:val="2"/>
                <w:sz w:val="21"/>
                <w:szCs w:val="20"/>
                <w:vertAlign w:val="superscript"/>
                <w:lang w:val="en-US" w:bidi="ar-SA"/>
              </w:rPr>
              <w:t>3</w:t>
            </w:r>
            <w:r>
              <w:rPr>
                <w:rFonts w:ascii="Times New Roman" w:hAnsi="Times New Roman" w:cs="Times New Roman"/>
                <w:b/>
                <w:bCs/>
                <w:color w:val="000000" w:themeColor="text1"/>
                <w:kern w:val="2"/>
                <w:sz w:val="21"/>
                <w:szCs w:val="20"/>
                <w:lang w:val="en-US" w:bidi="ar-SA"/>
              </w:rPr>
              <w:t>/d）</w:t>
            </w:r>
          </w:p>
          <w:p w14:paraId="19379D8B">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2</w:t>
            </w:r>
            <w:r>
              <w:rPr>
                <w:rFonts w:hint="eastAsia" w:ascii="Times New Roman" w:hAnsi="Times New Roman" w:cs="Times New Roman"/>
                <w:color w:val="000000" w:themeColor="text1"/>
                <w:kern w:val="2"/>
                <w:sz w:val="24"/>
                <w:szCs w:val="24"/>
                <w:lang w:val="en-US" w:bidi="ar-SA"/>
              </w:rPr>
              <w:t>）供电：本工程依托原有项目市政电网引来一路独立电源供电，作为医院的工作电源，为确保用电稳定，院区采用双路电，本项目不设置柴油发电机组，依托原有项目的柴油发电机应急。</w:t>
            </w:r>
          </w:p>
          <w:p w14:paraId="05A3A7AE">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3</w:t>
            </w:r>
            <w:r>
              <w:rPr>
                <w:rFonts w:hint="eastAsia" w:ascii="Times New Roman" w:hAnsi="Times New Roman" w:cs="Times New Roman"/>
                <w:color w:val="000000" w:themeColor="text1"/>
                <w:kern w:val="2"/>
                <w:sz w:val="24"/>
                <w:szCs w:val="24"/>
                <w:lang w:val="en-US" w:bidi="ar-SA"/>
              </w:rPr>
              <w:t>）供热：本项目的采暖均采用电能。主要为分体空调系统供暖，利用风冷热泵机组作为空调冷热源。</w:t>
            </w:r>
          </w:p>
          <w:p w14:paraId="72646AF1">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4</w:t>
            </w:r>
            <w:r>
              <w:rPr>
                <w:rFonts w:hint="eastAsia" w:ascii="Times New Roman" w:hAnsi="Times New Roman" w:cs="Times New Roman"/>
                <w:color w:val="000000" w:themeColor="text1"/>
                <w:kern w:val="2"/>
                <w:sz w:val="24"/>
                <w:szCs w:val="24"/>
                <w:lang w:val="en-US" w:bidi="ar-SA"/>
              </w:rPr>
              <w:t>）供氧：本项目不独立设置供氧中心，依托原有项目的制氧机</w:t>
            </w:r>
            <w:r>
              <w:rPr>
                <w:rFonts w:hint="eastAsia" w:ascii="Times New Roman" w:hAnsi="Times New Roman" w:cs="Times New Roman"/>
                <w:color w:val="000000" w:themeColor="text1"/>
                <w:sz w:val="21"/>
                <w:szCs w:val="21"/>
                <w:lang w:val="en-US" w:bidi="ar-SA"/>
              </w:rPr>
              <w:t>。</w:t>
            </w:r>
          </w:p>
          <w:p w14:paraId="11678A40">
            <w:pPr>
              <w:autoSpaceDE/>
              <w:autoSpaceDN/>
              <w:spacing w:line="360" w:lineRule="auto"/>
              <w:ind w:firstLine="482" w:firstLineChars="200"/>
              <w:jc w:val="both"/>
              <w:rPr>
                <w:rFonts w:ascii="Times New Roman" w:hAnsi="Times New Roman" w:cs="Times New Roman"/>
                <w:b/>
                <w:bCs/>
                <w:color w:val="000000" w:themeColor="text1"/>
                <w:kern w:val="2"/>
                <w:sz w:val="24"/>
                <w:szCs w:val="24"/>
                <w:lang w:val="en-US" w:bidi="ar-SA"/>
              </w:rPr>
            </w:pPr>
            <w:r>
              <w:rPr>
                <w:rFonts w:hint="eastAsia" w:ascii="Times New Roman" w:hAnsi="Times New Roman" w:cs="Times New Roman"/>
                <w:b/>
                <w:bCs/>
                <w:color w:val="000000" w:themeColor="text1"/>
                <w:kern w:val="2"/>
                <w:sz w:val="24"/>
                <w:szCs w:val="24"/>
                <w:lang w:val="en-US" w:bidi="ar-SA"/>
              </w:rPr>
              <w:t>7</w:t>
            </w:r>
            <w:r>
              <w:rPr>
                <w:rFonts w:ascii="Times New Roman" w:hAnsi="Times New Roman" w:cs="Times New Roman"/>
                <w:b/>
                <w:bCs/>
                <w:color w:val="000000" w:themeColor="text1"/>
                <w:kern w:val="2"/>
                <w:sz w:val="24"/>
                <w:szCs w:val="24"/>
                <w:lang w:val="en-US" w:bidi="ar-SA"/>
              </w:rPr>
              <w:t>、劳动定员及工作制度</w:t>
            </w:r>
          </w:p>
          <w:p w14:paraId="4C2F85E7">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劳动定员：</w:t>
            </w:r>
            <w:r>
              <w:rPr>
                <w:rFonts w:hint="eastAsia" w:ascii="Times New Roman" w:hAnsi="Times New Roman" w:cs="Times New Roman"/>
                <w:color w:val="000000" w:themeColor="text1"/>
                <w:kern w:val="2"/>
                <w:sz w:val="24"/>
                <w:szCs w:val="24"/>
                <w:lang w:val="en-US" w:bidi="ar-SA"/>
              </w:rPr>
              <w:t>医院总员工423人，本项目职工为内部调配，调配后本项目护理、医生共200人，其中业务综合楼170人，传染病楼30人，全院无新增职工。</w:t>
            </w:r>
          </w:p>
          <w:p w14:paraId="5630C1CA">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工作制度：</w:t>
            </w:r>
            <w:r>
              <w:rPr>
                <w:rFonts w:hint="eastAsia" w:ascii="Times New Roman" w:hAnsi="Times New Roman" w:cs="Times New Roman"/>
                <w:color w:val="000000" w:themeColor="text1"/>
                <w:kern w:val="2"/>
                <w:sz w:val="24"/>
                <w:szCs w:val="24"/>
                <w:lang w:val="en-US" w:bidi="ar-SA"/>
              </w:rPr>
              <w:t>全年工作天数为365天，每天工作24小时，夜间安排值班</w:t>
            </w:r>
            <w:r>
              <w:rPr>
                <w:rFonts w:ascii="Times New Roman" w:hAnsi="Times New Roman" w:cs="Times New Roman"/>
                <w:color w:val="000000" w:themeColor="text1"/>
                <w:kern w:val="2"/>
                <w:sz w:val="24"/>
                <w:szCs w:val="24"/>
                <w:lang w:val="en-US" w:bidi="ar-SA"/>
              </w:rPr>
              <w:t>。</w:t>
            </w:r>
          </w:p>
          <w:p w14:paraId="2787382D">
            <w:pPr>
              <w:autoSpaceDE/>
              <w:autoSpaceDN/>
              <w:spacing w:line="360" w:lineRule="auto"/>
              <w:ind w:firstLine="482" w:firstLineChars="200"/>
              <w:jc w:val="both"/>
              <w:rPr>
                <w:rFonts w:ascii="Times New Roman" w:hAnsi="Times New Roman" w:cs="Times New Roman"/>
                <w:b/>
                <w:bCs/>
                <w:color w:val="000000" w:themeColor="text1"/>
                <w:kern w:val="2"/>
                <w:sz w:val="24"/>
                <w:szCs w:val="24"/>
                <w:lang w:val="en-US" w:bidi="ar-SA"/>
              </w:rPr>
            </w:pPr>
            <w:r>
              <w:rPr>
                <w:rFonts w:hint="eastAsia" w:ascii="Times New Roman" w:hAnsi="Times New Roman" w:cs="Times New Roman"/>
                <w:b/>
                <w:bCs/>
                <w:color w:val="000000" w:themeColor="text1"/>
                <w:kern w:val="2"/>
                <w:sz w:val="24"/>
                <w:szCs w:val="24"/>
                <w:lang w:val="en-US" w:bidi="ar-SA"/>
              </w:rPr>
              <w:t>8</w:t>
            </w:r>
            <w:r>
              <w:rPr>
                <w:rFonts w:ascii="Times New Roman" w:hAnsi="Times New Roman" w:cs="Times New Roman"/>
                <w:b/>
                <w:bCs/>
                <w:color w:val="000000" w:themeColor="text1"/>
                <w:kern w:val="2"/>
                <w:sz w:val="24"/>
                <w:szCs w:val="24"/>
                <w:lang w:val="en-US" w:bidi="ar-SA"/>
              </w:rPr>
              <w:t>、总平面布置合理性分析</w:t>
            </w:r>
          </w:p>
          <w:p w14:paraId="0982EF5E">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本项目</w:t>
            </w:r>
            <w:r>
              <w:rPr>
                <w:rFonts w:hint="eastAsia" w:ascii="Times New Roman" w:hAnsi="Times New Roman" w:cs="Times New Roman"/>
                <w:color w:val="000000" w:themeColor="text1"/>
                <w:kern w:val="2"/>
                <w:sz w:val="24"/>
                <w:szCs w:val="24"/>
                <w:lang w:val="en-US" w:bidi="ar-SA"/>
              </w:rPr>
              <w:t>选址</w:t>
            </w:r>
            <w:r>
              <w:rPr>
                <w:rFonts w:ascii="Times New Roman" w:hAnsi="Times New Roman" w:cs="Times New Roman"/>
                <w:color w:val="000000" w:themeColor="text1"/>
                <w:kern w:val="2"/>
                <w:sz w:val="24"/>
                <w:szCs w:val="24"/>
                <w:lang w:val="en-US" w:bidi="ar-SA"/>
              </w:rPr>
              <w:t>于</w:t>
            </w:r>
            <w:r>
              <w:rPr>
                <w:rFonts w:hint="eastAsia" w:ascii="Times New Roman" w:hAnsi="Times New Roman" w:cs="Times New Roman"/>
                <w:color w:val="000000" w:themeColor="text1"/>
                <w:kern w:val="2"/>
                <w:sz w:val="24"/>
                <w:szCs w:val="24"/>
                <w:lang w:val="en-US" w:bidi="ar-SA"/>
              </w:rPr>
              <w:t>广西壮族自治区桂林市永福县永福镇迎宾路132号永福县人民医院内，与原人民医院内部道路连接，综合污水处理站、传染病预处理设施均为埋地式，分别位于本项目东侧、南侧，不在本项目上风向，依托的医疗废物暂存间位于本项目东侧，项目各设施之间连接顺畅，各</w:t>
            </w:r>
            <w:r>
              <w:rPr>
                <w:rFonts w:ascii="Times New Roman" w:hAnsi="Times New Roman" w:cs="Times New Roman"/>
                <w:color w:val="000000" w:themeColor="text1"/>
                <w:kern w:val="2"/>
                <w:sz w:val="24"/>
                <w:szCs w:val="24"/>
                <w:lang w:val="en-US" w:bidi="ar-SA"/>
              </w:rPr>
              <w:t>科室</w:t>
            </w:r>
            <w:r>
              <w:rPr>
                <w:rFonts w:hint="eastAsia" w:ascii="Times New Roman" w:hAnsi="Times New Roman" w:cs="Times New Roman"/>
                <w:color w:val="000000" w:themeColor="text1"/>
                <w:kern w:val="2"/>
                <w:sz w:val="24"/>
                <w:szCs w:val="24"/>
                <w:lang w:val="en-US" w:bidi="ar-SA"/>
              </w:rPr>
              <w:t>按</w:t>
            </w:r>
            <w:r>
              <w:rPr>
                <w:rFonts w:ascii="Times New Roman" w:hAnsi="Times New Roman" w:cs="Times New Roman"/>
                <w:color w:val="000000" w:themeColor="text1"/>
                <w:kern w:val="2"/>
                <w:sz w:val="24"/>
                <w:szCs w:val="24"/>
                <w:lang w:val="en-US" w:bidi="ar-SA"/>
              </w:rPr>
              <w:t>不同功能</w:t>
            </w:r>
            <w:r>
              <w:rPr>
                <w:rFonts w:hint="eastAsia" w:ascii="Times New Roman" w:hAnsi="Times New Roman" w:cs="Times New Roman"/>
                <w:color w:val="000000" w:themeColor="text1"/>
                <w:kern w:val="2"/>
                <w:sz w:val="24"/>
                <w:szCs w:val="24"/>
                <w:lang w:val="en-US" w:bidi="ar-SA"/>
              </w:rPr>
              <w:t>有效分区</w:t>
            </w:r>
            <w:r>
              <w:rPr>
                <w:rFonts w:ascii="Times New Roman" w:hAnsi="Times New Roman" w:cs="Times New Roman"/>
                <w:color w:val="000000" w:themeColor="text1"/>
                <w:kern w:val="2"/>
                <w:sz w:val="24"/>
                <w:szCs w:val="24"/>
                <w:lang w:val="en-US" w:bidi="ar-SA"/>
              </w:rPr>
              <w:t>，</w:t>
            </w:r>
            <w:r>
              <w:rPr>
                <w:rFonts w:hint="eastAsia" w:ascii="Times New Roman" w:hAnsi="Times New Roman" w:cs="Times New Roman"/>
                <w:color w:val="000000" w:themeColor="text1"/>
                <w:kern w:val="2"/>
                <w:sz w:val="24"/>
                <w:szCs w:val="24"/>
                <w:lang w:val="en-US" w:bidi="ar-SA"/>
              </w:rPr>
              <w:t>整体</w:t>
            </w:r>
            <w:r>
              <w:rPr>
                <w:rFonts w:ascii="Times New Roman" w:hAnsi="Times New Roman" w:cs="Times New Roman"/>
                <w:color w:val="000000" w:themeColor="text1"/>
                <w:kern w:val="2"/>
                <w:sz w:val="24"/>
                <w:szCs w:val="24"/>
                <w:lang w:val="en-US" w:bidi="ar-SA"/>
              </w:rPr>
              <w:t>布置紧凑，功能完善</w:t>
            </w:r>
            <w:r>
              <w:rPr>
                <w:rFonts w:hint="eastAsia" w:ascii="Times New Roman" w:hAnsi="Times New Roman" w:cs="Times New Roman"/>
                <w:color w:val="000000" w:themeColor="text1"/>
                <w:kern w:val="2"/>
                <w:sz w:val="24"/>
                <w:szCs w:val="24"/>
                <w:lang w:val="en-US" w:bidi="ar-SA"/>
              </w:rPr>
              <w:t>。</w:t>
            </w:r>
          </w:p>
          <w:p w14:paraId="7F259487">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综上所述</w:t>
            </w:r>
            <w:r>
              <w:rPr>
                <w:rFonts w:ascii="Times New Roman" w:hAnsi="Times New Roman" w:cs="Times New Roman"/>
                <w:color w:val="000000" w:themeColor="text1"/>
                <w:kern w:val="2"/>
                <w:sz w:val="24"/>
                <w:szCs w:val="24"/>
                <w:lang w:val="en-US" w:bidi="ar-SA"/>
              </w:rPr>
              <w:t>，本项目总平面布置较为合理。详见附图</w:t>
            </w:r>
            <w:r>
              <w:rPr>
                <w:rFonts w:hint="eastAsia" w:ascii="Times New Roman" w:hAnsi="Times New Roman" w:cs="Times New Roman"/>
                <w:color w:val="000000" w:themeColor="text1"/>
                <w:kern w:val="2"/>
                <w:sz w:val="24"/>
                <w:szCs w:val="24"/>
                <w:lang w:val="en-US" w:bidi="ar-SA"/>
              </w:rPr>
              <w:t>2</w:t>
            </w:r>
            <w:r>
              <w:rPr>
                <w:rFonts w:ascii="Times New Roman" w:hAnsi="Times New Roman" w:cs="Times New Roman"/>
                <w:color w:val="000000" w:themeColor="text1"/>
                <w:kern w:val="2"/>
                <w:sz w:val="24"/>
                <w:szCs w:val="24"/>
                <w:lang w:val="en-US" w:bidi="ar-SA"/>
              </w:rPr>
              <w:t>总平面布置图。</w:t>
            </w:r>
          </w:p>
        </w:tc>
      </w:tr>
      <w:tr w14:paraId="20E39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51" w:type="pct"/>
            <w:tcBorders>
              <w:top w:val="single" w:color="000000" w:sz="4" w:space="0"/>
              <w:bottom w:val="single" w:color="000000" w:sz="4" w:space="0"/>
              <w:right w:val="single" w:color="000000" w:sz="4" w:space="0"/>
            </w:tcBorders>
            <w:vAlign w:val="center"/>
          </w:tcPr>
          <w:p w14:paraId="64A9FA75">
            <w:pPr>
              <w:pStyle w:val="40"/>
              <w:spacing w:before="131" w:line="242" w:lineRule="auto"/>
              <w:ind w:right="7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工艺流程和产排污环节</w:t>
            </w:r>
          </w:p>
        </w:tc>
        <w:tc>
          <w:tcPr>
            <w:tcW w:w="4348" w:type="pct"/>
            <w:tcBorders>
              <w:top w:val="single" w:color="auto" w:sz="4" w:space="0"/>
              <w:left w:val="single" w:color="000000" w:sz="4" w:space="0"/>
              <w:bottom w:val="single" w:color="000000" w:sz="4" w:space="0"/>
            </w:tcBorders>
            <w:vAlign w:val="center"/>
          </w:tcPr>
          <w:p w14:paraId="67FA3491">
            <w:pPr>
              <w:pStyle w:val="40"/>
              <w:spacing w:line="360" w:lineRule="auto"/>
              <w:ind w:firstLine="482" w:firstLineChars="200"/>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（一）施工期</w:t>
            </w:r>
          </w:p>
          <w:p w14:paraId="04BF8542">
            <w:pPr>
              <w:pStyle w:val="41"/>
              <w:rPr>
                <w:color w:val="000000" w:themeColor="text1"/>
              </w:rPr>
            </w:pPr>
            <w:r>
              <w:rPr>
                <w:color w:val="000000" w:themeColor="text1"/>
              </w:rPr>
              <w:t>1、</w:t>
            </w:r>
            <w:r>
              <w:rPr>
                <w:rFonts w:hint="eastAsia"/>
                <w:color w:val="000000" w:themeColor="text1"/>
              </w:rPr>
              <w:t>施工</w:t>
            </w:r>
            <w:r>
              <w:rPr>
                <w:color w:val="000000" w:themeColor="text1"/>
              </w:rPr>
              <w:t>期工艺流程及产污环节</w:t>
            </w:r>
          </w:p>
          <w:p w14:paraId="4267DBA4">
            <w:pPr>
              <w:autoSpaceDE/>
              <w:autoSpaceDN/>
              <w:spacing w:line="360" w:lineRule="auto"/>
              <w:ind w:firstLine="480"/>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本项目2008年建设完成传染病楼、配套建设</w:t>
            </w:r>
            <w:r>
              <w:rPr>
                <w:rFonts w:hint="eastAsia" w:ascii="Times New Roman" w:hAnsi="Times New Roman"/>
                <w:color w:val="000000" w:themeColor="text1"/>
                <w:sz w:val="24"/>
              </w:rPr>
              <w:t>处理规模为</w:t>
            </w:r>
            <w:r>
              <w:rPr>
                <w:rFonts w:hint="eastAsia" w:ascii="Times New Roman" w:hAnsi="Times New Roman"/>
                <w:color w:val="000000" w:themeColor="text1"/>
                <w:sz w:val="24"/>
                <w:lang w:val="en-US"/>
              </w:rPr>
              <w:t>20</w:t>
            </w:r>
            <w:r>
              <w:rPr>
                <w:rFonts w:hint="eastAsia" w:ascii="Times New Roman" w:hAnsi="Times New Roman"/>
                <w:color w:val="000000" w:themeColor="text1"/>
                <w:sz w:val="24"/>
              </w:rPr>
              <w:t>m</w:t>
            </w:r>
            <w:r>
              <w:rPr>
                <w:rFonts w:hint="eastAsia" w:ascii="Times New Roman" w:hAnsi="Times New Roman"/>
                <w:color w:val="000000" w:themeColor="text1"/>
                <w:sz w:val="24"/>
                <w:vertAlign w:val="superscript"/>
              </w:rPr>
              <w:t>3</w:t>
            </w:r>
            <w:r>
              <w:rPr>
                <w:rFonts w:hint="eastAsia" w:ascii="Times New Roman" w:hAnsi="Times New Roman"/>
                <w:color w:val="000000" w:themeColor="text1"/>
                <w:sz w:val="24"/>
              </w:rPr>
              <w:t>/d</w:t>
            </w:r>
            <w:r>
              <w:rPr>
                <w:rFonts w:hint="eastAsia" w:ascii="Times New Roman" w:hAnsi="Times New Roman"/>
                <w:color w:val="000000" w:themeColor="text1"/>
                <w:sz w:val="24"/>
                <w:lang w:val="en-US"/>
              </w:rPr>
              <w:t>的</w:t>
            </w:r>
            <w:r>
              <w:rPr>
                <w:rFonts w:hint="eastAsia" w:ascii="Times New Roman" w:hAnsi="Times New Roman" w:cs="Times New Roman"/>
                <w:color w:val="000000" w:themeColor="text1"/>
                <w:kern w:val="2"/>
                <w:sz w:val="24"/>
                <w:szCs w:val="24"/>
                <w:lang w:val="en-US" w:bidi="ar-SA"/>
              </w:rPr>
              <w:t>传染病预处理设施及相关辅助设施，2013年建设完成业务综合楼（原名医技楼）及相关辅助设施，2020年对原综合污水处理站完成改造，本项目评价内容均在2020年全部建设完成，并投产运营。</w:t>
            </w:r>
          </w:p>
          <w:p w14:paraId="2561F1EE">
            <w:pPr>
              <w:spacing w:line="360" w:lineRule="auto"/>
              <w:ind w:firstLine="482" w:firstLineChars="200"/>
              <w:rPr>
                <w:rFonts w:ascii="Times New Roman" w:hAnsi="Times New Roman" w:cs="Times New Roman" w:eastAsiaTheme="minorEastAsia"/>
                <w:b/>
                <w:bCs/>
                <w:color w:val="000000" w:themeColor="text1"/>
                <w:sz w:val="24"/>
              </w:rPr>
            </w:pPr>
            <w:r>
              <w:rPr>
                <w:rFonts w:ascii="Times New Roman" w:hAnsi="Times New Roman" w:cs="Times New Roman" w:eastAsiaTheme="minorEastAsia"/>
                <w:b/>
                <w:bCs/>
                <w:color w:val="000000" w:themeColor="text1"/>
                <w:sz w:val="24"/>
              </w:rPr>
              <w:t>（二）营运期</w:t>
            </w:r>
          </w:p>
          <w:p w14:paraId="398AF8A6">
            <w:pPr>
              <w:spacing w:line="360" w:lineRule="auto"/>
              <w:ind w:firstLine="482" w:firstLineChars="200"/>
              <w:rPr>
                <w:rFonts w:ascii="Times New Roman" w:hAnsi="Times New Roman" w:cs="Times New Roman" w:eastAsiaTheme="minorEastAsia"/>
                <w:color w:val="000000" w:themeColor="text1"/>
                <w:sz w:val="24"/>
              </w:rPr>
            </w:pPr>
            <w:r>
              <w:rPr>
                <w:rFonts w:ascii="Times New Roman" w:hAnsi="Times New Roman" w:cs="Times New Roman" w:eastAsiaTheme="minorEastAsia"/>
                <w:b/>
                <w:bCs/>
                <w:color w:val="000000" w:themeColor="text1"/>
                <w:sz w:val="24"/>
              </w:rPr>
              <w:t>1、营运期工艺流程及产污环节</w:t>
            </w:r>
          </w:p>
          <w:p w14:paraId="2371D332">
            <w:pPr>
              <w:pStyle w:val="40"/>
              <w:spacing w:line="360" w:lineRule="auto"/>
              <w:ind w:firstLine="480" w:firstLineChars="200"/>
              <w:jc w:val="both"/>
              <w:rPr>
                <w:rFonts w:ascii="Times New Roman" w:hAnsi="Times New Roman" w:cs="Times New Roman" w:eastAsiaTheme="minorEastAsia"/>
                <w:b/>
                <w:bCs/>
                <w:color w:val="000000" w:themeColor="text1"/>
                <w:sz w:val="24"/>
                <w:szCs w:val="24"/>
                <w:lang w:val="en-US"/>
              </w:rPr>
            </w:pPr>
            <w:r>
              <w:rPr>
                <w:rFonts w:ascii="Times New Roman" w:hAnsi="Times New Roman" w:cs="Times New Roman" w:eastAsiaTheme="minorEastAsia"/>
                <w:bCs/>
                <w:color w:val="000000" w:themeColor="text1"/>
                <w:sz w:val="24"/>
              </w:rPr>
              <w:t>项目营运期工艺流程及产污环节</w:t>
            </w:r>
            <w:r>
              <w:rPr>
                <w:rFonts w:ascii="Times New Roman" w:hAnsi="Times New Roman" w:cs="Times New Roman" w:eastAsiaTheme="minorEastAsia"/>
                <w:color w:val="000000" w:themeColor="text1"/>
                <w:sz w:val="24"/>
              </w:rPr>
              <w:t>见下图</w:t>
            </w:r>
            <w:r>
              <w:rPr>
                <w:rFonts w:ascii="Times New Roman" w:hAnsi="Times New Roman" w:cs="Times New Roman" w:eastAsiaTheme="minorEastAsia"/>
                <w:color w:val="000000" w:themeColor="text1"/>
                <w:sz w:val="24"/>
                <w:lang w:val="en-US"/>
              </w:rPr>
              <w:t>2</w:t>
            </w:r>
            <w:r>
              <w:rPr>
                <w:rFonts w:ascii="Times New Roman" w:hAnsi="Times New Roman" w:cs="Times New Roman" w:eastAsiaTheme="minorEastAsia"/>
                <w:color w:val="000000" w:themeColor="text1"/>
                <w:sz w:val="24"/>
              </w:rPr>
              <w:t>-</w:t>
            </w:r>
            <w:r>
              <w:rPr>
                <w:rFonts w:hint="eastAsia" w:ascii="Times New Roman" w:hAnsi="Times New Roman" w:cs="Times New Roman" w:eastAsiaTheme="minorEastAsia"/>
                <w:color w:val="000000" w:themeColor="text1"/>
                <w:sz w:val="24"/>
                <w:lang w:val="en-US"/>
              </w:rPr>
              <w:t>2</w:t>
            </w:r>
            <w:r>
              <w:rPr>
                <w:rFonts w:ascii="Times New Roman" w:hAnsi="Times New Roman" w:cs="Times New Roman" w:eastAsiaTheme="minorEastAsia"/>
                <w:bCs/>
                <w:color w:val="000000" w:themeColor="text1"/>
                <w:sz w:val="24"/>
              </w:rPr>
              <w:t>：</w:t>
            </w:r>
          </w:p>
          <w:p w14:paraId="60BFE54D">
            <w:pPr>
              <w:pStyle w:val="40"/>
              <w:spacing w:before="1"/>
              <w:jc w:val="center"/>
              <w:rPr>
                <w:rFonts w:ascii="Times New Roman" w:hAnsi="Times New Roman" w:cs="Times New Roman" w:eastAsiaTheme="minorEastAsia"/>
                <w:color w:val="000000" w:themeColor="text1"/>
                <w:sz w:val="24"/>
                <w:szCs w:val="24"/>
                <w:lang w:val="en-US"/>
              </w:rPr>
            </w:pPr>
            <w:r>
              <w:rPr>
                <w:rFonts w:ascii="Times New Roman" w:hAnsi="Times New Roman" w:cs="Times New Roman" w:eastAsiaTheme="minorEastAsia"/>
                <w:color w:val="000000" w:themeColor="text1"/>
                <w:sz w:val="24"/>
                <w:szCs w:val="24"/>
                <w:lang w:val="en-US" w:bidi="ar-SA"/>
              </w:rPr>
              <w:drawing>
                <wp:inline distT="0" distB="0" distL="114300" distR="114300">
                  <wp:extent cx="4940300" cy="2759075"/>
                  <wp:effectExtent l="0" t="0" r="12700" b="3175"/>
                  <wp:docPr id="12" name="图片 12" descr="微信图片_2021080517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10805171226"/>
                          <pic:cNvPicPr>
                            <a:picLocks noChangeAspect="1"/>
                          </pic:cNvPicPr>
                        </pic:nvPicPr>
                        <pic:blipFill>
                          <a:blip r:embed="rId19" cstate="print"/>
                          <a:stretch>
                            <a:fillRect/>
                          </a:stretch>
                        </pic:blipFill>
                        <pic:spPr>
                          <a:xfrm>
                            <a:off x="0" y="0"/>
                            <a:ext cx="4940300" cy="2759075"/>
                          </a:xfrm>
                          <a:prstGeom prst="rect">
                            <a:avLst/>
                          </a:prstGeom>
                        </pic:spPr>
                      </pic:pic>
                    </a:graphicData>
                  </a:graphic>
                </wp:inline>
              </w:drawing>
            </w:r>
          </w:p>
          <w:p w14:paraId="3CCCA765">
            <w:pPr>
              <w:pStyle w:val="40"/>
              <w:spacing w:line="360" w:lineRule="auto"/>
              <w:jc w:val="center"/>
              <w:rPr>
                <w:rFonts w:ascii="Times New Roman" w:hAnsi="Times New Roman" w:cs="Times New Roman" w:eastAsiaTheme="minorEastAsia"/>
                <w:color w:val="000000" w:themeColor="text1"/>
                <w:sz w:val="24"/>
                <w:szCs w:val="24"/>
                <w:lang w:val="en-US"/>
              </w:rPr>
            </w:pPr>
            <w:r>
              <w:rPr>
                <w:rFonts w:ascii="Times New Roman" w:hAnsi="Times New Roman" w:cs="Times New Roman" w:eastAsiaTheme="minorEastAsia"/>
                <w:b/>
                <w:bCs/>
                <w:color w:val="000000" w:themeColor="text1"/>
                <w:sz w:val="24"/>
              </w:rPr>
              <w:t>图</w:t>
            </w:r>
            <w:r>
              <w:rPr>
                <w:rFonts w:ascii="Times New Roman" w:hAnsi="Times New Roman" w:cs="Times New Roman" w:eastAsiaTheme="minorEastAsia"/>
                <w:b/>
                <w:bCs/>
                <w:color w:val="000000" w:themeColor="text1"/>
                <w:sz w:val="24"/>
                <w:lang w:val="en-US"/>
              </w:rPr>
              <w:t>2</w:t>
            </w:r>
            <w:r>
              <w:rPr>
                <w:rFonts w:ascii="Times New Roman" w:hAnsi="Times New Roman" w:cs="Times New Roman" w:eastAsiaTheme="minorEastAsia"/>
                <w:b/>
                <w:bCs/>
                <w:color w:val="000000" w:themeColor="text1"/>
                <w:sz w:val="24"/>
              </w:rPr>
              <w:t>-</w:t>
            </w:r>
            <w:r>
              <w:rPr>
                <w:rFonts w:hint="eastAsia" w:ascii="Times New Roman" w:hAnsi="Times New Roman" w:cs="Times New Roman" w:eastAsiaTheme="minorEastAsia"/>
                <w:b/>
                <w:bCs/>
                <w:color w:val="000000" w:themeColor="text1"/>
                <w:sz w:val="24"/>
                <w:lang w:val="en-US"/>
              </w:rPr>
              <w:t>2</w:t>
            </w:r>
            <w:r>
              <w:rPr>
                <w:rFonts w:ascii="Times New Roman" w:hAnsi="Times New Roman" w:cs="Times New Roman" w:eastAsiaTheme="minorEastAsia"/>
                <w:b/>
                <w:bCs/>
                <w:color w:val="000000" w:themeColor="text1"/>
                <w:sz w:val="24"/>
              </w:rPr>
              <w:t xml:space="preserve"> 项目运营期工艺流程及产污环节图</w:t>
            </w:r>
          </w:p>
          <w:p w14:paraId="123EA12A">
            <w:pPr>
              <w:pStyle w:val="41"/>
              <w:rPr>
                <w:color w:val="000000" w:themeColor="text1"/>
              </w:rPr>
            </w:pPr>
            <w:r>
              <w:rPr>
                <w:color w:val="000000" w:themeColor="text1"/>
              </w:rPr>
              <w:t>2、项目营运期产排污环节</w:t>
            </w:r>
          </w:p>
          <w:p w14:paraId="07B98913">
            <w:pPr>
              <w:pStyle w:val="41"/>
              <w:rPr>
                <w:color w:val="000000" w:themeColor="text1"/>
              </w:rPr>
            </w:pPr>
            <w:r>
              <w:rPr>
                <w:color w:val="000000" w:themeColor="text1"/>
              </w:rPr>
              <w:t>（1）水污染物：本项目排水主要为</w:t>
            </w:r>
            <w:r>
              <w:rPr>
                <w:rFonts w:hint="eastAsia"/>
                <w:color w:val="000000" w:themeColor="text1"/>
              </w:rPr>
              <w:t>住院病房废水</w:t>
            </w:r>
            <w:r>
              <w:rPr>
                <w:color w:val="000000" w:themeColor="text1"/>
              </w:rPr>
              <w:t>、</w:t>
            </w:r>
            <w:r>
              <w:rPr>
                <w:rFonts w:hint="eastAsia"/>
                <w:color w:val="000000" w:themeColor="text1"/>
              </w:rPr>
              <w:t>门诊废水、</w:t>
            </w:r>
            <w:r>
              <w:rPr>
                <w:color w:val="000000" w:themeColor="text1"/>
              </w:rPr>
              <w:t>保洁废水</w:t>
            </w:r>
            <w:r>
              <w:rPr>
                <w:rFonts w:hint="eastAsia"/>
                <w:color w:val="000000" w:themeColor="text1"/>
              </w:rPr>
              <w:t>、洗衣房废水、传染病楼职工生活污水、住院病人食堂废水</w:t>
            </w:r>
            <w:r>
              <w:rPr>
                <w:color w:val="000000" w:themeColor="text1"/>
              </w:rPr>
              <w:t>等，主要的污染物为pH、COD、BOD</w:t>
            </w:r>
            <w:r>
              <w:rPr>
                <w:color w:val="000000" w:themeColor="text1"/>
                <w:vertAlign w:val="subscript"/>
              </w:rPr>
              <w:t>5</w:t>
            </w:r>
            <w:r>
              <w:rPr>
                <w:color w:val="000000" w:themeColor="text1"/>
              </w:rPr>
              <w:t>、NH</w:t>
            </w:r>
            <w:r>
              <w:rPr>
                <w:color w:val="000000" w:themeColor="text1"/>
                <w:vertAlign w:val="subscript"/>
              </w:rPr>
              <w:t>3</w:t>
            </w:r>
            <w:r>
              <w:rPr>
                <w:color w:val="000000" w:themeColor="text1"/>
              </w:rPr>
              <w:t>-N、SS、细菌等。</w:t>
            </w:r>
          </w:p>
          <w:p w14:paraId="73CC55F2">
            <w:pPr>
              <w:spacing w:line="360" w:lineRule="auto"/>
              <w:ind w:firstLine="480" w:firstLineChars="200"/>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rPr>
              <w:t>（2）大气污染物：本项目不设锅炉，不设焚化炉，项目建成后主要废气为污水处理站、危险废物暂存间和生活垃圾暂存装置产生的恶臭、药物及试剂气味、汽车尾气</w:t>
            </w:r>
            <w:r>
              <w:rPr>
                <w:rFonts w:hint="eastAsia" w:ascii="Times New Roman" w:hAnsi="Times New Roman" w:cs="Times New Roman" w:eastAsiaTheme="minorEastAsia"/>
                <w:color w:val="000000" w:themeColor="text1"/>
                <w:sz w:val="24"/>
                <w:szCs w:val="24"/>
              </w:rPr>
              <w:t>、</w:t>
            </w:r>
            <w:r>
              <w:rPr>
                <w:rFonts w:hint="eastAsia" w:ascii="Times New Roman" w:hAnsi="Times New Roman" w:cs="Times New Roman" w:eastAsiaTheme="minorEastAsia"/>
                <w:color w:val="000000" w:themeColor="text1"/>
                <w:sz w:val="24"/>
                <w:szCs w:val="24"/>
                <w:lang w:val="en-US"/>
              </w:rPr>
              <w:t>带菌废气、食堂油烟</w:t>
            </w:r>
            <w:r>
              <w:rPr>
                <w:rFonts w:ascii="Times New Roman" w:hAnsi="Times New Roman" w:cs="Times New Roman" w:eastAsiaTheme="minorEastAsia"/>
                <w:color w:val="000000" w:themeColor="text1"/>
                <w:sz w:val="24"/>
                <w:szCs w:val="24"/>
              </w:rPr>
              <w:t>。</w:t>
            </w:r>
          </w:p>
          <w:p w14:paraId="010A2007">
            <w:pPr>
              <w:spacing w:line="360" w:lineRule="auto"/>
              <w:ind w:firstLine="480" w:firstLineChars="200"/>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rPr>
              <w:t>（3）固废：本项目产生的固体废物主要为生活垃圾、</w:t>
            </w:r>
            <w:r>
              <w:rPr>
                <w:rFonts w:hint="eastAsia" w:ascii="Times New Roman" w:hAnsi="Times New Roman" w:cs="Times New Roman" w:eastAsiaTheme="minorEastAsia"/>
                <w:color w:val="000000" w:themeColor="text1"/>
                <w:sz w:val="24"/>
                <w:szCs w:val="24"/>
              </w:rPr>
              <w:t>输液瓶、</w:t>
            </w:r>
            <w:r>
              <w:rPr>
                <w:rFonts w:ascii="Times New Roman" w:hAnsi="Times New Roman" w:cs="Times New Roman" w:eastAsiaTheme="minorEastAsia"/>
                <w:color w:val="000000" w:themeColor="text1"/>
                <w:sz w:val="24"/>
                <w:szCs w:val="24"/>
              </w:rPr>
              <w:t>医疗废物、污泥</w:t>
            </w:r>
            <w:r>
              <w:rPr>
                <w:rFonts w:hint="eastAsia" w:ascii="Times New Roman" w:hAnsi="Times New Roman" w:cs="Times New Roman" w:eastAsiaTheme="minorEastAsia"/>
                <w:color w:val="000000" w:themeColor="text1"/>
                <w:sz w:val="24"/>
                <w:szCs w:val="24"/>
              </w:rPr>
              <w:t>及格栅渣</w:t>
            </w:r>
            <w:r>
              <w:rPr>
                <w:rFonts w:ascii="Times New Roman" w:hAnsi="Times New Roman" w:cs="Times New Roman" w:eastAsiaTheme="minorEastAsia"/>
                <w:color w:val="000000" w:themeColor="text1"/>
                <w:sz w:val="24"/>
                <w:szCs w:val="24"/>
              </w:rPr>
              <w:t>。</w:t>
            </w:r>
          </w:p>
          <w:p w14:paraId="7C7B4A70">
            <w:pPr>
              <w:spacing w:line="360" w:lineRule="auto"/>
              <w:ind w:firstLine="480" w:firstLineChars="200"/>
              <w:rPr>
                <w:rFonts w:ascii="Times New Roman" w:hAnsi="Times New Roman"/>
                <w:color w:val="000000" w:themeColor="text1"/>
                <w:lang w:val="en-US"/>
              </w:rPr>
            </w:pPr>
            <w:r>
              <w:rPr>
                <w:rFonts w:ascii="Times New Roman" w:hAnsi="Times New Roman" w:cs="Times New Roman" w:eastAsiaTheme="minorEastAsia"/>
                <w:color w:val="000000" w:themeColor="text1"/>
                <w:sz w:val="24"/>
                <w:szCs w:val="24"/>
              </w:rPr>
              <w:t>（4）噪声：本项目运营期噪声主要来自分体空调机组等的设备噪声、污水处理站水泵运行噪声、人群活动噪声，各主要噪声源约为55-</w:t>
            </w:r>
            <w:r>
              <w:rPr>
                <w:rFonts w:hint="eastAsia" w:ascii="Times New Roman" w:hAnsi="Times New Roman" w:cs="Times New Roman" w:eastAsiaTheme="minorEastAsia"/>
                <w:color w:val="000000" w:themeColor="text1"/>
                <w:sz w:val="24"/>
                <w:szCs w:val="24"/>
                <w:lang w:val="en-US"/>
              </w:rPr>
              <w:t>75</w:t>
            </w:r>
            <w:r>
              <w:rPr>
                <w:rFonts w:ascii="Times New Roman" w:hAnsi="Times New Roman" w:cs="Times New Roman" w:eastAsiaTheme="minorEastAsia"/>
                <w:color w:val="000000" w:themeColor="text1"/>
                <w:sz w:val="24"/>
                <w:szCs w:val="24"/>
              </w:rPr>
              <w:t>LAeq(dB)。</w:t>
            </w:r>
          </w:p>
        </w:tc>
      </w:tr>
      <w:tr w14:paraId="05E85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51" w:type="pct"/>
            <w:tcBorders>
              <w:top w:val="single" w:color="000000" w:sz="4" w:space="0"/>
              <w:bottom w:val="single" w:color="000000" w:sz="4" w:space="0"/>
              <w:right w:val="single" w:color="000000" w:sz="4" w:space="0"/>
            </w:tcBorders>
            <w:vAlign w:val="center"/>
          </w:tcPr>
          <w:p w14:paraId="561A8CD4">
            <w:pPr>
              <w:pStyle w:val="40"/>
              <w:spacing w:line="242" w:lineRule="auto"/>
              <w:ind w:right="7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与项目有关的原有环境污染问题</w:t>
            </w:r>
          </w:p>
        </w:tc>
        <w:tc>
          <w:tcPr>
            <w:tcW w:w="4348" w:type="pct"/>
            <w:tcBorders>
              <w:top w:val="single" w:color="000000" w:sz="4" w:space="0"/>
              <w:left w:val="single" w:color="000000" w:sz="4" w:space="0"/>
              <w:bottom w:val="single" w:color="000000" w:sz="4" w:space="0"/>
            </w:tcBorders>
            <w:vAlign w:val="center"/>
          </w:tcPr>
          <w:p w14:paraId="53997562">
            <w:pPr>
              <w:pStyle w:val="26"/>
              <w:spacing w:line="360" w:lineRule="auto"/>
              <w:ind w:firstLine="482"/>
              <w:rPr>
                <w:rFonts w:ascii="Times New Roman" w:hAnsi="Times New Roman" w:cs="Times New Roman"/>
                <w:b/>
                <w:bCs/>
                <w:color w:val="000000" w:themeColor="text1"/>
              </w:rPr>
            </w:pPr>
            <w:r>
              <w:rPr>
                <w:rFonts w:ascii="Times New Roman" w:hAnsi="Times New Roman" w:cs="Times New Roman"/>
                <w:b/>
                <w:bCs/>
                <w:color w:val="000000" w:themeColor="text1"/>
              </w:rPr>
              <w:t>1、原有项目基本情况</w:t>
            </w:r>
          </w:p>
          <w:p w14:paraId="41391EAC">
            <w:pPr>
              <w:pStyle w:val="19"/>
              <w:spacing w:line="360" w:lineRule="auto"/>
              <w:ind w:left="0" w:firstLine="480" w:firstLineChars="200"/>
              <w:rPr>
                <w:rFonts w:ascii="Times New Roman" w:hAnsi="Times New Roman"/>
                <w:color w:val="000000" w:themeColor="text1"/>
                <w:sz w:val="24"/>
              </w:rPr>
            </w:pPr>
            <w:r>
              <w:rPr>
                <w:rFonts w:hint="eastAsia" w:ascii="Times New Roman" w:hAnsi="Times New Roman"/>
                <w:color w:val="000000" w:themeColor="text1"/>
                <w:sz w:val="24"/>
              </w:rPr>
              <w:t>根据现场踏勘和资料查阅，永福县人民医院为综合性医院，位于桂林市永福县永福镇迎宾路132号</w:t>
            </w:r>
            <w:r>
              <w:rPr>
                <w:rFonts w:hint="eastAsia" w:ascii="Times New Roman" w:hAnsi="Times New Roman"/>
                <w:color w:val="000000" w:themeColor="text1"/>
                <w:sz w:val="24"/>
                <w:lang w:bidi="zh-CN"/>
              </w:rPr>
              <w:t>，始建于1937年。</w:t>
            </w:r>
            <w:r>
              <w:rPr>
                <w:rFonts w:hint="eastAsia" w:ascii="Times New Roman" w:hAnsi="Times New Roman"/>
                <w:color w:val="000000" w:themeColor="text1"/>
                <w:sz w:val="24"/>
              </w:rPr>
              <w:t>原有项目</w:t>
            </w:r>
            <w:r>
              <w:rPr>
                <w:rFonts w:hint="eastAsia" w:ascii="Times New Roman" w:hAnsi="Times New Roman"/>
                <w:color w:val="000000" w:themeColor="text1"/>
                <w:sz w:val="24"/>
                <w:lang w:bidi="zh-CN"/>
              </w:rPr>
              <w:t>包括一栋6层的急诊医技楼（原名门诊楼）</w:t>
            </w:r>
            <w:r>
              <w:rPr>
                <w:rFonts w:hint="eastAsia" w:ascii="Times New Roman" w:hAnsi="Times New Roman"/>
                <w:color w:val="000000" w:themeColor="text1"/>
                <w:sz w:val="24"/>
              </w:rPr>
              <w:t>、一栋6层住院楼、一栋</w:t>
            </w:r>
            <w:r>
              <w:rPr>
                <w:rFonts w:hint="eastAsia" w:ascii="Times New Roman" w:hAnsi="Times New Roman"/>
                <w:color w:val="000000" w:themeColor="text1"/>
                <w:sz w:val="24"/>
                <w:lang w:bidi="zh-CN"/>
              </w:rPr>
              <w:t>5层后勤综合楼、一栋6层业务综合楼（原名医技楼）</w:t>
            </w:r>
            <w:r>
              <w:rPr>
                <w:rFonts w:hint="eastAsia" w:ascii="Times New Roman" w:hAnsi="Times New Roman"/>
                <w:color w:val="000000" w:themeColor="text1"/>
                <w:sz w:val="24"/>
              </w:rPr>
              <w:t>，配套建设宿舍、食堂、污水处理系统、地上停车场及相应附属工程，核定发证床位数200张；在建项目包括一栋6层专病综合楼，环评批复床位数125张，</w:t>
            </w:r>
            <w:r>
              <w:rPr>
                <w:rFonts w:hint="eastAsia" w:ascii="Times New Roman" w:hAnsi="Times New Roman"/>
                <w:color w:val="000000" w:themeColor="text1"/>
                <w:sz w:val="24"/>
                <w:u w:val="single"/>
              </w:rPr>
              <w:t>原有项目和在建项目建设情况详见前文：表2-1项目主要建设内容</w:t>
            </w:r>
          </w:p>
          <w:p w14:paraId="475A7FCE">
            <w:pPr>
              <w:spacing w:line="360" w:lineRule="auto"/>
              <w:ind w:firstLine="480" w:firstLineChars="200"/>
              <w:rPr>
                <w:rFonts w:ascii="Times New Roman" w:hAnsi="Times New Roman"/>
                <w:color w:val="000000" w:themeColor="text1"/>
                <w:sz w:val="24"/>
                <w:szCs w:val="24"/>
                <w:u w:val="single"/>
                <w:lang w:val="en-US"/>
              </w:rPr>
            </w:pPr>
            <w:r>
              <w:rPr>
                <w:rFonts w:hint="eastAsia" w:ascii="Times New Roman" w:hAnsi="Times New Roman" w:cs="Times New Roman"/>
                <w:color w:val="000000" w:themeColor="text1"/>
                <w:kern w:val="2"/>
                <w:sz w:val="24"/>
                <w:szCs w:val="24"/>
                <w:lang w:val="en-US" w:bidi="ar-SA"/>
              </w:rPr>
              <w:t>医院原有项目</w:t>
            </w:r>
            <w:r>
              <w:rPr>
                <w:rFonts w:hint="eastAsia" w:ascii="Times New Roman" w:hAnsi="Times New Roman"/>
                <w:color w:val="000000" w:themeColor="text1"/>
                <w:sz w:val="24"/>
                <w:szCs w:val="24"/>
                <w:lang w:val="en-US"/>
              </w:rPr>
              <w:t>开设急诊科、放射科、超声科、设备科、药剂科、信息科、预防保健科、后勤科、采购管理科、检验科、病理科、心血管、肾内科、综合科、神经内科、肿瘤内科</w:t>
            </w:r>
            <w:r>
              <w:rPr>
                <w:rFonts w:ascii="Times New Roman" w:hAnsi="Times New Roman"/>
                <w:color w:val="000000" w:themeColor="text1"/>
                <w:sz w:val="24"/>
                <w:szCs w:val="24"/>
                <w:lang w:val="en-US"/>
              </w:rPr>
              <w:t>等</w:t>
            </w:r>
            <w:r>
              <w:rPr>
                <w:rFonts w:hint="eastAsia" w:ascii="Times New Roman" w:hAnsi="Times New Roman"/>
                <w:color w:val="000000" w:themeColor="text1"/>
                <w:sz w:val="24"/>
                <w:szCs w:val="24"/>
                <w:lang w:val="en-US"/>
              </w:rPr>
              <w:t>，内设200张床位</w:t>
            </w:r>
            <w:r>
              <w:rPr>
                <w:rFonts w:hint="eastAsia" w:ascii="Times New Roman" w:hAnsi="Times New Roman"/>
                <w:color w:val="000000" w:themeColor="text1"/>
                <w:sz w:val="24"/>
              </w:rPr>
              <w:t>；</w:t>
            </w:r>
            <w:r>
              <w:rPr>
                <w:rFonts w:hint="eastAsia" w:ascii="Times New Roman" w:hAnsi="Times New Roman"/>
                <w:color w:val="000000" w:themeColor="text1"/>
                <w:sz w:val="24"/>
                <w:lang w:val="en-US"/>
              </w:rPr>
              <w:t>在建项目</w:t>
            </w:r>
            <w:r>
              <w:rPr>
                <w:rFonts w:hint="eastAsia" w:ascii="Times New Roman" w:hAnsi="Times New Roman"/>
                <w:color w:val="000000" w:themeColor="text1"/>
                <w:sz w:val="24"/>
                <w:szCs w:val="24"/>
                <w:lang w:val="en-US"/>
              </w:rPr>
              <w:t>开设康复科、血透中心、专病病房等，内设125张床位</w:t>
            </w:r>
            <w:r>
              <w:rPr>
                <w:rFonts w:hint="eastAsia" w:ascii="Times New Roman" w:hAnsi="Times New Roman"/>
                <w:color w:val="000000" w:themeColor="text1"/>
                <w:sz w:val="24"/>
                <w:szCs w:val="24"/>
                <w:u w:val="single"/>
                <w:lang w:val="en-US"/>
              </w:rPr>
              <w:t>。</w:t>
            </w:r>
          </w:p>
          <w:p w14:paraId="75E5DB13">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劳动定员：职工定员</w:t>
            </w:r>
            <w:r>
              <w:rPr>
                <w:rFonts w:hint="eastAsia" w:ascii="Times New Roman" w:hAnsi="Times New Roman"/>
                <w:color w:val="000000" w:themeColor="text1"/>
                <w:sz w:val="24"/>
                <w:lang w:val="en-US"/>
              </w:rPr>
              <w:t>423</w:t>
            </w:r>
            <w:r>
              <w:rPr>
                <w:rFonts w:ascii="Times New Roman" w:hAnsi="Times New Roman"/>
                <w:color w:val="000000" w:themeColor="text1"/>
                <w:sz w:val="24"/>
              </w:rPr>
              <w:t>人</w:t>
            </w:r>
            <w:r>
              <w:rPr>
                <w:rFonts w:hint="eastAsia" w:ascii="Times New Roman" w:hAnsi="Times New Roman"/>
                <w:color w:val="000000" w:themeColor="text1"/>
                <w:sz w:val="24"/>
              </w:rPr>
              <w:t>（</w:t>
            </w:r>
            <w:r>
              <w:rPr>
                <w:rFonts w:hint="eastAsia" w:ascii="Times New Roman" w:hAnsi="Times New Roman"/>
                <w:color w:val="000000" w:themeColor="text1"/>
                <w:sz w:val="24"/>
                <w:lang w:val="en-US"/>
              </w:rPr>
              <w:t>包含本项目</w:t>
            </w:r>
            <w:r>
              <w:rPr>
                <w:rFonts w:ascii="Times New Roman" w:hAnsi="Times New Roman"/>
                <w:color w:val="000000" w:themeColor="text1"/>
                <w:sz w:val="24"/>
              </w:rPr>
              <w:t>职工</w:t>
            </w:r>
            <w:r>
              <w:rPr>
                <w:rFonts w:hint="eastAsia" w:ascii="Times New Roman" w:hAnsi="Times New Roman"/>
                <w:color w:val="000000" w:themeColor="text1"/>
                <w:sz w:val="24"/>
                <w:lang w:val="en-US"/>
              </w:rPr>
              <w:t>200人在内</w:t>
            </w:r>
            <w:r>
              <w:rPr>
                <w:rFonts w:hint="eastAsia" w:ascii="Times New Roman" w:hAnsi="Times New Roman"/>
                <w:color w:val="000000" w:themeColor="text1"/>
                <w:sz w:val="24"/>
              </w:rPr>
              <w:t>），院内</w:t>
            </w:r>
            <w:r>
              <w:rPr>
                <w:rFonts w:hint="eastAsia" w:ascii="Times New Roman" w:hAnsi="Times New Roman"/>
                <w:color w:val="000000" w:themeColor="text1"/>
                <w:sz w:val="24"/>
                <w:lang w:val="en-US"/>
              </w:rPr>
              <w:t>设</w:t>
            </w:r>
            <w:r>
              <w:rPr>
                <w:rFonts w:hint="eastAsia" w:ascii="Times New Roman" w:hAnsi="Times New Roman"/>
                <w:color w:val="000000" w:themeColor="text1"/>
                <w:sz w:val="24"/>
              </w:rPr>
              <w:t>食堂、住宿</w:t>
            </w:r>
            <w:r>
              <w:rPr>
                <w:rFonts w:ascii="Times New Roman" w:hAnsi="Times New Roman"/>
                <w:color w:val="000000" w:themeColor="text1"/>
                <w:sz w:val="24"/>
              </w:rPr>
              <w:t>。</w:t>
            </w:r>
          </w:p>
          <w:p w14:paraId="0E124E8F">
            <w:pPr>
              <w:pStyle w:val="41"/>
              <w:rPr>
                <w:rFonts w:hint="eastAsia" w:ascii="宋体" w:hAnsi="宋体" w:cs="宋体"/>
                <w:color w:val="000000" w:themeColor="text1"/>
              </w:rPr>
            </w:pPr>
            <w:r>
              <w:rPr>
                <w:rFonts w:hint="eastAsia"/>
                <w:color w:val="000000" w:themeColor="text1"/>
              </w:rPr>
              <w:t>综合污水处理站：医院在2005年配套建设的综合污水处理站，因设计处理规模不能满足院区污水处理需求，医院于2020年对综合污水处理站进行改造，</w:t>
            </w:r>
            <w:r>
              <w:rPr>
                <w:rFonts w:hint="eastAsia"/>
                <w:color w:val="000000" w:themeColor="text1"/>
                <w:kern w:val="2"/>
              </w:rPr>
              <w:t>由原设计处理规模300m</w:t>
            </w:r>
            <w:r>
              <w:rPr>
                <w:rFonts w:hint="eastAsia"/>
                <w:color w:val="000000" w:themeColor="text1"/>
                <w:kern w:val="2"/>
                <w:vertAlign w:val="superscript"/>
              </w:rPr>
              <w:t>3</w:t>
            </w:r>
            <w:r>
              <w:rPr>
                <w:rFonts w:hint="eastAsia"/>
                <w:color w:val="000000" w:themeColor="text1"/>
                <w:kern w:val="2"/>
              </w:rPr>
              <w:t>/d扩大至480m</w:t>
            </w:r>
            <w:r>
              <w:rPr>
                <w:rFonts w:hint="eastAsia"/>
                <w:color w:val="000000" w:themeColor="text1"/>
                <w:kern w:val="2"/>
                <w:vertAlign w:val="superscript"/>
              </w:rPr>
              <w:t>3</w:t>
            </w:r>
            <w:r>
              <w:rPr>
                <w:rFonts w:hint="eastAsia"/>
                <w:color w:val="000000" w:themeColor="text1"/>
                <w:kern w:val="2"/>
              </w:rPr>
              <w:t>/d，处理工艺不变，仅扩大设计处理规模</w:t>
            </w:r>
            <w:r>
              <w:rPr>
                <w:rFonts w:hint="eastAsia"/>
                <w:color w:val="000000" w:themeColor="text1"/>
              </w:rPr>
              <w:t>。</w:t>
            </w:r>
          </w:p>
          <w:p w14:paraId="6F5C71BA">
            <w:pPr>
              <w:pStyle w:val="26"/>
              <w:spacing w:line="360" w:lineRule="auto"/>
              <w:ind w:firstLine="482"/>
              <w:rPr>
                <w:rFonts w:ascii="Times New Roman" w:hAnsi="Times New Roman" w:cs="Times New Roman"/>
                <w:b/>
                <w:bCs/>
                <w:color w:val="000000" w:themeColor="text1"/>
              </w:rPr>
            </w:pPr>
            <w:r>
              <w:rPr>
                <w:rFonts w:hint="eastAsia" w:ascii="Times New Roman" w:hAnsi="Times New Roman" w:cs="Times New Roman"/>
                <w:b/>
                <w:bCs/>
                <w:color w:val="000000" w:themeColor="text1"/>
              </w:rPr>
              <w:t>2、原有项目环保手续履行情况</w:t>
            </w:r>
          </w:p>
          <w:p w14:paraId="4883EC19">
            <w:pPr>
              <w:pStyle w:val="41"/>
              <w:rPr>
                <w:rFonts w:hint="eastAsia" w:asciiTheme="minorEastAsia" w:hAnsiTheme="minorEastAsia" w:eastAsiaTheme="minorEastAsia"/>
                <w:color w:val="000000" w:themeColor="text1"/>
              </w:rPr>
            </w:pPr>
            <w:r>
              <w:rPr>
                <w:rFonts w:hint="eastAsia"/>
                <w:color w:val="000000" w:themeColor="text1"/>
              </w:rPr>
              <w:t>永福县人民医院</w:t>
            </w:r>
            <w:r>
              <w:rPr>
                <w:color w:val="000000" w:themeColor="text1"/>
              </w:rPr>
              <w:t>成立于</w:t>
            </w:r>
            <w:r>
              <w:rPr>
                <w:rFonts w:hint="eastAsia"/>
                <w:color w:val="000000" w:themeColor="text1"/>
              </w:rPr>
              <w:t>1937</w:t>
            </w:r>
            <w:r>
              <w:rPr>
                <w:color w:val="000000" w:themeColor="text1"/>
              </w:rPr>
              <w:t>年，建院时间较早，部分环保手续未</w:t>
            </w:r>
            <w:r>
              <w:rPr>
                <w:rFonts w:hint="eastAsia"/>
                <w:color w:val="000000" w:themeColor="text1"/>
              </w:rPr>
              <w:t>完成</w:t>
            </w:r>
            <w:r>
              <w:rPr>
                <w:color w:val="000000" w:themeColor="text1"/>
              </w:rPr>
              <w:t>，</w:t>
            </w:r>
            <w:r>
              <w:rPr>
                <w:rFonts w:hint="eastAsia" w:hAnsi="宋体"/>
                <w:color w:val="000000" w:themeColor="text1"/>
              </w:rPr>
              <w:t>原有项目环保手续履行具体情况</w:t>
            </w:r>
            <w:r>
              <w:rPr>
                <w:rFonts w:hint="eastAsia" w:asciiTheme="minorEastAsia" w:hAnsiTheme="minorEastAsia" w:eastAsiaTheme="minorEastAsia"/>
                <w:color w:val="000000" w:themeColor="text1"/>
              </w:rPr>
              <w:t>如下：</w:t>
            </w:r>
          </w:p>
          <w:p w14:paraId="08055AEB">
            <w:pPr>
              <w:pStyle w:val="41"/>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A、原项目：</w:t>
            </w:r>
          </w:p>
          <w:p w14:paraId="507DA90F">
            <w:pPr>
              <w:pStyle w:val="41"/>
              <w:rPr>
                <w:color w:val="000000" w:themeColor="text1"/>
                <w:u w:val="single"/>
              </w:rPr>
            </w:pPr>
            <w:r>
              <w:rPr>
                <w:rFonts w:hint="eastAsia"/>
                <w:color w:val="000000" w:themeColor="text1"/>
              </w:rPr>
              <w:t>（1）1937</w:t>
            </w:r>
            <w:r>
              <w:rPr>
                <w:color w:val="000000" w:themeColor="text1"/>
              </w:rPr>
              <w:t>年，</w:t>
            </w:r>
            <w:r>
              <w:rPr>
                <w:rFonts w:hint="eastAsia"/>
                <w:color w:val="000000" w:themeColor="text1"/>
              </w:rPr>
              <w:t>医院搬迁前未进行环保手续；</w:t>
            </w:r>
          </w:p>
          <w:p w14:paraId="7FCB8D6C">
            <w:pPr>
              <w:pStyle w:val="41"/>
              <w:rPr>
                <w:color w:val="000000" w:themeColor="text1"/>
              </w:rPr>
            </w:pPr>
            <w:r>
              <w:rPr>
                <w:color w:val="000000" w:themeColor="text1"/>
              </w:rPr>
              <w:t>（</w:t>
            </w:r>
            <w:r>
              <w:rPr>
                <w:rFonts w:hint="eastAsia"/>
                <w:color w:val="000000" w:themeColor="text1"/>
              </w:rPr>
              <w:t>2</w:t>
            </w:r>
            <w:r>
              <w:rPr>
                <w:color w:val="000000" w:themeColor="text1"/>
              </w:rPr>
              <w:t>）</w:t>
            </w:r>
            <w:r>
              <w:rPr>
                <w:rFonts w:hint="eastAsia"/>
                <w:color w:val="000000" w:themeColor="text1"/>
              </w:rPr>
              <w:t>2005年，医院委托广西壮族自治区环境保护科学研究所编制</w:t>
            </w:r>
            <w:r>
              <w:rPr>
                <w:color w:val="000000" w:themeColor="text1"/>
              </w:rPr>
              <w:t>完成了《</w:t>
            </w:r>
            <w:r>
              <w:rPr>
                <w:rFonts w:hint="eastAsia"/>
                <w:color w:val="000000" w:themeColor="text1"/>
              </w:rPr>
              <w:t>永福县人民医院整体搬迁工程建设项目</w:t>
            </w:r>
            <w:r>
              <w:rPr>
                <w:color w:val="000000" w:themeColor="text1"/>
              </w:rPr>
              <w:t>环境影响报告</w:t>
            </w:r>
            <w:r>
              <w:rPr>
                <w:rFonts w:hint="eastAsia"/>
                <w:color w:val="000000" w:themeColor="text1"/>
              </w:rPr>
              <w:t>表</w:t>
            </w:r>
            <w:r>
              <w:rPr>
                <w:color w:val="000000" w:themeColor="text1"/>
              </w:rPr>
              <w:t>》</w:t>
            </w:r>
            <w:r>
              <w:rPr>
                <w:rFonts w:hint="eastAsia"/>
                <w:color w:val="000000" w:themeColor="text1"/>
              </w:rPr>
              <w:t>，并于2005年9月28日取得该项目环评批复，文号：桂环管字</w:t>
            </w:r>
            <w:r>
              <w:rPr>
                <w:rFonts w:hint="eastAsia" w:hAnsi="宋体"/>
                <w:color w:val="000000" w:themeColor="text1"/>
              </w:rPr>
              <w:t>〔2005〕231号（详见附件5），</w:t>
            </w:r>
            <w:r>
              <w:rPr>
                <w:rFonts w:hint="eastAsia"/>
                <w:color w:val="000000" w:themeColor="text1"/>
              </w:rPr>
              <w:t>该</w:t>
            </w:r>
            <w:r>
              <w:rPr>
                <w:color w:val="000000" w:themeColor="text1"/>
              </w:rPr>
              <w:t>项目</w:t>
            </w:r>
            <w:r>
              <w:rPr>
                <w:rFonts w:hint="eastAsia"/>
                <w:color w:val="000000" w:themeColor="text1"/>
              </w:rPr>
              <w:t>于2016年进行竣工环境保护验收手续，见下文“（5）”；</w:t>
            </w:r>
          </w:p>
          <w:p w14:paraId="3EFD546E">
            <w:pPr>
              <w:pStyle w:val="41"/>
              <w:rPr>
                <w:color w:val="000000" w:themeColor="text1"/>
                <w:u w:val="single"/>
              </w:rPr>
            </w:pPr>
            <w:r>
              <w:rPr>
                <w:rFonts w:hint="eastAsia"/>
                <w:color w:val="000000" w:themeColor="text1"/>
                <w:u w:val="single"/>
              </w:rPr>
              <w:t>（</w:t>
            </w:r>
            <w:r>
              <w:rPr>
                <w:color w:val="000000" w:themeColor="text1"/>
                <w:u w:val="single"/>
              </w:rPr>
              <w:t>3</w:t>
            </w:r>
            <w:r>
              <w:rPr>
                <w:rFonts w:hint="eastAsia"/>
                <w:color w:val="000000" w:themeColor="text1"/>
                <w:u w:val="single"/>
              </w:rPr>
              <w:t>）2005年，建设的传染病楼未进行相关环保手续；</w:t>
            </w:r>
          </w:p>
          <w:p w14:paraId="179CE4E4">
            <w:pPr>
              <w:pStyle w:val="41"/>
              <w:rPr>
                <w:color w:val="000000" w:themeColor="text1"/>
                <w:u w:val="single"/>
              </w:rPr>
            </w:pPr>
            <w:r>
              <w:rPr>
                <w:rFonts w:hint="eastAsia"/>
                <w:color w:val="000000" w:themeColor="text1"/>
                <w:u w:val="single"/>
              </w:rPr>
              <w:t>（4）2010年，建设过程中发现医技楼（现名业务综合楼）仅六层且无床位设置，无法满足后续就诊需求，故对其扩建三层并重新规划内部科室、床位设置，最终建成九层业务综合楼，未进行相关环保手续；</w:t>
            </w:r>
          </w:p>
          <w:p w14:paraId="7905CC00">
            <w:pPr>
              <w:pStyle w:val="41"/>
              <w:rPr>
                <w:color w:val="000000" w:themeColor="text1"/>
              </w:rPr>
            </w:pPr>
            <w:r>
              <w:rPr>
                <w:rFonts w:hint="eastAsia"/>
                <w:color w:val="000000" w:themeColor="text1"/>
              </w:rPr>
              <w:t>（5）2016年，医院编制《永福县人民医院整体迁建工程竣工环境保护验收监测报告》，并于2016年11月17日取得该项目验收批复，文号：市环验</w:t>
            </w:r>
            <w:r>
              <w:rPr>
                <w:rFonts w:hint="eastAsia" w:hAnsi="宋体"/>
                <w:color w:val="000000" w:themeColor="text1"/>
              </w:rPr>
              <w:t>〔2016〕32号</w:t>
            </w:r>
            <w:r>
              <w:rPr>
                <w:rFonts w:hint="eastAsia"/>
                <w:color w:val="000000" w:themeColor="text1"/>
              </w:rPr>
              <w:t>。</w:t>
            </w:r>
            <w:r>
              <w:rPr>
                <w:rFonts w:hint="eastAsia" w:hAnsi="宋体"/>
                <w:color w:val="000000" w:themeColor="text1"/>
              </w:rPr>
              <w:t>（详见附件5）</w:t>
            </w:r>
          </w:p>
          <w:p w14:paraId="6E701FA6">
            <w:pPr>
              <w:pStyle w:val="41"/>
              <w:rPr>
                <w:color w:val="000000" w:themeColor="text1"/>
              </w:rPr>
            </w:pPr>
            <w:r>
              <w:rPr>
                <w:rFonts w:hint="eastAsia" w:hAnsi="宋体"/>
                <w:color w:val="000000" w:themeColor="text1"/>
              </w:rPr>
              <w:t>（6）2020年，综合污水处理站进行改造，改造后的综合污水处理站设计处理规模为480m</w:t>
            </w:r>
            <w:r>
              <w:rPr>
                <w:rFonts w:hint="eastAsia" w:hAnsi="宋体"/>
                <w:color w:val="000000" w:themeColor="text1"/>
                <w:vertAlign w:val="superscript"/>
              </w:rPr>
              <w:t>3</w:t>
            </w:r>
            <w:r>
              <w:rPr>
                <w:rFonts w:hint="eastAsia" w:hAnsi="宋体"/>
                <w:color w:val="000000" w:themeColor="text1"/>
              </w:rPr>
              <w:t>/d</w:t>
            </w:r>
            <w:r>
              <w:rPr>
                <w:rFonts w:hint="eastAsia"/>
                <w:color w:val="000000" w:themeColor="text1"/>
              </w:rPr>
              <w:t>（即现用的综合污水处理站），该污水处理站改造未进行相关环保手续；</w:t>
            </w:r>
          </w:p>
          <w:p w14:paraId="5E7B02B0">
            <w:pPr>
              <w:pStyle w:val="41"/>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B、在建项目：</w:t>
            </w:r>
          </w:p>
          <w:p w14:paraId="3022FC9F">
            <w:pPr>
              <w:pStyle w:val="41"/>
              <w:rPr>
                <w:rFonts w:hint="eastAsia" w:hAnsi="宋体"/>
                <w:color w:val="000000" w:themeColor="text1"/>
              </w:rPr>
            </w:pPr>
            <w:r>
              <w:rPr>
                <w:rFonts w:hint="eastAsia"/>
                <w:color w:val="000000" w:themeColor="text1"/>
              </w:rPr>
              <w:t>（1）2022年，医院委托广西南宁碧桂环保咨询有限公司编制完成《永福县人民医院专病综合楼建设项目环境影响报告表》，并于2022年10月11日取得该项目环评批复，文号：永环审表字</w:t>
            </w:r>
            <w:r>
              <w:rPr>
                <w:rFonts w:hint="eastAsia" w:hAnsi="宋体"/>
                <w:color w:val="000000" w:themeColor="text1"/>
              </w:rPr>
              <w:t>〔2022〕9号（详见附件5），专病综合楼正在建设中。</w:t>
            </w:r>
          </w:p>
          <w:p w14:paraId="49421BB4">
            <w:pPr>
              <w:pStyle w:val="41"/>
              <w:rPr>
                <w:rFonts w:hint="eastAsia" w:hAnsi="宋体"/>
                <w:color w:val="000000" w:themeColor="text1"/>
              </w:rPr>
            </w:pPr>
            <w:r>
              <w:rPr>
                <w:rFonts w:hint="eastAsia"/>
                <w:color w:val="000000" w:themeColor="text1"/>
              </w:rPr>
              <w:t>2023年5月15日，医院取得</w:t>
            </w:r>
            <w:r>
              <w:rPr>
                <w:color w:val="000000" w:themeColor="text1"/>
              </w:rPr>
              <w:t>排污许可证（编号为</w:t>
            </w:r>
            <w:r>
              <w:rPr>
                <w:rFonts w:hint="eastAsia"/>
                <w:color w:val="000000" w:themeColor="text1"/>
              </w:rPr>
              <w:t>12450326MB00980795001U）</w:t>
            </w:r>
          </w:p>
          <w:p w14:paraId="082DAE39">
            <w:pPr>
              <w:pStyle w:val="26"/>
              <w:spacing w:line="360" w:lineRule="auto"/>
              <w:ind w:firstLine="482"/>
              <w:rPr>
                <w:rFonts w:ascii="Times New Roman" w:hAnsi="Times New Roman" w:cs="Times New Roman"/>
                <w:b/>
                <w:bCs/>
                <w:color w:val="000000" w:themeColor="text1"/>
              </w:rPr>
            </w:pPr>
            <w:r>
              <w:rPr>
                <w:rFonts w:hint="eastAsia" w:ascii="Times New Roman" w:hAnsi="Times New Roman" w:cs="Times New Roman"/>
                <w:b/>
                <w:bCs/>
                <w:color w:val="000000" w:themeColor="text1"/>
                <w:lang w:val="en-US"/>
              </w:rPr>
              <w:t>3</w:t>
            </w:r>
            <w:r>
              <w:rPr>
                <w:rFonts w:hint="eastAsia" w:ascii="Times New Roman" w:hAnsi="Times New Roman" w:cs="Times New Roman"/>
                <w:b/>
                <w:bCs/>
                <w:color w:val="000000" w:themeColor="text1"/>
              </w:rPr>
              <w:t>、原有项目污染物产排情况及环保措施</w:t>
            </w:r>
          </w:p>
          <w:p w14:paraId="5B816E69">
            <w:pPr>
              <w:keepNext/>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（1）原有项目</w:t>
            </w:r>
          </w:p>
          <w:p w14:paraId="0F75AAB5">
            <w:pPr>
              <w:keepNext/>
              <w:spacing w:line="360" w:lineRule="auto"/>
              <w:ind w:firstLine="480" w:firstLineChars="200"/>
              <w:jc w:val="both"/>
              <w:rPr>
                <w:rFonts w:ascii="Times New Roman" w:hAnsi="Times New Roman"/>
                <w:color w:val="000000" w:themeColor="text1"/>
                <w:sz w:val="24"/>
                <w:szCs w:val="24"/>
              </w:rPr>
            </w:pPr>
            <w:r>
              <w:rPr>
                <w:rFonts w:hint="eastAsia" w:ascii="Times New Roman" w:hAnsi="Times New Roman" w:cs="Times New Roman"/>
                <w:color w:val="000000" w:themeColor="text1"/>
                <w:sz w:val="24"/>
                <w:szCs w:val="24"/>
                <w:lang w:val="en-US"/>
              </w:rPr>
              <w:t>根据现场踏勘及查阅相关资料，原有</w:t>
            </w:r>
            <w:r>
              <w:rPr>
                <w:rFonts w:ascii="Times New Roman" w:hAnsi="Times New Roman" w:cs="Times New Roman"/>
                <w:color w:val="000000" w:themeColor="text1"/>
                <w:sz w:val="24"/>
                <w:szCs w:val="24"/>
                <w:lang w:val="en-US"/>
              </w:rPr>
              <w:t>项目</w:t>
            </w:r>
            <w:r>
              <w:rPr>
                <w:rFonts w:hint="eastAsia" w:ascii="Times New Roman" w:hAnsi="Times New Roman" w:cs="Times New Roman"/>
                <w:color w:val="000000" w:themeColor="text1"/>
                <w:sz w:val="24"/>
                <w:szCs w:val="24"/>
                <w:lang w:val="en-US"/>
              </w:rPr>
              <w:t>污染物产排情况及环保措施主要参考</w:t>
            </w:r>
            <w:r>
              <w:rPr>
                <w:rFonts w:hint="eastAsia" w:ascii="Times New Roman" w:hAnsi="Times New Roman"/>
                <w:bCs/>
                <w:color w:val="000000" w:themeColor="text1"/>
                <w:sz w:val="24"/>
                <w:szCs w:val="24"/>
                <w:lang w:val="en-US"/>
              </w:rPr>
              <w:t>全国排污许可证管理信息平台的排污许可内容及</w:t>
            </w:r>
            <w:r>
              <w:rPr>
                <w:rFonts w:hint="eastAsia" w:ascii="Times New Roman" w:hAnsi="Times New Roman"/>
                <w:color w:val="000000" w:themeColor="text1"/>
                <w:sz w:val="24"/>
                <w:lang w:val="en-US"/>
              </w:rPr>
              <w:t>自行</w:t>
            </w:r>
            <w:r>
              <w:rPr>
                <w:rFonts w:hint="eastAsia" w:ascii="Times New Roman" w:hAnsi="Times New Roman" w:cs="Times New Roman"/>
                <w:color w:val="000000" w:themeColor="text1"/>
                <w:sz w:val="24"/>
                <w:szCs w:val="24"/>
                <w:lang w:val="en-US"/>
              </w:rPr>
              <w:t>监测报告</w:t>
            </w:r>
            <w:r>
              <w:rPr>
                <w:rFonts w:hint="eastAsia" w:ascii="Times New Roman" w:hAnsi="Times New Roman"/>
                <w:bCs/>
                <w:color w:val="000000" w:themeColor="text1"/>
                <w:sz w:val="24"/>
                <w:szCs w:val="24"/>
                <w:lang w:val="en-US"/>
              </w:rPr>
              <w:t>，并结合</w:t>
            </w:r>
            <w:r>
              <w:rPr>
                <w:rFonts w:hint="eastAsia" w:ascii="Times New Roman" w:hAnsi="Times New Roman" w:cs="Times New Roman"/>
                <w:color w:val="000000" w:themeColor="text1"/>
                <w:sz w:val="24"/>
                <w:szCs w:val="24"/>
                <w:lang w:val="en-US"/>
              </w:rPr>
              <w:t>原有项目原有的环评批复、验收批复相关文件</w:t>
            </w:r>
            <w:r>
              <w:rPr>
                <w:rFonts w:hint="eastAsia" w:ascii="Times New Roman" w:hAnsi="Times New Roman"/>
                <w:bCs/>
                <w:color w:val="000000" w:themeColor="text1"/>
                <w:sz w:val="24"/>
                <w:szCs w:val="24"/>
                <w:lang w:val="en-US"/>
              </w:rPr>
              <w:t>，</w:t>
            </w:r>
            <w:r>
              <w:rPr>
                <w:rFonts w:hint="eastAsia" w:ascii="Times New Roman" w:hAnsi="Times New Roman" w:cs="Times New Roman"/>
                <w:color w:val="000000" w:themeColor="text1"/>
                <w:sz w:val="24"/>
                <w:szCs w:val="24"/>
                <w:lang w:val="en-US"/>
              </w:rPr>
              <w:t>其具体情况如下：</w:t>
            </w:r>
            <w:r>
              <w:rPr>
                <w:rFonts w:hint="eastAsia" w:ascii="Times New Roman" w:hAnsi="Times New Roman"/>
                <w:color w:val="000000" w:themeColor="text1"/>
                <w:sz w:val="24"/>
                <w:szCs w:val="24"/>
                <w:lang w:val="en-US"/>
              </w:rPr>
              <w:t xml:space="preserve"> </w:t>
            </w:r>
          </w:p>
          <w:p w14:paraId="30229F32">
            <w:pPr>
              <w:keepNext/>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1）废气</w:t>
            </w:r>
          </w:p>
          <w:p w14:paraId="3B4218E8">
            <w:pPr>
              <w:keepNext/>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原有</w:t>
            </w:r>
            <w:r>
              <w:rPr>
                <w:rFonts w:ascii="Times New Roman" w:hAnsi="Times New Roman" w:cs="Times New Roman"/>
                <w:color w:val="000000" w:themeColor="text1"/>
                <w:sz w:val="24"/>
                <w:szCs w:val="24"/>
                <w:lang w:val="en-US"/>
              </w:rPr>
              <w:t>项目废气主要为</w:t>
            </w:r>
            <w:r>
              <w:rPr>
                <w:rFonts w:hint="eastAsia" w:ascii="Times New Roman" w:hAnsi="Times New Roman" w:cs="Times New Roman"/>
                <w:color w:val="000000" w:themeColor="text1"/>
                <w:sz w:val="24"/>
                <w:szCs w:val="24"/>
                <w:lang w:val="en-US"/>
              </w:rPr>
              <w:t>停车场废气、污水处理站</w:t>
            </w:r>
            <w:r>
              <w:rPr>
                <w:rFonts w:ascii="Times New Roman" w:hAnsi="Times New Roman" w:cs="Times New Roman"/>
                <w:color w:val="000000" w:themeColor="text1"/>
                <w:sz w:val="24"/>
                <w:szCs w:val="24"/>
                <w:lang w:val="en-US"/>
              </w:rPr>
              <w:t>恶臭气体</w:t>
            </w:r>
            <w:r>
              <w:rPr>
                <w:rFonts w:hint="eastAsia" w:ascii="Times New Roman" w:hAnsi="Times New Roman" w:cs="Times New Roman"/>
                <w:color w:val="000000" w:themeColor="text1"/>
                <w:sz w:val="24"/>
                <w:szCs w:val="24"/>
                <w:lang w:val="en-US"/>
              </w:rPr>
              <w:t>、发电机燃烧废气、食堂油烟</w:t>
            </w:r>
            <w:r>
              <w:rPr>
                <w:rFonts w:ascii="Times New Roman" w:hAnsi="Times New Roman" w:cs="Times New Roman"/>
                <w:color w:val="000000" w:themeColor="text1"/>
                <w:sz w:val="24"/>
                <w:szCs w:val="24"/>
                <w:lang w:val="en-US"/>
              </w:rPr>
              <w:t>。</w:t>
            </w:r>
          </w:p>
          <w:p w14:paraId="71C24AA7">
            <w:pPr>
              <w:keepNext/>
              <w:spacing w:line="360" w:lineRule="auto"/>
              <w:ind w:firstLine="480" w:firstLineChars="20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原项目</w:t>
            </w:r>
            <w:r>
              <w:rPr>
                <w:rFonts w:hint="eastAsia" w:ascii="Times New Roman" w:hAnsi="Times New Roman" w:cs="Times New Roman"/>
                <w:color w:val="000000" w:themeColor="text1"/>
                <w:sz w:val="24"/>
                <w:szCs w:val="24"/>
                <w:lang w:val="en-US"/>
              </w:rPr>
              <w:t>食堂油烟经油烟净化器处理达到《饮食业油烟排放标准（试行）》（GB18486-2001）中型标准后排放；污水处理站采用地埋式设计，根据永福县人民医院2</w:t>
            </w:r>
            <w:r>
              <w:rPr>
                <w:rFonts w:ascii="Times New Roman" w:hAnsi="Times New Roman" w:cs="Times New Roman"/>
                <w:color w:val="000000" w:themeColor="text1"/>
                <w:sz w:val="24"/>
                <w:szCs w:val="24"/>
                <w:lang w:val="en-US"/>
              </w:rPr>
              <w:t>02</w:t>
            </w:r>
            <w:r>
              <w:rPr>
                <w:rFonts w:hint="eastAsia" w:ascii="Times New Roman" w:hAnsi="Times New Roman" w:cs="Times New Roman"/>
                <w:color w:val="000000" w:themeColor="text1"/>
                <w:sz w:val="24"/>
                <w:szCs w:val="24"/>
                <w:lang w:val="en-US"/>
              </w:rPr>
              <w:t>5</w:t>
            </w:r>
            <w:r>
              <w:rPr>
                <w:rFonts w:ascii="Times New Roman" w:hAnsi="Times New Roman" w:cs="Times New Roman"/>
                <w:color w:val="000000" w:themeColor="text1"/>
                <w:sz w:val="24"/>
                <w:szCs w:val="24"/>
                <w:lang w:val="en-US"/>
              </w:rPr>
              <w:t>年</w:t>
            </w:r>
            <w:r>
              <w:rPr>
                <w:rFonts w:ascii="Times New Roman" w:hAnsi="Times New Roman"/>
                <w:color w:val="000000" w:themeColor="text1"/>
                <w:sz w:val="24"/>
              </w:rPr>
              <w:t>排污许可证</w:t>
            </w:r>
            <w:r>
              <w:rPr>
                <w:rFonts w:hint="eastAsia" w:ascii="Times New Roman" w:hAnsi="Times New Roman"/>
                <w:color w:val="000000" w:themeColor="text1"/>
                <w:sz w:val="24"/>
                <w:lang w:val="en-US"/>
              </w:rPr>
              <w:t>自行</w:t>
            </w:r>
            <w:r>
              <w:rPr>
                <w:rFonts w:hint="eastAsia" w:ascii="Times New Roman" w:hAnsi="Times New Roman" w:cs="Times New Roman"/>
                <w:color w:val="000000" w:themeColor="text1"/>
                <w:sz w:val="24"/>
                <w:szCs w:val="24"/>
                <w:lang w:val="en-US"/>
              </w:rPr>
              <w:t>监测报告，污水处理站各废气污染因子排放满足《医疗机构水污染物排放标准》（GB 18466-2005）表3标准，对周边环境影响较小；备用发电机采用</w:t>
            </w:r>
            <w:r>
              <w:rPr>
                <w:rFonts w:ascii="Times New Roman" w:hAnsi="Times New Roman" w:cs="Times New Roman"/>
                <w:color w:val="000000" w:themeColor="text1"/>
                <w:sz w:val="24"/>
                <w:szCs w:val="24"/>
                <w:lang w:val="en-US"/>
              </w:rPr>
              <w:t>轻质柴油作为燃料</w:t>
            </w:r>
            <w:r>
              <w:rPr>
                <w:rFonts w:hint="eastAsia" w:ascii="Times New Roman" w:hAnsi="Times New Roman" w:cs="Times New Roman"/>
                <w:color w:val="000000" w:themeColor="text1"/>
                <w:sz w:val="24"/>
                <w:szCs w:val="24"/>
                <w:lang w:val="en-US"/>
              </w:rPr>
              <w:t>，市政电网较为稳定，</w:t>
            </w:r>
            <w:r>
              <w:rPr>
                <w:rFonts w:ascii="Times New Roman" w:hAnsi="Times New Roman" w:cs="Times New Roman"/>
                <w:color w:val="000000" w:themeColor="text1"/>
                <w:sz w:val="24"/>
                <w:szCs w:val="24"/>
                <w:lang w:val="en-US"/>
              </w:rPr>
              <w:t>每年的运行时间较短，</w:t>
            </w:r>
            <w:r>
              <w:rPr>
                <w:rFonts w:hint="eastAsia" w:ascii="Times New Roman" w:hAnsi="Times New Roman" w:cs="Times New Roman"/>
                <w:color w:val="000000" w:themeColor="text1"/>
                <w:sz w:val="24"/>
                <w:szCs w:val="24"/>
                <w:lang w:val="en-US"/>
              </w:rPr>
              <w:t>对</w:t>
            </w:r>
            <w:r>
              <w:rPr>
                <w:rFonts w:ascii="Times New Roman" w:hAnsi="Times New Roman" w:cs="Times New Roman"/>
                <w:color w:val="000000" w:themeColor="text1"/>
                <w:sz w:val="24"/>
                <w:szCs w:val="24"/>
                <w:lang w:val="en-US"/>
              </w:rPr>
              <w:t>外环境影响较小</w:t>
            </w:r>
            <w:r>
              <w:rPr>
                <w:rFonts w:hint="eastAsia" w:ascii="Times New Roman" w:hAnsi="Times New Roman" w:cs="Times New Roman"/>
                <w:color w:val="000000" w:themeColor="text1"/>
                <w:sz w:val="24"/>
                <w:szCs w:val="24"/>
                <w:lang w:val="en-US"/>
              </w:rPr>
              <w:t>；</w:t>
            </w:r>
            <w:r>
              <w:rPr>
                <w:rFonts w:hint="eastAsia" w:ascii="Times New Roman" w:hAnsi="Times New Roman" w:cs="Times New Roman"/>
                <w:color w:val="000000" w:themeColor="text1"/>
                <w:sz w:val="24"/>
                <w:szCs w:val="24"/>
                <w:lang w:val="en-US" w:bidi="ar-SA"/>
              </w:rPr>
              <w:t>项目</w:t>
            </w:r>
            <w:r>
              <w:rPr>
                <w:rFonts w:ascii="Times New Roman" w:hAnsi="Times New Roman" w:cs="Times New Roman"/>
                <w:color w:val="000000" w:themeColor="text1"/>
                <w:sz w:val="24"/>
                <w:szCs w:val="24"/>
                <w:lang w:val="en-US" w:bidi="ar-SA"/>
              </w:rPr>
              <w:t>停车</w:t>
            </w:r>
            <w:r>
              <w:rPr>
                <w:rFonts w:hint="eastAsia" w:ascii="Times New Roman" w:hAnsi="Times New Roman" w:cs="Times New Roman"/>
                <w:color w:val="000000" w:themeColor="text1"/>
                <w:sz w:val="24"/>
                <w:szCs w:val="24"/>
                <w:lang w:val="en-US" w:bidi="ar-SA"/>
              </w:rPr>
              <w:t>场</w:t>
            </w:r>
            <w:r>
              <w:rPr>
                <w:rFonts w:ascii="Times New Roman" w:hAnsi="Times New Roman" w:cs="Times New Roman"/>
                <w:color w:val="000000" w:themeColor="text1"/>
                <w:sz w:val="24"/>
                <w:szCs w:val="24"/>
                <w:lang w:val="en-US" w:bidi="ar-SA"/>
              </w:rPr>
              <w:t>为地面停车位，周围有绿化，由于停车位较分散，</w:t>
            </w:r>
            <w:r>
              <w:rPr>
                <w:rFonts w:ascii="Times New Roman" w:hAnsi="Times New Roman" w:cs="Times New Roman"/>
                <w:snapToGrid w:val="0"/>
                <w:color w:val="000000" w:themeColor="text1"/>
                <w:kern w:val="18"/>
                <w:sz w:val="24"/>
                <w:szCs w:val="24"/>
                <w:lang w:val="en-US" w:bidi="ar-SA"/>
              </w:rPr>
              <w:t>启动时间较短，因此废气产生量小</w:t>
            </w:r>
            <w:r>
              <w:rPr>
                <w:rFonts w:hint="eastAsia" w:ascii="Times New Roman" w:hAnsi="Times New Roman" w:cs="Times New Roman"/>
                <w:snapToGrid w:val="0"/>
                <w:color w:val="000000" w:themeColor="text1"/>
                <w:kern w:val="18"/>
                <w:sz w:val="24"/>
                <w:szCs w:val="24"/>
                <w:lang w:val="en-US" w:bidi="ar-SA"/>
              </w:rPr>
              <w:t>，且</w:t>
            </w:r>
            <w:r>
              <w:rPr>
                <w:rFonts w:ascii="Times New Roman" w:hAnsi="Times New Roman" w:cs="Times New Roman"/>
                <w:snapToGrid w:val="0"/>
                <w:color w:val="000000" w:themeColor="text1"/>
                <w:kern w:val="18"/>
                <w:sz w:val="24"/>
                <w:szCs w:val="24"/>
                <w:lang w:val="en-US" w:bidi="ar-SA"/>
              </w:rPr>
              <w:t>在露天空旷条件下</w:t>
            </w:r>
            <w:r>
              <w:rPr>
                <w:rFonts w:ascii="Times New Roman" w:hAnsi="Times New Roman" w:cs="Times New Roman"/>
                <w:color w:val="000000" w:themeColor="text1"/>
                <w:sz w:val="24"/>
                <w:szCs w:val="24"/>
                <w:lang w:val="en-US" w:bidi="ar-SA"/>
              </w:rPr>
              <w:t>大气扩散能力较好，对周围环境影响较小。</w:t>
            </w:r>
          </w:p>
          <w:p w14:paraId="45B6E8B8">
            <w:pPr>
              <w:keepNext/>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2）废水</w:t>
            </w:r>
          </w:p>
          <w:p w14:paraId="150AC505">
            <w:pPr>
              <w:pStyle w:val="19"/>
              <w:spacing w:line="360" w:lineRule="auto"/>
              <w:ind w:left="0" w:firstLine="480" w:firstLineChars="200"/>
              <w:rPr>
                <w:rFonts w:ascii="Times New Roman" w:hAnsi="Times New Roman"/>
                <w:color w:val="000000" w:themeColor="text1"/>
                <w:sz w:val="24"/>
                <w:u w:val="single"/>
              </w:rPr>
            </w:pPr>
            <w:r>
              <w:rPr>
                <w:rFonts w:hint="eastAsia" w:ascii="Times New Roman" w:hAnsi="Times New Roman"/>
                <w:color w:val="000000" w:themeColor="text1"/>
                <w:sz w:val="24"/>
              </w:rPr>
              <w:t>医院综合污水处理站工艺采用“格栅池→调节池→厌氧滤池→接触氧化池→二沉池→消毒池→脱氯池→排放工艺”，医院综合污水处理站设计规模为480m</w:t>
            </w:r>
            <w:r>
              <w:rPr>
                <w:rFonts w:hint="eastAsia" w:ascii="Times New Roman" w:hAnsi="Times New Roman"/>
                <w:color w:val="000000" w:themeColor="text1"/>
                <w:sz w:val="24"/>
                <w:vertAlign w:val="superscript"/>
              </w:rPr>
              <w:t>3</w:t>
            </w:r>
            <w:r>
              <w:rPr>
                <w:rFonts w:hint="eastAsia" w:ascii="Times New Roman" w:hAnsi="Times New Roman"/>
                <w:color w:val="000000" w:themeColor="text1"/>
                <w:sz w:val="24"/>
              </w:rPr>
              <w:t>/d，根据永福县人民医院2025年度排污许可证执行报告及医院提供的2</w:t>
            </w:r>
            <w:r>
              <w:rPr>
                <w:rFonts w:ascii="Times New Roman" w:hAnsi="Times New Roman"/>
                <w:color w:val="000000" w:themeColor="text1"/>
                <w:sz w:val="24"/>
              </w:rPr>
              <w:t>02</w:t>
            </w:r>
            <w:r>
              <w:rPr>
                <w:rFonts w:hint="eastAsia" w:ascii="Times New Roman" w:hAnsi="Times New Roman"/>
                <w:color w:val="000000" w:themeColor="text1"/>
                <w:sz w:val="24"/>
              </w:rPr>
              <w:t>4</w:t>
            </w:r>
            <w:r>
              <w:rPr>
                <w:rFonts w:ascii="Times New Roman" w:hAnsi="Times New Roman"/>
                <w:color w:val="000000" w:themeColor="text1"/>
                <w:sz w:val="24"/>
              </w:rPr>
              <w:t>年</w:t>
            </w:r>
            <w:r>
              <w:rPr>
                <w:rFonts w:hint="eastAsia" w:ascii="Times New Roman" w:hAnsi="Times New Roman"/>
                <w:color w:val="000000" w:themeColor="text1"/>
                <w:sz w:val="24"/>
              </w:rPr>
              <w:t>10月至2</w:t>
            </w:r>
            <w:r>
              <w:rPr>
                <w:rFonts w:ascii="Times New Roman" w:hAnsi="Times New Roman"/>
                <w:color w:val="000000" w:themeColor="text1"/>
                <w:sz w:val="24"/>
              </w:rPr>
              <w:t>02</w:t>
            </w:r>
            <w:r>
              <w:rPr>
                <w:rFonts w:hint="eastAsia" w:ascii="Times New Roman" w:hAnsi="Times New Roman"/>
                <w:color w:val="000000" w:themeColor="text1"/>
                <w:sz w:val="24"/>
              </w:rPr>
              <w:t>5</w:t>
            </w:r>
            <w:r>
              <w:rPr>
                <w:rFonts w:ascii="Times New Roman" w:hAnsi="Times New Roman"/>
                <w:color w:val="000000" w:themeColor="text1"/>
                <w:sz w:val="24"/>
              </w:rPr>
              <w:t>年</w:t>
            </w:r>
            <w:r>
              <w:rPr>
                <w:rFonts w:hint="eastAsia" w:ascii="Times New Roman" w:hAnsi="Times New Roman"/>
                <w:color w:val="000000" w:themeColor="text1"/>
                <w:sz w:val="24"/>
              </w:rPr>
              <w:t>10月的自动流量监测数据得知，综合污水处理站目前日最大运营负荷为280m</w:t>
            </w:r>
            <w:r>
              <w:rPr>
                <w:rFonts w:hint="eastAsia" w:ascii="Times New Roman" w:hAnsi="Times New Roman"/>
                <w:color w:val="000000" w:themeColor="text1"/>
                <w:sz w:val="24"/>
                <w:vertAlign w:val="superscript"/>
              </w:rPr>
              <w:t>3</w:t>
            </w:r>
            <w:r>
              <w:rPr>
                <w:rFonts w:hint="eastAsia" w:ascii="Times New Roman" w:hAnsi="Times New Roman"/>
                <w:color w:val="000000" w:themeColor="text1"/>
                <w:sz w:val="24"/>
              </w:rPr>
              <w:t>/d，本项目已建成运营，综合污水处理站</w:t>
            </w:r>
            <w:r>
              <w:rPr>
                <w:rFonts w:hint="eastAsia" w:ascii="Times New Roman" w:hAnsi="Times New Roman"/>
                <w:color w:val="000000" w:themeColor="text1"/>
                <w:sz w:val="24"/>
                <w:lang w:bidi="zh-CN"/>
              </w:rPr>
              <w:t>污水量包含原有项目、本项目污水量，经上文“6、公用工程”计算得知，本项目进入</w:t>
            </w:r>
            <w:r>
              <w:rPr>
                <w:rFonts w:hint="eastAsia" w:ascii="Times New Roman" w:hAnsi="Times New Roman"/>
                <w:color w:val="000000" w:themeColor="text1"/>
                <w:sz w:val="24"/>
              </w:rPr>
              <w:t>综合污水处理站</w:t>
            </w:r>
            <w:r>
              <w:rPr>
                <w:rFonts w:hint="eastAsia" w:ascii="Times New Roman" w:hAnsi="Times New Roman"/>
                <w:color w:val="000000" w:themeColor="text1"/>
                <w:sz w:val="24"/>
                <w:lang w:bidi="zh-CN"/>
              </w:rPr>
              <w:t>废水（除食堂废水）排放量为109.58</w:t>
            </w:r>
            <w:r>
              <w:rPr>
                <w:rFonts w:ascii="Times New Roman" w:hAnsi="Times New Roman"/>
                <w:color w:val="000000" w:themeColor="text1"/>
                <w:sz w:val="24"/>
              </w:rPr>
              <w:t>m</w:t>
            </w:r>
            <w:r>
              <w:rPr>
                <w:rFonts w:ascii="Times New Roman" w:hAnsi="Times New Roman"/>
                <w:color w:val="000000" w:themeColor="text1"/>
                <w:sz w:val="24"/>
                <w:vertAlign w:val="superscript"/>
              </w:rPr>
              <w:t>3</w:t>
            </w:r>
            <w:r>
              <w:rPr>
                <w:rFonts w:ascii="Times New Roman" w:hAnsi="Times New Roman"/>
                <w:color w:val="000000" w:themeColor="text1"/>
                <w:sz w:val="24"/>
              </w:rPr>
              <w:t>/d</w:t>
            </w:r>
            <w:r>
              <w:rPr>
                <w:rFonts w:hint="eastAsia" w:ascii="Times New Roman" w:hAnsi="Times New Roman"/>
                <w:color w:val="000000" w:themeColor="text1"/>
                <w:sz w:val="24"/>
              </w:rPr>
              <w:t>，故原有项目进入综合污水处理站污水排放量为170.42</w:t>
            </w:r>
            <w:r>
              <w:rPr>
                <w:rFonts w:ascii="Times New Roman" w:hAnsi="Times New Roman"/>
                <w:color w:val="000000" w:themeColor="text1"/>
                <w:sz w:val="24"/>
              </w:rPr>
              <w:t>m</w:t>
            </w:r>
            <w:r>
              <w:rPr>
                <w:rFonts w:ascii="Times New Roman" w:hAnsi="Times New Roman"/>
                <w:color w:val="000000" w:themeColor="text1"/>
                <w:sz w:val="24"/>
                <w:vertAlign w:val="superscript"/>
              </w:rPr>
              <w:t>3</w:t>
            </w:r>
            <w:r>
              <w:rPr>
                <w:rFonts w:ascii="Times New Roman" w:hAnsi="Times New Roman"/>
                <w:color w:val="000000" w:themeColor="text1"/>
                <w:sz w:val="24"/>
              </w:rPr>
              <w:t>/d</w:t>
            </w:r>
            <w:r>
              <w:rPr>
                <w:rFonts w:hint="eastAsia" w:ascii="Times New Roman" w:hAnsi="Times New Roman"/>
                <w:color w:val="000000" w:themeColor="text1"/>
                <w:sz w:val="24"/>
              </w:rPr>
              <w:t>，</w:t>
            </w:r>
            <w:r>
              <w:rPr>
                <w:rFonts w:hint="eastAsia" w:ascii="Times New Roman" w:hAnsi="Times New Roman"/>
                <w:color w:val="000000" w:themeColor="text1"/>
                <w:sz w:val="24"/>
                <w:u w:val="single"/>
              </w:rPr>
              <w:t>根据永福县人民医院2</w:t>
            </w:r>
            <w:r>
              <w:rPr>
                <w:rFonts w:ascii="Times New Roman" w:hAnsi="Times New Roman"/>
                <w:color w:val="000000" w:themeColor="text1"/>
                <w:sz w:val="24"/>
                <w:u w:val="single"/>
              </w:rPr>
              <w:t>02</w:t>
            </w:r>
            <w:r>
              <w:rPr>
                <w:rFonts w:hint="eastAsia" w:ascii="Times New Roman" w:hAnsi="Times New Roman"/>
                <w:color w:val="000000" w:themeColor="text1"/>
                <w:sz w:val="24"/>
                <w:u w:val="single"/>
              </w:rPr>
              <w:t>5</w:t>
            </w:r>
            <w:r>
              <w:rPr>
                <w:rFonts w:ascii="Times New Roman" w:hAnsi="Times New Roman"/>
                <w:color w:val="000000" w:themeColor="text1"/>
                <w:sz w:val="24"/>
                <w:u w:val="single"/>
              </w:rPr>
              <w:t>年排污许可证</w:t>
            </w:r>
            <w:r>
              <w:rPr>
                <w:rFonts w:hint="eastAsia" w:ascii="Times New Roman" w:hAnsi="Times New Roman"/>
                <w:color w:val="000000" w:themeColor="text1"/>
                <w:sz w:val="24"/>
                <w:u w:val="single"/>
              </w:rPr>
              <w:t>自行监测报告，具体见下表：</w:t>
            </w:r>
          </w:p>
          <w:p w14:paraId="5935130D">
            <w:pPr>
              <w:pStyle w:val="19"/>
              <w:spacing w:line="360" w:lineRule="auto"/>
              <w:ind w:left="0" w:firstLine="482" w:firstLineChars="200"/>
              <w:jc w:val="center"/>
              <w:rPr>
                <w:rFonts w:ascii="Times New Roman" w:hAnsi="Times New Roman"/>
                <w:b/>
                <w:bCs/>
                <w:color w:val="000000" w:themeColor="text1"/>
                <w:sz w:val="24"/>
                <w:u w:val="single"/>
              </w:rPr>
            </w:pPr>
            <w:r>
              <w:rPr>
                <w:rFonts w:hint="eastAsia" w:ascii="Times New Roman" w:hAnsi="Times New Roman"/>
                <w:b/>
                <w:bCs/>
                <w:color w:val="000000" w:themeColor="text1"/>
                <w:sz w:val="24"/>
                <w:u w:val="single"/>
              </w:rPr>
              <w:t>表2-5综合污水站出水监测数据一览表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63"/>
              <w:gridCol w:w="1093"/>
              <w:gridCol w:w="1106"/>
              <w:gridCol w:w="1365"/>
              <w:gridCol w:w="1365"/>
              <w:gridCol w:w="1367"/>
            </w:tblGrid>
            <w:tr w14:paraId="1691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15" w:type="dxa"/>
                  <w:vAlign w:val="center"/>
                </w:tcPr>
                <w:p w14:paraId="6428C970">
                  <w:pPr>
                    <w:widowControl/>
                    <w:autoSpaceDE/>
                    <w:autoSpaceDN/>
                    <w:jc w:val="center"/>
                    <w:rPr>
                      <w:rFonts w:ascii="Times New Roman" w:hAnsi="Times New Roman" w:cs="Times New Roman" w:eastAsiaTheme="minorEastAsia"/>
                      <w:b/>
                      <w:bCs/>
                      <w:color w:val="000000" w:themeColor="text1"/>
                      <w:kern w:val="2"/>
                      <w:sz w:val="21"/>
                      <w:szCs w:val="21"/>
                      <w:u w:val="single"/>
                      <w:lang w:val="en-US" w:bidi="ar-SA"/>
                    </w:rPr>
                  </w:pPr>
                  <w:r>
                    <w:rPr>
                      <w:rFonts w:ascii="Times New Roman" w:hAnsi="Times New Roman" w:cs="Times New Roman" w:eastAsiaTheme="minorEastAsia"/>
                      <w:b/>
                      <w:bCs/>
                      <w:color w:val="000000" w:themeColor="text1"/>
                      <w:kern w:val="2"/>
                      <w:sz w:val="21"/>
                      <w:szCs w:val="21"/>
                      <w:u w:val="single"/>
                      <w:lang w:val="en-US" w:bidi="ar-SA"/>
                    </w:rPr>
                    <w:t>序号</w:t>
                  </w:r>
                </w:p>
              </w:tc>
              <w:tc>
                <w:tcPr>
                  <w:tcW w:w="1063" w:type="dxa"/>
                  <w:vAlign w:val="center"/>
                </w:tcPr>
                <w:p w14:paraId="0BC4C73A">
                  <w:pPr>
                    <w:widowControl/>
                    <w:autoSpaceDE/>
                    <w:autoSpaceDN/>
                    <w:jc w:val="center"/>
                    <w:rPr>
                      <w:rFonts w:ascii="Times New Roman" w:hAnsi="Times New Roman" w:cs="Times New Roman" w:eastAsiaTheme="minorEastAsia"/>
                      <w:b/>
                      <w:bCs/>
                      <w:color w:val="000000" w:themeColor="text1"/>
                      <w:kern w:val="2"/>
                      <w:sz w:val="21"/>
                      <w:szCs w:val="21"/>
                      <w:u w:val="single"/>
                      <w:lang w:val="en-US" w:bidi="ar-SA"/>
                    </w:rPr>
                  </w:pPr>
                  <w:r>
                    <w:rPr>
                      <w:rFonts w:ascii="Times New Roman" w:hAnsi="Times New Roman" w:cs="Times New Roman" w:eastAsiaTheme="minorEastAsia"/>
                      <w:b/>
                      <w:bCs/>
                      <w:color w:val="000000" w:themeColor="text1"/>
                      <w:kern w:val="2"/>
                      <w:sz w:val="21"/>
                      <w:szCs w:val="21"/>
                      <w:u w:val="single"/>
                      <w:lang w:val="en-US" w:bidi="ar-SA"/>
                    </w:rPr>
                    <w:t>监测项目</w:t>
                  </w:r>
                </w:p>
              </w:tc>
              <w:tc>
                <w:tcPr>
                  <w:tcW w:w="1093" w:type="dxa"/>
                  <w:vAlign w:val="center"/>
                </w:tcPr>
                <w:p w14:paraId="171BA103">
                  <w:pPr>
                    <w:widowControl/>
                    <w:autoSpaceDE/>
                    <w:autoSpaceDN/>
                    <w:jc w:val="center"/>
                    <w:rPr>
                      <w:rFonts w:ascii="Times New Roman" w:hAnsi="Times New Roman" w:cs="Times New Roman" w:eastAsiaTheme="minorEastAsia"/>
                      <w:b/>
                      <w:bCs/>
                      <w:color w:val="000000" w:themeColor="text1"/>
                      <w:kern w:val="2"/>
                      <w:sz w:val="21"/>
                      <w:szCs w:val="21"/>
                      <w:u w:val="single"/>
                      <w:lang w:val="en-US" w:bidi="ar-SA"/>
                    </w:rPr>
                  </w:pPr>
                  <w:r>
                    <w:rPr>
                      <w:rFonts w:ascii="Times New Roman" w:hAnsi="Times New Roman" w:cs="Times New Roman" w:eastAsiaTheme="minorEastAsia"/>
                      <w:b/>
                      <w:bCs/>
                      <w:color w:val="000000" w:themeColor="text1"/>
                      <w:kern w:val="2"/>
                      <w:sz w:val="21"/>
                      <w:szCs w:val="21"/>
                      <w:u w:val="single"/>
                      <w:lang w:val="en-US" w:bidi="ar-SA"/>
                    </w:rPr>
                    <w:t>监测日期</w:t>
                  </w:r>
                </w:p>
              </w:tc>
              <w:tc>
                <w:tcPr>
                  <w:tcW w:w="1106" w:type="dxa"/>
                  <w:vAlign w:val="center"/>
                </w:tcPr>
                <w:p w14:paraId="19FCB8A0">
                  <w:pPr>
                    <w:widowControl/>
                    <w:autoSpaceDE/>
                    <w:autoSpaceDN/>
                    <w:jc w:val="center"/>
                    <w:rPr>
                      <w:rFonts w:ascii="Times New Roman" w:hAnsi="Times New Roman" w:cs="Times New Roman" w:eastAsiaTheme="minorEastAsia"/>
                      <w:b/>
                      <w:bCs/>
                      <w:color w:val="000000" w:themeColor="text1"/>
                      <w:kern w:val="2"/>
                      <w:sz w:val="21"/>
                      <w:szCs w:val="21"/>
                      <w:u w:val="single"/>
                      <w:lang w:val="en-US" w:bidi="ar-SA"/>
                    </w:rPr>
                  </w:pPr>
                  <w:r>
                    <w:rPr>
                      <w:rFonts w:ascii="Times New Roman" w:hAnsi="Times New Roman" w:cs="Times New Roman" w:eastAsiaTheme="minorEastAsia"/>
                      <w:b/>
                      <w:bCs/>
                      <w:color w:val="000000" w:themeColor="text1"/>
                      <w:kern w:val="2"/>
                      <w:sz w:val="21"/>
                      <w:szCs w:val="21"/>
                      <w:u w:val="single"/>
                      <w:lang w:val="en-US" w:bidi="ar-SA"/>
                    </w:rPr>
                    <w:t>监测频次</w:t>
                  </w:r>
                </w:p>
              </w:tc>
              <w:tc>
                <w:tcPr>
                  <w:tcW w:w="1365" w:type="dxa"/>
                  <w:vAlign w:val="center"/>
                </w:tcPr>
                <w:p w14:paraId="0F437F03">
                  <w:pPr>
                    <w:widowControl/>
                    <w:autoSpaceDE/>
                    <w:autoSpaceDN/>
                    <w:jc w:val="center"/>
                    <w:rPr>
                      <w:rFonts w:ascii="Times New Roman" w:hAnsi="Times New Roman" w:cs="Times New Roman" w:eastAsiaTheme="minorEastAsia"/>
                      <w:b/>
                      <w:bCs/>
                      <w:color w:val="000000" w:themeColor="text1"/>
                      <w:kern w:val="2"/>
                      <w:sz w:val="21"/>
                      <w:szCs w:val="21"/>
                      <w:u w:val="single"/>
                      <w:lang w:val="en-US" w:bidi="ar-SA"/>
                    </w:rPr>
                  </w:pPr>
                  <w:r>
                    <w:rPr>
                      <w:rFonts w:ascii="Times New Roman" w:hAnsi="Times New Roman" w:cs="Times New Roman" w:eastAsiaTheme="minorEastAsia"/>
                      <w:b/>
                      <w:bCs/>
                      <w:color w:val="000000" w:themeColor="text1"/>
                      <w:kern w:val="2"/>
                      <w:sz w:val="21"/>
                      <w:szCs w:val="21"/>
                      <w:u w:val="single"/>
                      <w:lang w:val="en-US" w:bidi="ar-SA"/>
                    </w:rPr>
                    <w:t>监测结果（mg/L）</w:t>
                  </w:r>
                </w:p>
              </w:tc>
              <w:tc>
                <w:tcPr>
                  <w:tcW w:w="1365" w:type="dxa"/>
                  <w:vAlign w:val="center"/>
                </w:tcPr>
                <w:p w14:paraId="2B6C4200">
                  <w:pPr>
                    <w:widowControl/>
                    <w:autoSpaceDE/>
                    <w:autoSpaceDN/>
                    <w:jc w:val="center"/>
                    <w:rPr>
                      <w:rFonts w:ascii="Times New Roman" w:hAnsi="Times New Roman" w:cs="Times New Roman" w:eastAsiaTheme="minorEastAsia"/>
                      <w:b/>
                      <w:bCs/>
                      <w:color w:val="000000" w:themeColor="text1"/>
                      <w:kern w:val="2"/>
                      <w:sz w:val="21"/>
                      <w:szCs w:val="21"/>
                      <w:u w:val="single"/>
                      <w:lang w:val="en-US" w:bidi="ar-SA"/>
                    </w:rPr>
                  </w:pPr>
                  <w:r>
                    <w:rPr>
                      <w:rFonts w:ascii="Times New Roman" w:hAnsi="Times New Roman" w:cs="Times New Roman" w:eastAsiaTheme="minorEastAsia"/>
                      <w:b/>
                      <w:bCs/>
                      <w:color w:val="000000" w:themeColor="text1"/>
                      <w:kern w:val="2"/>
                      <w:sz w:val="21"/>
                      <w:szCs w:val="21"/>
                      <w:u w:val="single"/>
                      <w:lang w:val="en-US" w:bidi="ar-SA"/>
                    </w:rPr>
                    <w:t>均值或范围（mg/L）</w:t>
                  </w:r>
                </w:p>
              </w:tc>
              <w:tc>
                <w:tcPr>
                  <w:tcW w:w="1367" w:type="dxa"/>
                  <w:vAlign w:val="center"/>
                </w:tcPr>
                <w:p w14:paraId="732CBE68">
                  <w:pPr>
                    <w:widowControl/>
                    <w:autoSpaceDE/>
                    <w:autoSpaceDN/>
                    <w:jc w:val="center"/>
                    <w:rPr>
                      <w:rFonts w:ascii="Times New Roman" w:hAnsi="Times New Roman" w:cs="Times New Roman" w:eastAsiaTheme="minorEastAsia"/>
                      <w:b/>
                      <w:bCs/>
                      <w:color w:val="000000" w:themeColor="text1"/>
                      <w:kern w:val="2"/>
                      <w:sz w:val="21"/>
                      <w:szCs w:val="21"/>
                      <w:u w:val="single"/>
                      <w:lang w:val="en-US" w:bidi="ar-SA"/>
                    </w:rPr>
                  </w:pPr>
                  <w:r>
                    <w:rPr>
                      <w:rFonts w:ascii="Times New Roman" w:hAnsi="Times New Roman" w:cs="Times New Roman" w:eastAsiaTheme="minorEastAsia"/>
                      <w:b/>
                      <w:bCs/>
                      <w:color w:val="000000" w:themeColor="text1"/>
                      <w:kern w:val="2"/>
                      <w:sz w:val="21"/>
                      <w:szCs w:val="21"/>
                      <w:u w:val="single"/>
                      <w:lang w:val="en-US" w:bidi="ar-SA"/>
                    </w:rPr>
                    <w:t>标准值（mg/L）</w:t>
                  </w:r>
                </w:p>
              </w:tc>
            </w:tr>
            <w:tr w14:paraId="53B7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restart"/>
                  <w:vAlign w:val="center"/>
                </w:tcPr>
                <w:p w14:paraId="6A2B4EF3">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1</w:t>
                  </w:r>
                </w:p>
              </w:tc>
              <w:tc>
                <w:tcPr>
                  <w:tcW w:w="1063" w:type="dxa"/>
                  <w:vMerge w:val="restart"/>
                  <w:vAlign w:val="center"/>
                </w:tcPr>
                <w:p w14:paraId="1A80BCD0">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pH值</w:t>
                  </w:r>
                  <w:r>
                    <w:rPr>
                      <w:rFonts w:hint="eastAsia" w:ascii="Times New Roman" w:hAnsi="Times New Roman" w:cs="Times New Roman" w:eastAsiaTheme="minorEastAsia"/>
                      <w:color w:val="000000" w:themeColor="text1"/>
                      <w:kern w:val="2"/>
                      <w:sz w:val="21"/>
                      <w:szCs w:val="21"/>
                      <w:u w:val="single"/>
                      <w:lang w:val="en-US" w:bidi="ar-SA"/>
                    </w:rPr>
                    <w:t>（无量纲）</w:t>
                  </w:r>
                </w:p>
              </w:tc>
              <w:tc>
                <w:tcPr>
                  <w:tcW w:w="1093" w:type="dxa"/>
                  <w:vMerge w:val="restart"/>
                  <w:vAlign w:val="center"/>
                </w:tcPr>
                <w:p w14:paraId="57D826B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2025.6.20</w:t>
                  </w:r>
                </w:p>
              </w:tc>
              <w:tc>
                <w:tcPr>
                  <w:tcW w:w="1106" w:type="dxa"/>
                  <w:vAlign w:val="center"/>
                </w:tcPr>
                <w:p w14:paraId="1A5137C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第一次</w:t>
                  </w:r>
                </w:p>
              </w:tc>
              <w:tc>
                <w:tcPr>
                  <w:tcW w:w="1365" w:type="dxa"/>
                  <w:vAlign w:val="center"/>
                </w:tcPr>
                <w:p w14:paraId="38D6BC11">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7.2（25.6℃）</w:t>
                  </w:r>
                </w:p>
              </w:tc>
              <w:tc>
                <w:tcPr>
                  <w:tcW w:w="1365" w:type="dxa"/>
                  <w:vMerge w:val="restart"/>
                  <w:vAlign w:val="center"/>
                </w:tcPr>
                <w:p w14:paraId="20F9B70A">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7.2~7.3</w:t>
                  </w:r>
                </w:p>
              </w:tc>
              <w:tc>
                <w:tcPr>
                  <w:tcW w:w="1367" w:type="dxa"/>
                  <w:vMerge w:val="restart"/>
                  <w:vAlign w:val="center"/>
                </w:tcPr>
                <w:p w14:paraId="26EFAC76">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lang w:val="en-US" w:bidi="ar-SA"/>
                    </w:rPr>
                    <w:t>6-9</w:t>
                  </w:r>
                </w:p>
              </w:tc>
            </w:tr>
            <w:tr w14:paraId="37D7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5465D343">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61669DA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38BC357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275AF4FD">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第二次</w:t>
                  </w:r>
                </w:p>
              </w:tc>
              <w:tc>
                <w:tcPr>
                  <w:tcW w:w="1365" w:type="dxa"/>
                  <w:vAlign w:val="center"/>
                </w:tcPr>
                <w:p w14:paraId="67754594">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7.3（25.8℃）</w:t>
                  </w:r>
                </w:p>
              </w:tc>
              <w:tc>
                <w:tcPr>
                  <w:tcW w:w="1365" w:type="dxa"/>
                  <w:vMerge w:val="continue"/>
                  <w:vAlign w:val="center"/>
                </w:tcPr>
                <w:p w14:paraId="18FB3D66">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796F247A">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7AC8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5D6CA22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2B96D46B">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545FE390">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7DA9EB38">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第三次</w:t>
                  </w:r>
                </w:p>
              </w:tc>
              <w:tc>
                <w:tcPr>
                  <w:tcW w:w="1365" w:type="dxa"/>
                  <w:vAlign w:val="center"/>
                </w:tcPr>
                <w:p w14:paraId="7AB1B05C">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7.2（25.6℃）</w:t>
                  </w:r>
                </w:p>
              </w:tc>
              <w:tc>
                <w:tcPr>
                  <w:tcW w:w="1365" w:type="dxa"/>
                  <w:vMerge w:val="continue"/>
                  <w:vAlign w:val="center"/>
                </w:tcPr>
                <w:p w14:paraId="0DC7C4B8">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43D26DBB">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40C7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restart"/>
                  <w:vAlign w:val="center"/>
                </w:tcPr>
                <w:p w14:paraId="795DA39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2</w:t>
                  </w:r>
                </w:p>
              </w:tc>
              <w:tc>
                <w:tcPr>
                  <w:tcW w:w="1063" w:type="dxa"/>
                  <w:vMerge w:val="restart"/>
                  <w:vAlign w:val="center"/>
                </w:tcPr>
                <w:p w14:paraId="185B0D37">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悬浮物</w:t>
                  </w:r>
                </w:p>
              </w:tc>
              <w:tc>
                <w:tcPr>
                  <w:tcW w:w="1093" w:type="dxa"/>
                  <w:vMerge w:val="restart"/>
                  <w:vAlign w:val="center"/>
                </w:tcPr>
                <w:p w14:paraId="7816B398">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2025.6.20</w:t>
                  </w:r>
                </w:p>
              </w:tc>
              <w:tc>
                <w:tcPr>
                  <w:tcW w:w="1106" w:type="dxa"/>
                  <w:vAlign w:val="center"/>
                </w:tcPr>
                <w:p w14:paraId="19F4CC67">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第一次</w:t>
                  </w:r>
                </w:p>
              </w:tc>
              <w:tc>
                <w:tcPr>
                  <w:tcW w:w="1365" w:type="dxa"/>
                  <w:vAlign w:val="center"/>
                </w:tcPr>
                <w:p w14:paraId="5F523A65">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17</w:t>
                  </w:r>
                </w:p>
              </w:tc>
              <w:tc>
                <w:tcPr>
                  <w:tcW w:w="1365" w:type="dxa"/>
                  <w:vMerge w:val="restart"/>
                  <w:vAlign w:val="center"/>
                </w:tcPr>
                <w:p w14:paraId="7097309F">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16</w:t>
                  </w:r>
                </w:p>
              </w:tc>
              <w:tc>
                <w:tcPr>
                  <w:tcW w:w="1367" w:type="dxa"/>
                  <w:vMerge w:val="restart"/>
                  <w:vAlign w:val="center"/>
                </w:tcPr>
                <w:p w14:paraId="73312E3B">
                  <w:pPr>
                    <w:adjustRightInd w:val="0"/>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lang w:val="en-US" w:bidi="ar-SA"/>
                    </w:rPr>
                    <w:t>60</w:t>
                  </w:r>
                </w:p>
              </w:tc>
            </w:tr>
            <w:tr w14:paraId="55D3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43383076">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5DA7F662">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0FA3ED70">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1ED8A16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第二次</w:t>
                  </w:r>
                </w:p>
              </w:tc>
              <w:tc>
                <w:tcPr>
                  <w:tcW w:w="1365" w:type="dxa"/>
                  <w:vAlign w:val="center"/>
                </w:tcPr>
                <w:p w14:paraId="77B3C8D9">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16</w:t>
                  </w:r>
                </w:p>
              </w:tc>
              <w:tc>
                <w:tcPr>
                  <w:tcW w:w="1365" w:type="dxa"/>
                  <w:vMerge w:val="continue"/>
                  <w:vAlign w:val="center"/>
                </w:tcPr>
                <w:p w14:paraId="472D1907">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28260679">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4055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1F117EA4">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7D341285">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51B77A5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06DC54F7">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第三次</w:t>
                  </w:r>
                </w:p>
              </w:tc>
              <w:tc>
                <w:tcPr>
                  <w:tcW w:w="1365" w:type="dxa"/>
                  <w:vAlign w:val="center"/>
                </w:tcPr>
                <w:p w14:paraId="4DB42B8C">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16</w:t>
                  </w:r>
                </w:p>
              </w:tc>
              <w:tc>
                <w:tcPr>
                  <w:tcW w:w="1365" w:type="dxa"/>
                  <w:vMerge w:val="continue"/>
                  <w:vAlign w:val="center"/>
                </w:tcPr>
                <w:p w14:paraId="13F76CF5">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161BB757">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4F32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restart"/>
                  <w:vAlign w:val="center"/>
                </w:tcPr>
                <w:p w14:paraId="241B23D9">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3</w:t>
                  </w:r>
                </w:p>
              </w:tc>
              <w:tc>
                <w:tcPr>
                  <w:tcW w:w="1063" w:type="dxa"/>
                  <w:vMerge w:val="restart"/>
                  <w:vAlign w:val="center"/>
                </w:tcPr>
                <w:p w14:paraId="403B11A0">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氨氮</w:t>
                  </w:r>
                </w:p>
              </w:tc>
              <w:tc>
                <w:tcPr>
                  <w:tcW w:w="1093" w:type="dxa"/>
                  <w:vMerge w:val="restart"/>
                  <w:vAlign w:val="center"/>
                </w:tcPr>
                <w:p w14:paraId="35200024">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2025.6.20</w:t>
                  </w:r>
                </w:p>
              </w:tc>
              <w:tc>
                <w:tcPr>
                  <w:tcW w:w="1106" w:type="dxa"/>
                  <w:vAlign w:val="center"/>
                </w:tcPr>
                <w:p w14:paraId="27B236D4">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第一次</w:t>
                  </w:r>
                </w:p>
              </w:tc>
              <w:tc>
                <w:tcPr>
                  <w:tcW w:w="1365" w:type="dxa"/>
                  <w:vAlign w:val="center"/>
                </w:tcPr>
                <w:p w14:paraId="7AEE1D02">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13.7</w:t>
                  </w:r>
                </w:p>
              </w:tc>
              <w:tc>
                <w:tcPr>
                  <w:tcW w:w="1365" w:type="dxa"/>
                  <w:vMerge w:val="restart"/>
                  <w:vAlign w:val="center"/>
                </w:tcPr>
                <w:p w14:paraId="1BDBC632">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13.8</w:t>
                  </w:r>
                </w:p>
              </w:tc>
              <w:tc>
                <w:tcPr>
                  <w:tcW w:w="1367" w:type="dxa"/>
                  <w:vMerge w:val="restart"/>
                  <w:vAlign w:val="center"/>
                </w:tcPr>
                <w:p w14:paraId="594F385D">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lang w:val="en-US" w:bidi="ar-SA"/>
                    </w:rPr>
                    <w:t>-</w:t>
                  </w:r>
                </w:p>
              </w:tc>
            </w:tr>
            <w:tr w14:paraId="18F1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5570F88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69FC5CB7">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117DBF5C">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2022EEF6">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第二次</w:t>
                  </w:r>
                </w:p>
              </w:tc>
              <w:tc>
                <w:tcPr>
                  <w:tcW w:w="1365" w:type="dxa"/>
                  <w:vAlign w:val="center"/>
                </w:tcPr>
                <w:p w14:paraId="7736123B">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14.7</w:t>
                  </w:r>
                </w:p>
              </w:tc>
              <w:tc>
                <w:tcPr>
                  <w:tcW w:w="1365" w:type="dxa"/>
                  <w:vMerge w:val="continue"/>
                  <w:vAlign w:val="center"/>
                </w:tcPr>
                <w:p w14:paraId="70664A7B">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1F444400">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1359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034060C9">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57CDAF0C">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08C149C3">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7A37859E">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第三次</w:t>
                  </w:r>
                </w:p>
              </w:tc>
              <w:tc>
                <w:tcPr>
                  <w:tcW w:w="1365" w:type="dxa"/>
                  <w:vAlign w:val="center"/>
                </w:tcPr>
                <w:p w14:paraId="3F0DFF0D">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13.0</w:t>
                  </w:r>
                </w:p>
              </w:tc>
              <w:tc>
                <w:tcPr>
                  <w:tcW w:w="1365" w:type="dxa"/>
                  <w:vMerge w:val="continue"/>
                  <w:vAlign w:val="center"/>
                </w:tcPr>
                <w:p w14:paraId="16FE6AEB">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3958810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465B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restart"/>
                  <w:vAlign w:val="center"/>
                </w:tcPr>
                <w:p w14:paraId="77827CD7">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4</w:t>
                  </w:r>
                </w:p>
              </w:tc>
              <w:tc>
                <w:tcPr>
                  <w:tcW w:w="1063" w:type="dxa"/>
                  <w:vMerge w:val="restart"/>
                  <w:vAlign w:val="center"/>
                </w:tcPr>
                <w:p w14:paraId="63FC2A61">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化学需氧量</w:t>
                  </w:r>
                </w:p>
              </w:tc>
              <w:tc>
                <w:tcPr>
                  <w:tcW w:w="1093" w:type="dxa"/>
                  <w:vMerge w:val="restart"/>
                  <w:vAlign w:val="center"/>
                </w:tcPr>
                <w:p w14:paraId="5BF2C93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2025.6.20</w:t>
                  </w:r>
                </w:p>
              </w:tc>
              <w:tc>
                <w:tcPr>
                  <w:tcW w:w="1106" w:type="dxa"/>
                  <w:vAlign w:val="center"/>
                </w:tcPr>
                <w:p w14:paraId="0C1D439B">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第一次</w:t>
                  </w:r>
                </w:p>
              </w:tc>
              <w:tc>
                <w:tcPr>
                  <w:tcW w:w="1365" w:type="dxa"/>
                  <w:vAlign w:val="center"/>
                </w:tcPr>
                <w:p w14:paraId="59B74CE0">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46</w:t>
                  </w:r>
                </w:p>
              </w:tc>
              <w:tc>
                <w:tcPr>
                  <w:tcW w:w="1365" w:type="dxa"/>
                  <w:vMerge w:val="restart"/>
                  <w:vAlign w:val="center"/>
                </w:tcPr>
                <w:p w14:paraId="680D16B9">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42</w:t>
                  </w:r>
                </w:p>
              </w:tc>
              <w:tc>
                <w:tcPr>
                  <w:tcW w:w="1367" w:type="dxa"/>
                  <w:vMerge w:val="restart"/>
                  <w:vAlign w:val="center"/>
                </w:tcPr>
                <w:p w14:paraId="592D9FE1">
                  <w:pPr>
                    <w:adjustRightInd w:val="0"/>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lang w:val="en-US" w:bidi="ar-SA"/>
                    </w:rPr>
                    <w:t>250</w:t>
                  </w:r>
                </w:p>
              </w:tc>
            </w:tr>
            <w:tr w14:paraId="3401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3D1B31A6">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574C78FB">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2BCA208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044FCC98">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第二次</w:t>
                  </w:r>
                </w:p>
              </w:tc>
              <w:tc>
                <w:tcPr>
                  <w:tcW w:w="1365" w:type="dxa"/>
                  <w:vAlign w:val="center"/>
                </w:tcPr>
                <w:p w14:paraId="04689101">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37</w:t>
                  </w:r>
                </w:p>
              </w:tc>
              <w:tc>
                <w:tcPr>
                  <w:tcW w:w="1365" w:type="dxa"/>
                  <w:vMerge w:val="continue"/>
                  <w:vAlign w:val="center"/>
                </w:tcPr>
                <w:p w14:paraId="3A8F862A">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2F1AD8F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7E59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35D903FA">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617A52E7">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2CCB53E4">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0F5E21DB">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第三次</w:t>
                  </w:r>
                </w:p>
              </w:tc>
              <w:tc>
                <w:tcPr>
                  <w:tcW w:w="1365" w:type="dxa"/>
                  <w:vAlign w:val="center"/>
                </w:tcPr>
                <w:p w14:paraId="294581BD">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42</w:t>
                  </w:r>
                </w:p>
              </w:tc>
              <w:tc>
                <w:tcPr>
                  <w:tcW w:w="1365" w:type="dxa"/>
                  <w:vMerge w:val="continue"/>
                  <w:vAlign w:val="center"/>
                </w:tcPr>
                <w:p w14:paraId="6A8EE575">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0705A362">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5239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restart"/>
                  <w:vAlign w:val="center"/>
                </w:tcPr>
                <w:p w14:paraId="4C81B992">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5</w:t>
                  </w:r>
                </w:p>
              </w:tc>
              <w:tc>
                <w:tcPr>
                  <w:tcW w:w="1063" w:type="dxa"/>
                  <w:vMerge w:val="restart"/>
                  <w:vAlign w:val="center"/>
                </w:tcPr>
                <w:p w14:paraId="27B8E7CA">
                  <w:pPr>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五日生化需氧量</w:t>
                  </w:r>
                </w:p>
              </w:tc>
              <w:tc>
                <w:tcPr>
                  <w:tcW w:w="1093" w:type="dxa"/>
                  <w:vMerge w:val="restart"/>
                  <w:vAlign w:val="center"/>
                </w:tcPr>
                <w:p w14:paraId="7BA0EA60">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2025.6.20</w:t>
                  </w:r>
                </w:p>
              </w:tc>
              <w:tc>
                <w:tcPr>
                  <w:tcW w:w="1106" w:type="dxa"/>
                  <w:vAlign w:val="center"/>
                </w:tcPr>
                <w:p w14:paraId="674C5557">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第一次</w:t>
                  </w:r>
                </w:p>
              </w:tc>
              <w:tc>
                <w:tcPr>
                  <w:tcW w:w="1365" w:type="dxa"/>
                  <w:vAlign w:val="center"/>
                </w:tcPr>
                <w:p w14:paraId="7672DD2B">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14.3</w:t>
                  </w:r>
                </w:p>
              </w:tc>
              <w:tc>
                <w:tcPr>
                  <w:tcW w:w="1365" w:type="dxa"/>
                  <w:vMerge w:val="restart"/>
                  <w:vAlign w:val="center"/>
                </w:tcPr>
                <w:p w14:paraId="2F9BB069">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13.1</w:t>
                  </w:r>
                </w:p>
              </w:tc>
              <w:tc>
                <w:tcPr>
                  <w:tcW w:w="1367" w:type="dxa"/>
                  <w:vMerge w:val="restart"/>
                  <w:vAlign w:val="center"/>
                </w:tcPr>
                <w:p w14:paraId="02CB744E">
                  <w:pPr>
                    <w:adjustRightInd w:val="0"/>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lang w:val="en-US" w:bidi="ar-SA"/>
                    </w:rPr>
                    <w:t>100</w:t>
                  </w:r>
                </w:p>
              </w:tc>
            </w:tr>
            <w:tr w14:paraId="4922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03A62D8B">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192DE0AD">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101102A6">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779F5DD0">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第二次</w:t>
                  </w:r>
                </w:p>
              </w:tc>
              <w:tc>
                <w:tcPr>
                  <w:tcW w:w="1365" w:type="dxa"/>
                  <w:vAlign w:val="center"/>
                </w:tcPr>
                <w:p w14:paraId="37DEE7A7">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11.5</w:t>
                  </w:r>
                </w:p>
              </w:tc>
              <w:tc>
                <w:tcPr>
                  <w:tcW w:w="1365" w:type="dxa"/>
                  <w:vMerge w:val="continue"/>
                  <w:vAlign w:val="center"/>
                </w:tcPr>
                <w:p w14:paraId="7D69CB81">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5EB10BE6">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2D20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446784E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5261959C">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04B574C4">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404D36AE">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第三次</w:t>
                  </w:r>
                </w:p>
              </w:tc>
              <w:tc>
                <w:tcPr>
                  <w:tcW w:w="1365" w:type="dxa"/>
                  <w:vAlign w:val="center"/>
                </w:tcPr>
                <w:p w14:paraId="6D3782E1">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13.6</w:t>
                  </w:r>
                </w:p>
              </w:tc>
              <w:tc>
                <w:tcPr>
                  <w:tcW w:w="1365" w:type="dxa"/>
                  <w:vMerge w:val="continue"/>
                  <w:vAlign w:val="center"/>
                </w:tcPr>
                <w:p w14:paraId="05A4F17F">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23D13D13">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65B2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restart"/>
                  <w:vAlign w:val="center"/>
                </w:tcPr>
                <w:p w14:paraId="5F89C5FB">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6</w:t>
                  </w:r>
                </w:p>
              </w:tc>
              <w:tc>
                <w:tcPr>
                  <w:tcW w:w="1063" w:type="dxa"/>
                  <w:vMerge w:val="restart"/>
                  <w:vAlign w:val="center"/>
                </w:tcPr>
                <w:p w14:paraId="437D0F71">
                  <w:pPr>
                    <w:spacing w:line="240" w:lineRule="atLeast"/>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bCs/>
                      <w:color w:val="000000" w:themeColor="text1"/>
                      <w:sz w:val="21"/>
                      <w:szCs w:val="21"/>
                      <w:u w:val="single"/>
                    </w:rPr>
                    <w:t>总氯</w:t>
                  </w:r>
                </w:p>
              </w:tc>
              <w:tc>
                <w:tcPr>
                  <w:tcW w:w="1093" w:type="dxa"/>
                  <w:vMerge w:val="restart"/>
                  <w:vAlign w:val="center"/>
                </w:tcPr>
                <w:p w14:paraId="2FC6330D">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2025.6.20</w:t>
                  </w:r>
                </w:p>
              </w:tc>
              <w:tc>
                <w:tcPr>
                  <w:tcW w:w="1106" w:type="dxa"/>
                  <w:vAlign w:val="center"/>
                </w:tcPr>
                <w:p w14:paraId="61A13AC2">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第一次</w:t>
                  </w:r>
                </w:p>
              </w:tc>
              <w:tc>
                <w:tcPr>
                  <w:tcW w:w="1365" w:type="dxa"/>
                  <w:vAlign w:val="center"/>
                </w:tcPr>
                <w:p w14:paraId="015817CC">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1.62</w:t>
                  </w:r>
                </w:p>
              </w:tc>
              <w:tc>
                <w:tcPr>
                  <w:tcW w:w="1365" w:type="dxa"/>
                  <w:vMerge w:val="restart"/>
                  <w:vAlign w:val="center"/>
                </w:tcPr>
                <w:p w14:paraId="2B958F21">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1.46</w:t>
                  </w:r>
                </w:p>
              </w:tc>
              <w:tc>
                <w:tcPr>
                  <w:tcW w:w="1367" w:type="dxa"/>
                  <w:vMerge w:val="restart"/>
                  <w:vAlign w:val="center"/>
                </w:tcPr>
                <w:p w14:paraId="23A0AA4D">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hint="eastAsia" w:ascii="Times New Roman" w:hAnsi="Times New Roman" w:cs="Times New Roman" w:eastAsiaTheme="minorEastAsia"/>
                      <w:bCs/>
                      <w:color w:val="000000" w:themeColor="text1"/>
                      <w:kern w:val="2"/>
                      <w:sz w:val="21"/>
                      <w:szCs w:val="21"/>
                      <w:u w:val="single"/>
                      <w:lang w:val="en-US" w:bidi="ar-SA"/>
                    </w:rPr>
                    <w:t>-</w:t>
                  </w:r>
                </w:p>
              </w:tc>
            </w:tr>
            <w:tr w14:paraId="09A3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7A74CB6E">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6DAD3C6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29F469BC">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20890B12">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第二次</w:t>
                  </w:r>
                </w:p>
              </w:tc>
              <w:tc>
                <w:tcPr>
                  <w:tcW w:w="1365" w:type="dxa"/>
                  <w:vAlign w:val="center"/>
                </w:tcPr>
                <w:p w14:paraId="447A66BD">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1.46</w:t>
                  </w:r>
                </w:p>
              </w:tc>
              <w:tc>
                <w:tcPr>
                  <w:tcW w:w="1365" w:type="dxa"/>
                  <w:vMerge w:val="continue"/>
                  <w:vAlign w:val="center"/>
                </w:tcPr>
                <w:p w14:paraId="26C43927">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50D15480">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010A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61D8BC73">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52C26C8E">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07CB693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218F3BF8">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第三次</w:t>
                  </w:r>
                </w:p>
              </w:tc>
              <w:tc>
                <w:tcPr>
                  <w:tcW w:w="1365" w:type="dxa"/>
                  <w:vAlign w:val="center"/>
                </w:tcPr>
                <w:p w14:paraId="0EFC514B">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1.31</w:t>
                  </w:r>
                </w:p>
              </w:tc>
              <w:tc>
                <w:tcPr>
                  <w:tcW w:w="1365" w:type="dxa"/>
                  <w:vMerge w:val="continue"/>
                  <w:vAlign w:val="center"/>
                </w:tcPr>
                <w:p w14:paraId="00C76691">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7CB6849D">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48A2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restart"/>
                  <w:vAlign w:val="center"/>
                </w:tcPr>
                <w:p w14:paraId="0BF29BC2">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7</w:t>
                  </w:r>
                </w:p>
              </w:tc>
              <w:tc>
                <w:tcPr>
                  <w:tcW w:w="1063" w:type="dxa"/>
                  <w:vMerge w:val="restart"/>
                  <w:vAlign w:val="center"/>
                </w:tcPr>
                <w:p w14:paraId="754E133A">
                  <w:pPr>
                    <w:jc w:val="center"/>
                    <w:rPr>
                      <w:rFonts w:ascii="Times New Roman" w:hAnsi="Times New Roman" w:cs="Times New Roman"/>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粪大肠菌群</w:t>
                  </w:r>
                  <w:r>
                    <w:rPr>
                      <w:rFonts w:hint="eastAsia" w:ascii="Times New Roman" w:hAnsi="Times New Roman" w:cs="Times New Roman"/>
                      <w:color w:val="000000" w:themeColor="text1"/>
                      <w:sz w:val="21"/>
                      <w:szCs w:val="21"/>
                      <w:u w:val="single"/>
                    </w:rPr>
                    <w:t>（</w:t>
                  </w:r>
                  <w:r>
                    <w:rPr>
                      <w:rFonts w:hint="eastAsia" w:ascii="Times New Roman" w:hAnsi="Times New Roman" w:cs="Times New Roman"/>
                      <w:color w:val="000000" w:themeColor="text1"/>
                      <w:sz w:val="21"/>
                      <w:szCs w:val="21"/>
                      <w:u w:val="single"/>
                      <w:lang w:val="en-US"/>
                    </w:rPr>
                    <w:t>MPN/L</w:t>
                  </w:r>
                  <w:r>
                    <w:rPr>
                      <w:rFonts w:hint="eastAsia" w:ascii="Times New Roman" w:hAnsi="Times New Roman" w:cs="Times New Roman"/>
                      <w:color w:val="000000" w:themeColor="text1"/>
                      <w:sz w:val="21"/>
                      <w:szCs w:val="21"/>
                      <w:u w:val="single"/>
                    </w:rPr>
                    <w:t>）</w:t>
                  </w:r>
                </w:p>
              </w:tc>
              <w:tc>
                <w:tcPr>
                  <w:tcW w:w="1093" w:type="dxa"/>
                  <w:vMerge w:val="restart"/>
                  <w:vAlign w:val="center"/>
                </w:tcPr>
                <w:p w14:paraId="4F4494CA">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2025.6.20</w:t>
                  </w:r>
                </w:p>
              </w:tc>
              <w:tc>
                <w:tcPr>
                  <w:tcW w:w="1106" w:type="dxa"/>
                  <w:vAlign w:val="center"/>
                </w:tcPr>
                <w:p w14:paraId="150CDD3B">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第一次</w:t>
                  </w:r>
                </w:p>
              </w:tc>
              <w:tc>
                <w:tcPr>
                  <w:tcW w:w="1365" w:type="dxa"/>
                  <w:vAlign w:val="center"/>
                </w:tcPr>
                <w:p w14:paraId="298FDDBA">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未检出</w:t>
                  </w:r>
                </w:p>
              </w:tc>
              <w:tc>
                <w:tcPr>
                  <w:tcW w:w="1365" w:type="dxa"/>
                  <w:vMerge w:val="restart"/>
                  <w:vAlign w:val="center"/>
                </w:tcPr>
                <w:p w14:paraId="0F39F261">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未检出</w:t>
                  </w:r>
                </w:p>
              </w:tc>
              <w:tc>
                <w:tcPr>
                  <w:tcW w:w="1367" w:type="dxa"/>
                  <w:vMerge w:val="restart"/>
                  <w:vAlign w:val="center"/>
                </w:tcPr>
                <w:p w14:paraId="3D14237E">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lang w:val="en-US" w:bidi="ar-SA"/>
                    </w:rPr>
                    <w:t>5000</w:t>
                  </w:r>
                </w:p>
              </w:tc>
            </w:tr>
            <w:tr w14:paraId="6423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1AF14443">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34D47C75">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56B75E3B">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53A6F372">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第二次</w:t>
                  </w:r>
                </w:p>
              </w:tc>
              <w:tc>
                <w:tcPr>
                  <w:tcW w:w="1365" w:type="dxa"/>
                  <w:vAlign w:val="center"/>
                </w:tcPr>
                <w:p w14:paraId="46D6397A">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未检出</w:t>
                  </w:r>
                </w:p>
              </w:tc>
              <w:tc>
                <w:tcPr>
                  <w:tcW w:w="1365" w:type="dxa"/>
                  <w:vMerge w:val="continue"/>
                  <w:vAlign w:val="center"/>
                </w:tcPr>
                <w:p w14:paraId="2367C7BA">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5F65EC35">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777C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42AEEDA2">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4BDF2828">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4B146B3C">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6962BB6E">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第三次</w:t>
                  </w:r>
                </w:p>
              </w:tc>
              <w:tc>
                <w:tcPr>
                  <w:tcW w:w="1365" w:type="dxa"/>
                  <w:vAlign w:val="center"/>
                </w:tcPr>
                <w:p w14:paraId="0BBD549D">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未检出</w:t>
                  </w:r>
                </w:p>
              </w:tc>
              <w:tc>
                <w:tcPr>
                  <w:tcW w:w="1365" w:type="dxa"/>
                  <w:vMerge w:val="continue"/>
                  <w:vAlign w:val="center"/>
                </w:tcPr>
                <w:p w14:paraId="7963C2DB">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033731C4">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6A50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restart"/>
                  <w:vAlign w:val="center"/>
                </w:tcPr>
                <w:p w14:paraId="0B3977ED">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8</w:t>
                  </w:r>
                </w:p>
              </w:tc>
              <w:tc>
                <w:tcPr>
                  <w:tcW w:w="1063" w:type="dxa"/>
                  <w:vMerge w:val="restart"/>
                  <w:vAlign w:val="center"/>
                </w:tcPr>
                <w:p w14:paraId="36BA6F21">
                  <w:pPr>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阴离子表面活性剂</w:t>
                  </w:r>
                </w:p>
              </w:tc>
              <w:tc>
                <w:tcPr>
                  <w:tcW w:w="1093" w:type="dxa"/>
                  <w:vMerge w:val="restart"/>
                  <w:vAlign w:val="center"/>
                </w:tcPr>
                <w:p w14:paraId="29460906">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2025.6.20</w:t>
                  </w:r>
                </w:p>
              </w:tc>
              <w:tc>
                <w:tcPr>
                  <w:tcW w:w="1106" w:type="dxa"/>
                  <w:vAlign w:val="center"/>
                </w:tcPr>
                <w:p w14:paraId="7ED5025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第一次</w:t>
                  </w:r>
                </w:p>
              </w:tc>
              <w:tc>
                <w:tcPr>
                  <w:tcW w:w="1365" w:type="dxa"/>
                  <w:vAlign w:val="center"/>
                </w:tcPr>
                <w:p w14:paraId="4CC6E725">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0.801</w:t>
                  </w:r>
                </w:p>
              </w:tc>
              <w:tc>
                <w:tcPr>
                  <w:tcW w:w="1365" w:type="dxa"/>
                  <w:vMerge w:val="restart"/>
                  <w:vAlign w:val="center"/>
                </w:tcPr>
                <w:p w14:paraId="059E4AE4">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0.767</w:t>
                  </w:r>
                </w:p>
              </w:tc>
              <w:tc>
                <w:tcPr>
                  <w:tcW w:w="1367" w:type="dxa"/>
                  <w:vMerge w:val="restart"/>
                  <w:vAlign w:val="center"/>
                </w:tcPr>
                <w:p w14:paraId="24ABB524">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lang w:val="en-US" w:bidi="ar-SA"/>
                    </w:rPr>
                    <w:t>10</w:t>
                  </w:r>
                </w:p>
              </w:tc>
            </w:tr>
            <w:tr w14:paraId="1A57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3EDE7E68">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78A43EE9">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500E5666">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5115544E">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第二次</w:t>
                  </w:r>
                </w:p>
              </w:tc>
              <w:tc>
                <w:tcPr>
                  <w:tcW w:w="1365" w:type="dxa"/>
                  <w:vAlign w:val="center"/>
                </w:tcPr>
                <w:p w14:paraId="3A501897">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0.735</w:t>
                  </w:r>
                </w:p>
              </w:tc>
              <w:tc>
                <w:tcPr>
                  <w:tcW w:w="1365" w:type="dxa"/>
                  <w:vMerge w:val="continue"/>
                  <w:vAlign w:val="center"/>
                </w:tcPr>
                <w:p w14:paraId="2DCC340B">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0DF56603">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0753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1ED8ECBB">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02FE74AA">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76CE501B">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63E41E69">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第三次</w:t>
                  </w:r>
                </w:p>
              </w:tc>
              <w:tc>
                <w:tcPr>
                  <w:tcW w:w="1365" w:type="dxa"/>
                  <w:vAlign w:val="center"/>
                </w:tcPr>
                <w:p w14:paraId="416F83A0">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0.766</w:t>
                  </w:r>
                </w:p>
              </w:tc>
              <w:tc>
                <w:tcPr>
                  <w:tcW w:w="1365" w:type="dxa"/>
                  <w:vMerge w:val="continue"/>
                  <w:vAlign w:val="center"/>
                </w:tcPr>
                <w:p w14:paraId="6E197706">
                  <w:pPr>
                    <w:pStyle w:val="81"/>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61F82294">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7C34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restart"/>
                  <w:vAlign w:val="center"/>
                </w:tcPr>
                <w:p w14:paraId="28D39AF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9</w:t>
                  </w:r>
                </w:p>
              </w:tc>
              <w:tc>
                <w:tcPr>
                  <w:tcW w:w="1063" w:type="dxa"/>
                  <w:vMerge w:val="restart"/>
                  <w:vAlign w:val="center"/>
                </w:tcPr>
                <w:p w14:paraId="58EBDFA6">
                  <w:pPr>
                    <w:spacing w:line="240" w:lineRule="atLeast"/>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挥发酚</w:t>
                  </w:r>
                </w:p>
              </w:tc>
              <w:tc>
                <w:tcPr>
                  <w:tcW w:w="1093" w:type="dxa"/>
                  <w:vMerge w:val="restart"/>
                  <w:vAlign w:val="center"/>
                </w:tcPr>
                <w:p w14:paraId="6BEFC3C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2025.6.20</w:t>
                  </w:r>
                </w:p>
              </w:tc>
              <w:tc>
                <w:tcPr>
                  <w:tcW w:w="1106" w:type="dxa"/>
                  <w:vAlign w:val="center"/>
                </w:tcPr>
                <w:p w14:paraId="6837DA9A">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第一次</w:t>
                  </w:r>
                </w:p>
              </w:tc>
              <w:tc>
                <w:tcPr>
                  <w:tcW w:w="1365" w:type="dxa"/>
                  <w:vAlign w:val="center"/>
                </w:tcPr>
                <w:p w14:paraId="41CA3045">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0.01</w:t>
                  </w:r>
                  <w:r>
                    <w:rPr>
                      <w:rFonts w:ascii="Times New Roman" w:hAnsi="Times New Roman" w:cs="Times New Roman"/>
                      <w:i/>
                      <w:color w:val="000000" w:themeColor="text1"/>
                      <w:sz w:val="21"/>
                      <w:szCs w:val="21"/>
                      <w:u w:val="single"/>
                    </w:rPr>
                    <w:t>L</w:t>
                  </w:r>
                </w:p>
              </w:tc>
              <w:tc>
                <w:tcPr>
                  <w:tcW w:w="1365" w:type="dxa"/>
                  <w:vMerge w:val="restart"/>
                  <w:vAlign w:val="center"/>
                </w:tcPr>
                <w:p w14:paraId="04AA973E">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0.01</w:t>
                  </w:r>
                  <w:r>
                    <w:rPr>
                      <w:rFonts w:ascii="Times New Roman" w:hAnsi="Times New Roman" w:cs="Times New Roman"/>
                      <w:i/>
                      <w:color w:val="000000" w:themeColor="text1"/>
                      <w:sz w:val="21"/>
                      <w:szCs w:val="21"/>
                      <w:u w:val="single"/>
                    </w:rPr>
                    <w:t>L</w:t>
                  </w:r>
                </w:p>
              </w:tc>
              <w:tc>
                <w:tcPr>
                  <w:tcW w:w="1367" w:type="dxa"/>
                  <w:vMerge w:val="restart"/>
                  <w:vAlign w:val="center"/>
                </w:tcPr>
                <w:p w14:paraId="1F78E6A3">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lang w:val="en-US" w:bidi="ar-SA"/>
                    </w:rPr>
                    <w:t>1.0</w:t>
                  </w:r>
                </w:p>
              </w:tc>
            </w:tr>
            <w:tr w14:paraId="5950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10FB35FA">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10527D95">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47A874BA">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2492D4D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第二次</w:t>
                  </w:r>
                </w:p>
              </w:tc>
              <w:tc>
                <w:tcPr>
                  <w:tcW w:w="1365" w:type="dxa"/>
                  <w:vAlign w:val="center"/>
                </w:tcPr>
                <w:p w14:paraId="2FFD2590">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0.01</w:t>
                  </w:r>
                  <w:r>
                    <w:rPr>
                      <w:rFonts w:ascii="Times New Roman" w:hAnsi="Times New Roman" w:cs="Times New Roman"/>
                      <w:i/>
                      <w:color w:val="000000" w:themeColor="text1"/>
                      <w:sz w:val="21"/>
                      <w:szCs w:val="21"/>
                      <w:u w:val="single"/>
                    </w:rPr>
                    <w:t>L</w:t>
                  </w:r>
                </w:p>
              </w:tc>
              <w:tc>
                <w:tcPr>
                  <w:tcW w:w="1365" w:type="dxa"/>
                  <w:vMerge w:val="continue"/>
                  <w:vAlign w:val="center"/>
                </w:tcPr>
                <w:p w14:paraId="1D96C1C8">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3B94DF89">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5DE5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7CC03FE0">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765F65E3">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44D4BCDC">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305E2674">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第三次</w:t>
                  </w:r>
                </w:p>
              </w:tc>
              <w:tc>
                <w:tcPr>
                  <w:tcW w:w="1365" w:type="dxa"/>
                  <w:vAlign w:val="center"/>
                </w:tcPr>
                <w:p w14:paraId="26F60483">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0.01</w:t>
                  </w:r>
                  <w:r>
                    <w:rPr>
                      <w:rFonts w:ascii="Times New Roman" w:hAnsi="Times New Roman" w:cs="Times New Roman"/>
                      <w:i/>
                      <w:color w:val="000000" w:themeColor="text1"/>
                      <w:sz w:val="21"/>
                      <w:szCs w:val="21"/>
                      <w:u w:val="single"/>
                    </w:rPr>
                    <w:t>L</w:t>
                  </w:r>
                </w:p>
              </w:tc>
              <w:tc>
                <w:tcPr>
                  <w:tcW w:w="1365" w:type="dxa"/>
                  <w:vMerge w:val="continue"/>
                  <w:vAlign w:val="center"/>
                </w:tcPr>
                <w:p w14:paraId="4717DD4C">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79917FED">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4C33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restart"/>
                  <w:vAlign w:val="center"/>
                </w:tcPr>
                <w:p w14:paraId="4E3907C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10</w:t>
                  </w:r>
                </w:p>
              </w:tc>
              <w:tc>
                <w:tcPr>
                  <w:tcW w:w="1063" w:type="dxa"/>
                  <w:vMerge w:val="restart"/>
                  <w:vAlign w:val="center"/>
                </w:tcPr>
                <w:p w14:paraId="7CEB5213">
                  <w:pPr>
                    <w:pStyle w:val="82"/>
                    <w:widowControl w:val="0"/>
                    <w:adjustRightInd w:val="0"/>
                    <w:snapToGrid w:val="0"/>
                    <w:spacing w:before="0" w:beforeAutospacing="0" w:after="0" w:afterAutospacing="0"/>
                    <w:rPr>
                      <w:rFonts w:ascii="Times New Roman" w:hAnsi="Times New Roman" w:cs="Times New Roman" w:eastAsiaTheme="minorEastAsia"/>
                      <w:b w:val="0"/>
                      <w:bCs w:val="0"/>
                      <w:color w:val="000000" w:themeColor="text1"/>
                      <w:kern w:val="2"/>
                      <w:sz w:val="21"/>
                      <w:szCs w:val="21"/>
                      <w:u w:val="single"/>
                      <w:lang w:val="en-US" w:bidi="ar-SA"/>
                    </w:rPr>
                  </w:pPr>
                  <w:r>
                    <w:rPr>
                      <w:rFonts w:ascii="Times New Roman" w:hAnsi="Times New Roman" w:cs="Times New Roman"/>
                      <w:b w:val="0"/>
                      <w:bCs w:val="0"/>
                      <w:color w:val="000000" w:themeColor="text1"/>
                      <w:kern w:val="2"/>
                      <w:sz w:val="21"/>
                      <w:szCs w:val="21"/>
                      <w:u w:val="single"/>
                    </w:rPr>
                    <w:t>（总）氰化物</w:t>
                  </w:r>
                </w:p>
              </w:tc>
              <w:tc>
                <w:tcPr>
                  <w:tcW w:w="1093" w:type="dxa"/>
                  <w:vMerge w:val="restart"/>
                  <w:vAlign w:val="center"/>
                </w:tcPr>
                <w:p w14:paraId="6AB8905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2025.6.20</w:t>
                  </w:r>
                </w:p>
              </w:tc>
              <w:tc>
                <w:tcPr>
                  <w:tcW w:w="1106" w:type="dxa"/>
                  <w:vAlign w:val="center"/>
                </w:tcPr>
                <w:p w14:paraId="458774E3">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第一次</w:t>
                  </w:r>
                </w:p>
              </w:tc>
              <w:tc>
                <w:tcPr>
                  <w:tcW w:w="1365" w:type="dxa"/>
                  <w:vAlign w:val="center"/>
                </w:tcPr>
                <w:p w14:paraId="789C0346">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0.005</w:t>
                  </w:r>
                </w:p>
              </w:tc>
              <w:tc>
                <w:tcPr>
                  <w:tcW w:w="1365" w:type="dxa"/>
                  <w:vMerge w:val="restart"/>
                  <w:vAlign w:val="center"/>
                </w:tcPr>
                <w:p w14:paraId="14369A54">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0.006</w:t>
                  </w:r>
                </w:p>
              </w:tc>
              <w:tc>
                <w:tcPr>
                  <w:tcW w:w="1367" w:type="dxa"/>
                  <w:vMerge w:val="restart"/>
                  <w:vAlign w:val="center"/>
                </w:tcPr>
                <w:p w14:paraId="0DCB52C6">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lang w:val="en-US" w:bidi="ar-SA"/>
                    </w:rPr>
                    <w:t>0.5</w:t>
                  </w:r>
                </w:p>
              </w:tc>
            </w:tr>
            <w:tr w14:paraId="4B66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61D0EC10">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26FD1534">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56233B3D">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20A47AB7">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第二次</w:t>
                  </w:r>
                </w:p>
              </w:tc>
              <w:tc>
                <w:tcPr>
                  <w:tcW w:w="1365" w:type="dxa"/>
                  <w:vAlign w:val="center"/>
                </w:tcPr>
                <w:p w14:paraId="61047301">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0.008</w:t>
                  </w:r>
                </w:p>
              </w:tc>
              <w:tc>
                <w:tcPr>
                  <w:tcW w:w="1365" w:type="dxa"/>
                  <w:vMerge w:val="continue"/>
                  <w:vAlign w:val="center"/>
                </w:tcPr>
                <w:p w14:paraId="02BCD3D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2118B1B5">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04B9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2CBAC8E3">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14B981D0">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2BB5B7C5">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7557C4AC">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第三次</w:t>
                  </w:r>
                </w:p>
              </w:tc>
              <w:tc>
                <w:tcPr>
                  <w:tcW w:w="1365" w:type="dxa"/>
                  <w:vAlign w:val="center"/>
                </w:tcPr>
                <w:p w14:paraId="4320FEF5">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0.006</w:t>
                  </w:r>
                </w:p>
              </w:tc>
              <w:tc>
                <w:tcPr>
                  <w:tcW w:w="1365" w:type="dxa"/>
                  <w:vMerge w:val="continue"/>
                  <w:vAlign w:val="center"/>
                </w:tcPr>
                <w:p w14:paraId="63E1DC3C">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6ACAE4D4">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0394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restart"/>
                  <w:vAlign w:val="center"/>
                </w:tcPr>
                <w:p w14:paraId="5AEDBC7E">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11</w:t>
                  </w:r>
                </w:p>
              </w:tc>
              <w:tc>
                <w:tcPr>
                  <w:tcW w:w="1063" w:type="dxa"/>
                  <w:vMerge w:val="restart"/>
                  <w:vAlign w:val="center"/>
                </w:tcPr>
                <w:p w14:paraId="6D650F7A">
                  <w:pPr>
                    <w:pStyle w:val="82"/>
                    <w:widowControl w:val="0"/>
                    <w:adjustRightInd w:val="0"/>
                    <w:snapToGrid w:val="0"/>
                    <w:spacing w:before="0" w:beforeAutospacing="0" w:after="0" w:afterAutospacing="0"/>
                    <w:rPr>
                      <w:rFonts w:ascii="Times New Roman" w:hAnsi="Times New Roman" w:cs="Times New Roman" w:eastAsiaTheme="minorEastAsia"/>
                      <w:b w:val="0"/>
                      <w:bCs w:val="0"/>
                      <w:color w:val="000000" w:themeColor="text1"/>
                      <w:kern w:val="2"/>
                      <w:sz w:val="21"/>
                      <w:szCs w:val="21"/>
                      <w:u w:val="single"/>
                      <w:lang w:val="en-US" w:bidi="ar-SA"/>
                    </w:rPr>
                  </w:pPr>
                  <w:r>
                    <w:rPr>
                      <w:rFonts w:ascii="Times New Roman" w:hAnsi="Times New Roman" w:cs="Times New Roman"/>
                      <w:b w:val="0"/>
                      <w:bCs w:val="0"/>
                      <w:color w:val="000000" w:themeColor="text1"/>
                      <w:kern w:val="2"/>
                      <w:sz w:val="21"/>
                      <w:szCs w:val="21"/>
                      <w:u w:val="single"/>
                    </w:rPr>
                    <w:t>石油类</w:t>
                  </w:r>
                </w:p>
              </w:tc>
              <w:tc>
                <w:tcPr>
                  <w:tcW w:w="1093" w:type="dxa"/>
                  <w:vMerge w:val="restart"/>
                  <w:vAlign w:val="center"/>
                </w:tcPr>
                <w:p w14:paraId="590FB620">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2025.6.20</w:t>
                  </w:r>
                </w:p>
              </w:tc>
              <w:tc>
                <w:tcPr>
                  <w:tcW w:w="1106" w:type="dxa"/>
                  <w:vAlign w:val="center"/>
                </w:tcPr>
                <w:p w14:paraId="4ACADEBD">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第一次</w:t>
                  </w:r>
                </w:p>
              </w:tc>
              <w:tc>
                <w:tcPr>
                  <w:tcW w:w="1365" w:type="dxa"/>
                  <w:vAlign w:val="center"/>
                </w:tcPr>
                <w:p w14:paraId="63CFCED3">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0.40</w:t>
                  </w:r>
                </w:p>
              </w:tc>
              <w:tc>
                <w:tcPr>
                  <w:tcW w:w="1365" w:type="dxa"/>
                  <w:vMerge w:val="restart"/>
                  <w:vAlign w:val="center"/>
                </w:tcPr>
                <w:p w14:paraId="363E7082">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0.37</w:t>
                  </w:r>
                </w:p>
              </w:tc>
              <w:tc>
                <w:tcPr>
                  <w:tcW w:w="1367" w:type="dxa"/>
                  <w:vMerge w:val="restart"/>
                  <w:vAlign w:val="center"/>
                </w:tcPr>
                <w:p w14:paraId="146F0EBC">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lang w:val="en-US" w:bidi="ar-SA"/>
                    </w:rPr>
                    <w:t>20</w:t>
                  </w:r>
                </w:p>
              </w:tc>
            </w:tr>
            <w:tr w14:paraId="7292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05E7701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1AC50717">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13ADCF2E">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0DF1D8AD">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第二次</w:t>
                  </w:r>
                </w:p>
              </w:tc>
              <w:tc>
                <w:tcPr>
                  <w:tcW w:w="1365" w:type="dxa"/>
                  <w:vAlign w:val="center"/>
                </w:tcPr>
                <w:p w14:paraId="12122AD5">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0.32</w:t>
                  </w:r>
                </w:p>
              </w:tc>
              <w:tc>
                <w:tcPr>
                  <w:tcW w:w="1365" w:type="dxa"/>
                  <w:vMerge w:val="continue"/>
                  <w:vAlign w:val="center"/>
                </w:tcPr>
                <w:p w14:paraId="5E01F9E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0CDC180A">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5E08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09F35B9B">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580DFBE2">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2B84FE3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281A750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第三次</w:t>
                  </w:r>
                </w:p>
              </w:tc>
              <w:tc>
                <w:tcPr>
                  <w:tcW w:w="1365" w:type="dxa"/>
                  <w:vAlign w:val="center"/>
                </w:tcPr>
                <w:p w14:paraId="1A077118">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0.38</w:t>
                  </w:r>
                </w:p>
              </w:tc>
              <w:tc>
                <w:tcPr>
                  <w:tcW w:w="1365" w:type="dxa"/>
                  <w:vMerge w:val="continue"/>
                  <w:vAlign w:val="center"/>
                </w:tcPr>
                <w:p w14:paraId="2A8A755F">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1CC57436">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50C4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restart"/>
                  <w:vAlign w:val="center"/>
                </w:tcPr>
                <w:p w14:paraId="74DBD5D0">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12</w:t>
                  </w:r>
                </w:p>
              </w:tc>
              <w:tc>
                <w:tcPr>
                  <w:tcW w:w="1063" w:type="dxa"/>
                  <w:vMerge w:val="restart"/>
                  <w:vAlign w:val="center"/>
                </w:tcPr>
                <w:p w14:paraId="30A69143">
                  <w:pPr>
                    <w:pStyle w:val="82"/>
                    <w:widowControl w:val="0"/>
                    <w:adjustRightInd w:val="0"/>
                    <w:snapToGrid w:val="0"/>
                    <w:spacing w:before="0" w:beforeAutospacing="0" w:after="0" w:afterAutospacing="0"/>
                    <w:rPr>
                      <w:rFonts w:ascii="Times New Roman" w:hAnsi="Times New Roman" w:cs="Times New Roman" w:eastAsiaTheme="minorEastAsia"/>
                      <w:b w:val="0"/>
                      <w:bCs w:val="0"/>
                      <w:color w:val="000000" w:themeColor="text1"/>
                      <w:kern w:val="2"/>
                      <w:sz w:val="21"/>
                      <w:szCs w:val="21"/>
                      <w:u w:val="single"/>
                      <w:lang w:val="en-US" w:bidi="ar-SA"/>
                    </w:rPr>
                  </w:pPr>
                  <w:r>
                    <w:rPr>
                      <w:rFonts w:ascii="Times New Roman" w:hAnsi="Times New Roman" w:cs="Times New Roman"/>
                      <w:b w:val="0"/>
                      <w:bCs w:val="0"/>
                      <w:color w:val="000000" w:themeColor="text1"/>
                      <w:kern w:val="2"/>
                      <w:sz w:val="21"/>
                      <w:szCs w:val="21"/>
                      <w:u w:val="single"/>
                    </w:rPr>
                    <w:t>动植物油</w:t>
                  </w:r>
                </w:p>
              </w:tc>
              <w:tc>
                <w:tcPr>
                  <w:tcW w:w="1093" w:type="dxa"/>
                  <w:vMerge w:val="restart"/>
                  <w:vAlign w:val="center"/>
                </w:tcPr>
                <w:p w14:paraId="011F8532">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2025.6.20</w:t>
                  </w:r>
                </w:p>
              </w:tc>
              <w:tc>
                <w:tcPr>
                  <w:tcW w:w="1106" w:type="dxa"/>
                  <w:vAlign w:val="center"/>
                </w:tcPr>
                <w:p w14:paraId="31457813">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第一次</w:t>
                  </w:r>
                </w:p>
              </w:tc>
              <w:tc>
                <w:tcPr>
                  <w:tcW w:w="1365" w:type="dxa"/>
                  <w:vAlign w:val="center"/>
                </w:tcPr>
                <w:p w14:paraId="511C517C">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1.32</w:t>
                  </w:r>
                </w:p>
              </w:tc>
              <w:tc>
                <w:tcPr>
                  <w:tcW w:w="1365" w:type="dxa"/>
                  <w:vMerge w:val="restart"/>
                  <w:vAlign w:val="center"/>
                </w:tcPr>
                <w:p w14:paraId="466EEC8F">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1.43</w:t>
                  </w:r>
                </w:p>
              </w:tc>
              <w:tc>
                <w:tcPr>
                  <w:tcW w:w="1367" w:type="dxa"/>
                  <w:vMerge w:val="restart"/>
                  <w:vAlign w:val="center"/>
                </w:tcPr>
                <w:p w14:paraId="2875F853">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lang w:val="en-US" w:bidi="ar-SA"/>
                    </w:rPr>
                    <w:t>20</w:t>
                  </w:r>
                </w:p>
              </w:tc>
            </w:tr>
            <w:tr w14:paraId="1F5C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18EA5F35">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72532F85">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7C52F527">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1593D27B">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第二次</w:t>
                  </w:r>
                </w:p>
              </w:tc>
              <w:tc>
                <w:tcPr>
                  <w:tcW w:w="1365" w:type="dxa"/>
                  <w:vAlign w:val="center"/>
                </w:tcPr>
                <w:p w14:paraId="62FE6F28">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1.59</w:t>
                  </w:r>
                </w:p>
              </w:tc>
              <w:tc>
                <w:tcPr>
                  <w:tcW w:w="1365" w:type="dxa"/>
                  <w:vMerge w:val="continue"/>
                  <w:vAlign w:val="center"/>
                </w:tcPr>
                <w:p w14:paraId="55FB2D64">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200949B2">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r w14:paraId="56A5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5" w:type="dxa"/>
                  <w:vMerge w:val="continue"/>
                  <w:vAlign w:val="center"/>
                </w:tcPr>
                <w:p w14:paraId="4A50C1EE">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63" w:type="dxa"/>
                  <w:vMerge w:val="continue"/>
                  <w:vAlign w:val="center"/>
                </w:tcPr>
                <w:p w14:paraId="172CA739">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093" w:type="dxa"/>
                  <w:vMerge w:val="continue"/>
                  <w:vAlign w:val="center"/>
                </w:tcPr>
                <w:p w14:paraId="2717EE6E">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106" w:type="dxa"/>
                  <w:vAlign w:val="center"/>
                </w:tcPr>
                <w:p w14:paraId="5C22B8B1">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eastAsiaTheme="minorEastAsia"/>
                      <w:color w:val="000000" w:themeColor="text1"/>
                      <w:kern w:val="2"/>
                      <w:sz w:val="21"/>
                      <w:szCs w:val="21"/>
                      <w:u w:val="single"/>
                      <w:lang w:val="en-US" w:bidi="ar-SA"/>
                    </w:rPr>
                    <w:t>第三次</w:t>
                  </w:r>
                </w:p>
              </w:tc>
              <w:tc>
                <w:tcPr>
                  <w:tcW w:w="1365" w:type="dxa"/>
                  <w:vAlign w:val="center"/>
                </w:tcPr>
                <w:p w14:paraId="3B144A20">
                  <w:pPr>
                    <w:pStyle w:val="81"/>
                    <w:rPr>
                      <w:rFonts w:ascii="Times New Roman" w:hAnsi="Times New Roman" w:cs="Times New Roman" w:eastAsiaTheme="minorEastAsia"/>
                      <w:color w:val="000000" w:themeColor="text1"/>
                      <w:kern w:val="2"/>
                      <w:sz w:val="21"/>
                      <w:szCs w:val="21"/>
                      <w:u w:val="single"/>
                      <w:lang w:val="en-US" w:bidi="ar-SA"/>
                    </w:rPr>
                  </w:pPr>
                  <w:r>
                    <w:rPr>
                      <w:rFonts w:ascii="Times New Roman" w:hAnsi="Times New Roman" w:cs="Times New Roman"/>
                      <w:color w:val="000000" w:themeColor="text1"/>
                      <w:sz w:val="21"/>
                      <w:szCs w:val="21"/>
                      <w:u w:val="single"/>
                    </w:rPr>
                    <w:t>1.37</w:t>
                  </w:r>
                </w:p>
              </w:tc>
              <w:tc>
                <w:tcPr>
                  <w:tcW w:w="1365" w:type="dxa"/>
                  <w:vMerge w:val="continue"/>
                  <w:vAlign w:val="center"/>
                </w:tcPr>
                <w:p w14:paraId="146C6FB7">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c>
                <w:tcPr>
                  <w:tcW w:w="1367" w:type="dxa"/>
                  <w:vMerge w:val="continue"/>
                  <w:vAlign w:val="center"/>
                </w:tcPr>
                <w:p w14:paraId="1F067AE7">
                  <w:pPr>
                    <w:widowControl/>
                    <w:autoSpaceDE/>
                    <w:autoSpaceDN/>
                    <w:jc w:val="center"/>
                    <w:rPr>
                      <w:rFonts w:ascii="Times New Roman" w:hAnsi="Times New Roman" w:cs="Times New Roman" w:eastAsiaTheme="minorEastAsia"/>
                      <w:color w:val="000000" w:themeColor="text1"/>
                      <w:kern w:val="2"/>
                      <w:sz w:val="21"/>
                      <w:szCs w:val="21"/>
                      <w:u w:val="single"/>
                      <w:lang w:val="en-US" w:bidi="ar-SA"/>
                    </w:rPr>
                  </w:pPr>
                </w:p>
              </w:tc>
            </w:tr>
          </w:tbl>
          <w:p w14:paraId="2BB688A6">
            <w:pPr>
              <w:pStyle w:val="19"/>
              <w:spacing w:line="360" w:lineRule="auto"/>
              <w:ind w:left="0" w:firstLine="480" w:firstLineChars="200"/>
              <w:rPr>
                <w:rFonts w:ascii="Times New Roman" w:hAnsi="Times New Roman"/>
                <w:color w:val="000000" w:themeColor="text1"/>
                <w:sz w:val="24"/>
                <w:u w:val="single"/>
                <w:lang w:bidi="zh-CN"/>
              </w:rPr>
            </w:pPr>
            <w:r>
              <w:rPr>
                <w:rFonts w:hint="eastAsia" w:ascii="Times New Roman" w:hAnsi="Times New Roman"/>
                <w:color w:val="000000" w:themeColor="text1"/>
                <w:sz w:val="24"/>
                <w:u w:val="single"/>
              </w:rPr>
              <w:t>根据上述监测数据得知，原有医疗废水</w:t>
            </w:r>
            <w:r>
              <w:rPr>
                <w:rFonts w:ascii="Times New Roman" w:hAnsi="Times New Roman"/>
                <w:color w:val="000000" w:themeColor="text1"/>
                <w:sz w:val="24"/>
                <w:u w:val="single"/>
              </w:rPr>
              <w:t>经</w:t>
            </w:r>
            <w:r>
              <w:rPr>
                <w:rFonts w:hint="eastAsia" w:ascii="Times New Roman" w:hAnsi="Times New Roman"/>
                <w:color w:val="000000" w:themeColor="text1"/>
                <w:sz w:val="24"/>
                <w:u w:val="single"/>
              </w:rPr>
              <w:t>医院综合污水处理站</w:t>
            </w:r>
            <w:r>
              <w:rPr>
                <w:rFonts w:ascii="Times New Roman" w:hAnsi="Times New Roman"/>
                <w:color w:val="000000" w:themeColor="text1"/>
                <w:sz w:val="24"/>
                <w:u w:val="single"/>
              </w:rPr>
              <w:t>处理后能够</w:t>
            </w:r>
            <w:r>
              <w:rPr>
                <w:rFonts w:hint="eastAsia" w:ascii="Times New Roman" w:hAnsi="Times New Roman"/>
                <w:color w:val="000000" w:themeColor="text1"/>
                <w:sz w:val="24"/>
                <w:u w:val="single"/>
              </w:rPr>
              <w:t>达到</w:t>
            </w:r>
            <w:r>
              <w:rPr>
                <w:rFonts w:ascii="Times New Roman" w:hAnsi="Times New Roman"/>
                <w:color w:val="000000" w:themeColor="text1"/>
                <w:sz w:val="24"/>
                <w:u w:val="single"/>
              </w:rPr>
              <w:t>《医疗机构水污染物排放标准》(GB18466-2005)表2预处理排放限值，处理后的废水经市政污水管网排入</w:t>
            </w:r>
            <w:r>
              <w:rPr>
                <w:rFonts w:hint="eastAsia" w:ascii="Times New Roman" w:hAnsi="Times New Roman"/>
                <w:color w:val="000000" w:themeColor="text1"/>
                <w:sz w:val="24"/>
                <w:u w:val="single"/>
              </w:rPr>
              <w:t>永福县益源污水处理厂</w:t>
            </w:r>
            <w:r>
              <w:rPr>
                <w:rFonts w:ascii="Times New Roman" w:hAnsi="Times New Roman"/>
                <w:color w:val="000000" w:themeColor="text1"/>
                <w:sz w:val="24"/>
                <w:u w:val="single"/>
              </w:rPr>
              <w:t>进行深度处理</w:t>
            </w:r>
            <w:r>
              <w:rPr>
                <w:rFonts w:hint="eastAsia" w:ascii="Times New Roman" w:hAnsi="Times New Roman"/>
                <w:color w:val="000000" w:themeColor="text1"/>
                <w:sz w:val="24"/>
                <w:u w:val="single"/>
              </w:rPr>
              <w:t>；医院食堂废水（4547.9</w:t>
            </w:r>
            <w:r>
              <w:rPr>
                <w:rFonts w:ascii="Times New Roman" w:hAnsi="Times New Roman"/>
                <w:color w:val="000000" w:themeColor="text1"/>
                <w:sz w:val="24"/>
                <w:u w:val="single"/>
              </w:rPr>
              <w:t>m</w:t>
            </w:r>
            <w:r>
              <w:rPr>
                <w:rFonts w:ascii="Times New Roman" w:hAnsi="Times New Roman"/>
                <w:color w:val="000000" w:themeColor="text1"/>
                <w:sz w:val="24"/>
                <w:u w:val="single"/>
                <w:vertAlign w:val="superscript"/>
              </w:rPr>
              <w:t>3</w:t>
            </w:r>
            <w:r>
              <w:rPr>
                <w:rFonts w:ascii="Times New Roman" w:hAnsi="Times New Roman"/>
                <w:color w:val="000000" w:themeColor="text1"/>
                <w:sz w:val="24"/>
                <w:u w:val="single"/>
              </w:rPr>
              <w:t>/</w:t>
            </w:r>
            <w:r>
              <w:rPr>
                <w:rFonts w:hint="eastAsia" w:ascii="Times New Roman" w:hAnsi="Times New Roman"/>
                <w:color w:val="000000" w:themeColor="text1"/>
                <w:sz w:val="24"/>
                <w:u w:val="single"/>
              </w:rPr>
              <w:t>a）经隔油池+化粪池处理后达到《污水综合排放标准》（GB 8978-1996）表4三级标准后</w:t>
            </w:r>
            <w:r>
              <w:rPr>
                <w:rFonts w:ascii="Times New Roman" w:hAnsi="Times New Roman"/>
                <w:color w:val="000000" w:themeColor="text1"/>
                <w:sz w:val="24"/>
                <w:u w:val="single"/>
              </w:rPr>
              <w:t>排入</w:t>
            </w:r>
            <w:r>
              <w:rPr>
                <w:rFonts w:hint="eastAsia" w:ascii="Times New Roman" w:hAnsi="Times New Roman"/>
                <w:color w:val="000000" w:themeColor="text1"/>
                <w:sz w:val="24"/>
                <w:u w:val="single"/>
              </w:rPr>
              <w:t>永福县益源污水处理厂</w:t>
            </w:r>
            <w:r>
              <w:rPr>
                <w:rFonts w:ascii="Times New Roman" w:hAnsi="Times New Roman"/>
                <w:color w:val="000000" w:themeColor="text1"/>
                <w:sz w:val="24"/>
                <w:u w:val="single"/>
              </w:rPr>
              <w:t>。</w:t>
            </w:r>
          </w:p>
          <w:p w14:paraId="14A517E2">
            <w:pPr>
              <w:keepNext/>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3）噪声</w:t>
            </w:r>
          </w:p>
          <w:p w14:paraId="1C91E8D5">
            <w:pPr>
              <w:keepNext/>
              <w:spacing w:line="360" w:lineRule="auto"/>
              <w:ind w:firstLine="480" w:firstLineChars="200"/>
              <w:jc w:val="both"/>
              <w:rPr>
                <w:rFonts w:ascii="Times New Roman" w:hAnsi="Times New Roman" w:cs="Times New Roman"/>
                <w:color w:val="000000" w:themeColor="text1"/>
                <w:sz w:val="24"/>
                <w:szCs w:val="24"/>
                <w:u w:val="single"/>
                <w:lang w:val="en-US"/>
              </w:rPr>
            </w:pPr>
            <w:r>
              <w:rPr>
                <w:rFonts w:hint="eastAsia" w:ascii="Times New Roman" w:hAnsi="Times New Roman" w:cs="Times New Roman"/>
                <w:color w:val="000000" w:themeColor="text1"/>
                <w:sz w:val="24"/>
                <w:szCs w:val="24"/>
                <w:lang w:val="en-US"/>
              </w:rPr>
              <w:t>原有</w:t>
            </w:r>
            <w:r>
              <w:rPr>
                <w:rFonts w:ascii="Times New Roman" w:hAnsi="Times New Roman" w:cs="Times New Roman"/>
                <w:color w:val="000000" w:themeColor="text1"/>
                <w:sz w:val="24"/>
                <w:szCs w:val="24"/>
                <w:lang w:val="en-US"/>
              </w:rPr>
              <w:t>项目</w:t>
            </w:r>
            <w:r>
              <w:rPr>
                <w:rFonts w:hint="eastAsia" w:ascii="Times New Roman" w:hAnsi="Times New Roman" w:cs="Times New Roman"/>
                <w:color w:val="000000" w:themeColor="text1"/>
                <w:sz w:val="24"/>
                <w:szCs w:val="24"/>
                <w:lang w:val="en-US"/>
              </w:rPr>
              <w:t>噪声主要为进出车辆、周围道路的交通噪声、人员社会活动噪声和医院内设置的备用抽水泵、备用发电机使用时产生的噪声，通过加强管理、设置标志牌、设置减震装置等降噪措施，项目已建成运营，</w:t>
            </w:r>
            <w:r>
              <w:rPr>
                <w:rFonts w:hint="eastAsia" w:ascii="Times New Roman" w:hAnsi="Times New Roman" w:cs="Times New Roman"/>
                <w:color w:val="000000" w:themeColor="text1"/>
                <w:sz w:val="24"/>
                <w:szCs w:val="24"/>
                <w:u w:val="single"/>
                <w:lang w:val="en-US"/>
              </w:rPr>
              <w:t>根据2023年度永福县人民医院自行监测报告得知，医院东侧厂界外1m处昼间、夜间噪声值分别为50.4dB(A)、42.8dB(A)；医院南侧厂界外1m处昼间、夜间噪声值分别为51.4dB(A)、44.0dB(A)；医院西侧厂界外1m处昼间、夜间噪声值分别为53.5dB(A)、46.6dB(A)；医院北侧厂界外1m处昼间、夜间噪声值分别为53.1dB(A)、45.0dB(A)，整个医院东侧、南侧、西侧、北侧厂界噪声均可达到《工业企业厂界环境噪声排放标准》（GB 12348-2008）中2类标准，故原有项目对周边声环境影响较小。</w:t>
            </w:r>
          </w:p>
          <w:p w14:paraId="249E01E8">
            <w:pPr>
              <w:keepNext/>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4）固废</w:t>
            </w:r>
          </w:p>
          <w:p w14:paraId="5CBBE28B">
            <w:pPr>
              <w:keepNext/>
              <w:spacing w:line="360" w:lineRule="auto"/>
              <w:ind w:firstLine="480" w:firstLineChars="200"/>
              <w:jc w:val="both"/>
              <w:rPr>
                <w:rFonts w:ascii="Times New Roman" w:hAnsi="Times New Roman"/>
                <w:color w:val="000000" w:themeColor="text1"/>
                <w:lang w:val="en-US"/>
              </w:rPr>
            </w:pPr>
            <w:r>
              <w:rPr>
                <w:rFonts w:hint="eastAsia" w:ascii="Times New Roman" w:hAnsi="Times New Roman" w:cs="Times New Roman"/>
                <w:color w:val="000000" w:themeColor="text1"/>
                <w:sz w:val="24"/>
                <w:szCs w:val="24"/>
                <w:lang w:val="en-US"/>
              </w:rPr>
              <w:t>根据医院运营统计数据，原有</w:t>
            </w:r>
            <w:r>
              <w:rPr>
                <w:rFonts w:ascii="Times New Roman" w:hAnsi="Times New Roman" w:cs="Times New Roman"/>
                <w:color w:val="000000" w:themeColor="text1"/>
                <w:sz w:val="24"/>
                <w:szCs w:val="24"/>
                <w:lang w:val="en-US"/>
              </w:rPr>
              <w:t>项目</w:t>
            </w:r>
            <w:r>
              <w:rPr>
                <w:rFonts w:hint="eastAsia" w:ascii="Times New Roman" w:hAnsi="Times New Roman" w:cs="Times New Roman"/>
                <w:color w:val="000000" w:themeColor="text1"/>
                <w:sz w:val="24"/>
                <w:szCs w:val="24"/>
                <w:lang w:val="en-US"/>
              </w:rPr>
              <w:t>医疗废物暂存于医疗废物暂存间，暂存时间不超过</w:t>
            </w:r>
            <w:r>
              <w:rPr>
                <w:rFonts w:ascii="Times New Roman" w:hAnsi="Times New Roman" w:cs="Times New Roman"/>
                <w:color w:val="000000" w:themeColor="text1"/>
                <w:sz w:val="24"/>
                <w:szCs w:val="24"/>
                <w:lang w:val="en-US"/>
              </w:rPr>
              <w:t>2天，</w:t>
            </w:r>
            <w:r>
              <w:rPr>
                <w:rFonts w:hint="eastAsia" w:ascii="Times New Roman" w:hAnsi="Times New Roman" w:cs="Times New Roman"/>
                <w:color w:val="000000" w:themeColor="text1"/>
                <w:sz w:val="24"/>
                <w:szCs w:val="24"/>
                <w:lang w:val="en-US"/>
              </w:rPr>
              <w:t>医疗废物产生量48</w:t>
            </w:r>
            <w:r>
              <w:rPr>
                <w:rFonts w:ascii="Times New Roman" w:hAnsi="Times New Roman" w:cs="Times New Roman"/>
                <w:color w:val="000000" w:themeColor="text1"/>
                <w:sz w:val="24"/>
                <w:szCs w:val="24"/>
                <w:lang w:val="en-US"/>
              </w:rPr>
              <w:t>t/a</w:t>
            </w:r>
            <w:r>
              <w:rPr>
                <w:rFonts w:hint="eastAsia" w:ascii="Times New Roman" w:hAnsi="Times New Roman" w:cs="Times New Roman"/>
                <w:color w:val="000000" w:themeColor="text1"/>
                <w:sz w:val="24"/>
                <w:szCs w:val="24"/>
                <w:lang w:val="en-US"/>
              </w:rPr>
              <w:t>、污泥及格栅渣产生量4.16</w:t>
            </w:r>
            <w:r>
              <w:rPr>
                <w:rFonts w:ascii="Times New Roman" w:hAnsi="Times New Roman" w:cs="Times New Roman"/>
                <w:color w:val="000000" w:themeColor="text1"/>
                <w:sz w:val="24"/>
                <w:szCs w:val="24"/>
                <w:lang w:val="en-US"/>
              </w:rPr>
              <w:t>t/a</w:t>
            </w:r>
            <w:r>
              <w:rPr>
                <w:rFonts w:hint="eastAsia" w:ascii="Times New Roman" w:hAnsi="Times New Roman" w:cs="Times New Roman"/>
                <w:color w:val="000000" w:themeColor="text1"/>
                <w:sz w:val="24"/>
                <w:szCs w:val="24"/>
                <w:lang w:val="en-US"/>
              </w:rPr>
              <w:t>、输液瓶（感染性的除外）产生量10.2</w:t>
            </w:r>
            <w:r>
              <w:rPr>
                <w:rFonts w:ascii="Times New Roman" w:hAnsi="Times New Roman" w:cs="Times New Roman"/>
                <w:color w:val="000000" w:themeColor="text1"/>
                <w:sz w:val="24"/>
                <w:szCs w:val="24"/>
                <w:lang w:val="en-US"/>
              </w:rPr>
              <w:t>t/a</w:t>
            </w:r>
            <w:r>
              <w:rPr>
                <w:rFonts w:hint="eastAsia" w:ascii="Times New Roman" w:hAnsi="Times New Roman" w:cs="Times New Roman"/>
                <w:color w:val="000000" w:themeColor="text1"/>
                <w:sz w:val="24"/>
                <w:szCs w:val="24"/>
                <w:lang w:val="en-US"/>
              </w:rPr>
              <w:t>，</w:t>
            </w:r>
            <w:r>
              <w:rPr>
                <w:rFonts w:ascii="Times New Roman" w:hAnsi="Times New Roman" w:cs="Times New Roman"/>
                <w:color w:val="000000" w:themeColor="text1"/>
                <w:kern w:val="2"/>
                <w:sz w:val="24"/>
                <w:szCs w:val="24"/>
                <w:lang w:val="en-US" w:bidi="ar-SA"/>
              </w:rPr>
              <w:t>医疗废物中病原体的培养基、标本和菌种、毒种保存液等高危险废物，首先在产生地点进行压力蒸汽灭菌处理</w:t>
            </w:r>
            <w:r>
              <w:rPr>
                <w:rFonts w:hint="eastAsia" w:ascii="Times New Roman" w:hAnsi="Times New Roman" w:cs="Times New Roman"/>
                <w:color w:val="000000" w:themeColor="text1"/>
                <w:kern w:val="2"/>
                <w:sz w:val="24"/>
                <w:szCs w:val="24"/>
                <w:lang w:val="en-US" w:bidi="ar-SA"/>
              </w:rPr>
              <w:t>，再交</w:t>
            </w:r>
            <w:r>
              <w:rPr>
                <w:rFonts w:ascii="Times New Roman" w:hAnsi="Times New Roman" w:cs="Times New Roman"/>
                <w:color w:val="000000" w:themeColor="text1"/>
                <w:sz w:val="24"/>
                <w:szCs w:val="24"/>
                <w:lang w:val="en-US"/>
              </w:rPr>
              <w:t>由</w:t>
            </w:r>
            <w:r>
              <w:rPr>
                <w:rFonts w:hint="eastAsia" w:ascii="Times New Roman" w:hAnsi="Times New Roman" w:cs="Times New Roman"/>
                <w:color w:val="000000" w:themeColor="text1"/>
                <w:sz w:val="24"/>
                <w:szCs w:val="24"/>
                <w:lang w:val="en-US"/>
              </w:rPr>
              <w:t>桂林高能时代环境服务有限公司</w:t>
            </w:r>
            <w:r>
              <w:rPr>
                <w:rFonts w:ascii="Times New Roman" w:hAnsi="Times New Roman" w:cs="Times New Roman"/>
                <w:color w:val="000000" w:themeColor="text1"/>
                <w:sz w:val="24"/>
                <w:szCs w:val="24"/>
                <w:lang w:val="en-US"/>
              </w:rPr>
              <w:t>处置，并执行危险废物转移联单管理制度，严禁掺入生活垃圾中倾倒；</w:t>
            </w:r>
            <w:r>
              <w:rPr>
                <w:rFonts w:hint="eastAsia" w:ascii="Times New Roman" w:hAnsi="Times New Roman" w:cs="Times New Roman"/>
                <w:color w:val="000000" w:themeColor="text1"/>
                <w:sz w:val="24"/>
                <w:szCs w:val="24"/>
                <w:lang w:val="en-US"/>
              </w:rPr>
              <w:t>污水处理站污泥及格栅渣委托桂林高能时代环境服务有限公司清理并直接运走处置，不在医院暂存；输液瓶（感染性的除外）产生量10.2</w:t>
            </w:r>
            <w:r>
              <w:rPr>
                <w:rFonts w:ascii="Times New Roman" w:hAnsi="Times New Roman" w:cs="Times New Roman"/>
                <w:color w:val="000000" w:themeColor="text1"/>
                <w:sz w:val="24"/>
                <w:szCs w:val="24"/>
                <w:lang w:val="en-US"/>
              </w:rPr>
              <w:t>t/a</w:t>
            </w:r>
            <w:r>
              <w:rPr>
                <w:rFonts w:hint="eastAsia" w:ascii="Times New Roman" w:hAnsi="Times New Roman" w:cs="Times New Roman"/>
                <w:color w:val="000000" w:themeColor="text1"/>
                <w:sz w:val="24"/>
                <w:szCs w:val="24"/>
                <w:lang w:val="en-US"/>
              </w:rPr>
              <w:t>，委托广西纳尔环保科技有限公司处理；</w:t>
            </w:r>
            <w:r>
              <w:rPr>
                <w:rFonts w:ascii="Times New Roman" w:hAnsi="Times New Roman" w:cs="Times New Roman"/>
                <w:color w:val="000000" w:themeColor="text1"/>
                <w:sz w:val="24"/>
                <w:szCs w:val="24"/>
                <w:lang w:val="en-US"/>
              </w:rPr>
              <w:t>生活垃圾</w:t>
            </w:r>
            <w:r>
              <w:rPr>
                <w:rFonts w:hint="eastAsia" w:ascii="Times New Roman" w:hAnsi="Times New Roman" w:cs="Times New Roman"/>
                <w:color w:val="000000" w:themeColor="text1"/>
                <w:sz w:val="24"/>
                <w:szCs w:val="24"/>
                <w:lang w:val="en-US"/>
              </w:rPr>
              <w:t>产生量267</w:t>
            </w:r>
            <w:r>
              <w:rPr>
                <w:rFonts w:ascii="Times New Roman" w:hAnsi="Times New Roman" w:cs="Times New Roman"/>
                <w:color w:val="000000" w:themeColor="text1"/>
                <w:sz w:val="24"/>
                <w:szCs w:val="24"/>
                <w:lang w:val="en-US"/>
              </w:rPr>
              <w:t>t/a</w:t>
            </w:r>
            <w:r>
              <w:rPr>
                <w:rFonts w:hint="eastAsia"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交由环卫部门清运</w:t>
            </w:r>
            <w:r>
              <w:rPr>
                <w:rFonts w:hint="eastAsia" w:ascii="Times New Roman" w:hAnsi="Times New Roman" w:cs="Times New Roman"/>
                <w:color w:val="000000" w:themeColor="text1"/>
                <w:sz w:val="24"/>
                <w:szCs w:val="24"/>
                <w:lang w:val="en-US"/>
              </w:rPr>
              <w:t>处置</w:t>
            </w:r>
            <w:r>
              <w:rPr>
                <w:rFonts w:ascii="Times New Roman" w:hAnsi="Times New Roman" w:cs="Times New Roman"/>
                <w:color w:val="000000" w:themeColor="text1"/>
                <w:sz w:val="24"/>
                <w:szCs w:val="24"/>
                <w:lang w:val="en-US"/>
              </w:rPr>
              <w:t>。</w:t>
            </w:r>
            <w:r>
              <w:rPr>
                <w:rFonts w:hint="eastAsia" w:ascii="Times New Roman" w:hAnsi="Times New Roman" w:cs="Times New Roman"/>
                <w:color w:val="000000" w:themeColor="text1"/>
                <w:sz w:val="24"/>
                <w:szCs w:val="24"/>
                <w:lang w:val="en-US"/>
              </w:rPr>
              <w:t>项目已建危废暂存间位于本项目东侧，建筑</w:t>
            </w:r>
            <w:r>
              <w:rPr>
                <w:rFonts w:hint="eastAsia" w:ascii="Times New Roman" w:hAnsi="Times New Roman"/>
                <w:bCs/>
                <w:color w:val="000000" w:themeColor="text1"/>
                <w:sz w:val="24"/>
              </w:rPr>
              <w:t>面积约</w:t>
            </w:r>
            <w:r>
              <w:rPr>
                <w:rFonts w:hint="eastAsia" w:ascii="Times New Roman" w:hAnsi="Times New Roman"/>
                <w:bCs/>
                <w:color w:val="000000" w:themeColor="text1"/>
                <w:sz w:val="24"/>
                <w:lang w:val="en-US"/>
              </w:rPr>
              <w:t>20</w:t>
            </w:r>
            <w:r>
              <w:rPr>
                <w:rFonts w:ascii="Times New Roman" w:hAnsi="Times New Roman"/>
                <w:color w:val="000000" w:themeColor="text1"/>
                <w:sz w:val="24"/>
              </w:rPr>
              <w:t>m</w:t>
            </w:r>
            <w:r>
              <w:rPr>
                <w:rFonts w:ascii="Times New Roman" w:hAnsi="Times New Roman"/>
                <w:color w:val="000000" w:themeColor="text1"/>
                <w:sz w:val="24"/>
                <w:vertAlign w:val="superscript"/>
              </w:rPr>
              <w:t>2</w:t>
            </w:r>
            <w:r>
              <w:rPr>
                <w:rFonts w:ascii="Times New Roman" w:hAnsi="Times New Roman" w:cs="Times New Roman"/>
                <w:color w:val="000000" w:themeColor="text1"/>
                <w:sz w:val="24"/>
                <w:szCs w:val="24"/>
                <w:lang w:val="en-US"/>
              </w:rPr>
              <w:t>，</w:t>
            </w:r>
            <w:r>
              <w:rPr>
                <w:rFonts w:hint="eastAsia" w:ascii="Times New Roman" w:hAnsi="Times New Roman" w:cs="Times New Roman"/>
                <w:color w:val="000000" w:themeColor="text1"/>
                <w:sz w:val="24"/>
                <w:szCs w:val="24"/>
                <w:lang w:val="en-US"/>
              </w:rPr>
              <w:t>已做好防风、防雨、防渗、防盗等措施。</w:t>
            </w:r>
          </w:p>
          <w:p w14:paraId="2EEED05B">
            <w:pPr>
              <w:keepNext/>
              <w:numPr>
                <w:ilvl w:val="0"/>
                <w:numId w:val="4"/>
              </w:numPr>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在建项目污染物产排情况及环保措施</w:t>
            </w:r>
          </w:p>
          <w:p w14:paraId="1ABBEF14">
            <w:pPr>
              <w:keepNext/>
              <w:spacing w:line="360" w:lineRule="auto"/>
              <w:ind w:firstLine="480" w:firstLineChars="200"/>
              <w:jc w:val="both"/>
              <w:rPr>
                <w:rFonts w:ascii="Times New Roman" w:hAnsi="Times New Roman"/>
                <w:color w:val="000000" w:themeColor="text1"/>
                <w:sz w:val="24"/>
                <w:szCs w:val="24"/>
              </w:rPr>
            </w:pPr>
            <w:r>
              <w:rPr>
                <w:rFonts w:hint="eastAsia" w:ascii="Times New Roman" w:hAnsi="Times New Roman"/>
                <w:bCs/>
                <w:color w:val="000000" w:themeColor="text1"/>
                <w:sz w:val="24"/>
                <w:szCs w:val="24"/>
                <w:lang w:val="en-US"/>
              </w:rPr>
              <w:t>由于在建项目正在建设未投入使用，本次环评</w:t>
            </w:r>
            <w:r>
              <w:rPr>
                <w:rFonts w:hint="eastAsia" w:ascii="Times New Roman" w:hAnsi="Times New Roman" w:cs="Times New Roman"/>
                <w:color w:val="000000" w:themeColor="text1"/>
                <w:sz w:val="24"/>
                <w:szCs w:val="24"/>
                <w:lang w:val="en-US"/>
              </w:rPr>
              <w:t>在建项目的污染物产排情况及环保措施</w:t>
            </w:r>
            <w:r>
              <w:rPr>
                <w:rFonts w:hint="eastAsia" w:ascii="Times New Roman" w:hAnsi="Times New Roman"/>
                <w:bCs/>
                <w:color w:val="000000" w:themeColor="text1"/>
                <w:sz w:val="24"/>
                <w:szCs w:val="24"/>
                <w:lang w:val="en-US"/>
              </w:rPr>
              <w:t>根据《永福县人民医院专病综合楼建设项目环境影响报告表》及其环评批复，文号：永环审表字〔2022〕9号，</w:t>
            </w:r>
            <w:r>
              <w:rPr>
                <w:rFonts w:hint="eastAsia" w:ascii="Times New Roman" w:hAnsi="Times New Roman" w:cs="Times New Roman"/>
                <w:color w:val="000000" w:themeColor="text1"/>
                <w:sz w:val="24"/>
                <w:szCs w:val="24"/>
                <w:lang w:val="en-US"/>
              </w:rPr>
              <w:t>其具体情况如下：</w:t>
            </w:r>
          </w:p>
          <w:p w14:paraId="36CF98B3">
            <w:pPr>
              <w:keepNext/>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1）废气</w:t>
            </w:r>
          </w:p>
          <w:p w14:paraId="5521DAFA">
            <w:pPr>
              <w:keepNext/>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在建专病综合楼</w:t>
            </w:r>
            <w:r>
              <w:rPr>
                <w:rFonts w:ascii="Times New Roman" w:hAnsi="Times New Roman" w:cs="Times New Roman"/>
                <w:color w:val="000000" w:themeColor="text1"/>
                <w:sz w:val="24"/>
                <w:szCs w:val="24"/>
                <w:lang w:val="en-US"/>
              </w:rPr>
              <w:t>废气主要为</w:t>
            </w:r>
            <w:r>
              <w:rPr>
                <w:rFonts w:hint="eastAsia" w:ascii="Times New Roman" w:hAnsi="Times New Roman" w:cs="Times New Roman"/>
                <w:color w:val="000000" w:themeColor="text1"/>
                <w:sz w:val="24"/>
                <w:szCs w:val="24"/>
                <w:lang w:val="en-US"/>
              </w:rPr>
              <w:t>污水处理站</w:t>
            </w:r>
            <w:r>
              <w:rPr>
                <w:rFonts w:ascii="Times New Roman" w:hAnsi="Times New Roman" w:cs="Times New Roman"/>
                <w:color w:val="000000" w:themeColor="text1"/>
                <w:sz w:val="24"/>
                <w:szCs w:val="24"/>
                <w:lang w:val="en-US"/>
              </w:rPr>
              <w:t>恶臭气体。</w:t>
            </w:r>
            <w:r>
              <w:rPr>
                <w:rFonts w:hint="eastAsia" w:ascii="Times New Roman" w:hAnsi="Times New Roman" w:cs="Times New Roman"/>
                <w:color w:val="000000" w:themeColor="text1"/>
                <w:sz w:val="24"/>
                <w:szCs w:val="24"/>
                <w:lang w:val="en-US"/>
              </w:rPr>
              <w:t>项目废水依托污水综合处理站，污水处理站采用地埋式污水处理，构筑物全部加盖。项目新增除臭除味处理，采用“植物液除臭塔”的除臭工艺，医院污水处理站废气经处理后符合《医疗机构水污染物排放标准》（GB18466-2005）中表3要求，对周边居民点的影响不大。</w:t>
            </w:r>
          </w:p>
          <w:p w14:paraId="0EDA7B65">
            <w:pPr>
              <w:keepNext/>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2）废水</w:t>
            </w:r>
          </w:p>
          <w:p w14:paraId="6EBC8B9C">
            <w:pPr>
              <w:keepNext/>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在建专病综合楼新增医疗废水、住院病人食堂废水，医疗废水依托综合污水处理站处理，满足《医疗机构水污染物排放标准》(GB18466-2005)预处理标准后排入市政污水管网；住院病人</w:t>
            </w:r>
            <w:r>
              <w:rPr>
                <w:rFonts w:hint="eastAsia" w:ascii="Times New Roman" w:hAnsi="Times New Roman"/>
                <w:color w:val="000000" w:themeColor="text1"/>
                <w:sz w:val="24"/>
              </w:rPr>
              <w:t>食堂废水</w:t>
            </w:r>
            <w:r>
              <w:rPr>
                <w:rFonts w:hint="eastAsia" w:ascii="Times New Roman" w:hAnsi="Times New Roman"/>
                <w:color w:val="000000" w:themeColor="text1"/>
                <w:sz w:val="24"/>
                <w:lang w:val="en-US"/>
              </w:rPr>
              <w:t>依托原有</w:t>
            </w:r>
            <w:r>
              <w:rPr>
                <w:rFonts w:hint="eastAsia" w:ascii="Times New Roman" w:hAnsi="Times New Roman"/>
                <w:color w:val="000000" w:themeColor="text1"/>
                <w:sz w:val="24"/>
              </w:rPr>
              <w:t>隔油池+化粪池处理后达到《污水综合排放标准》（GB 8978-1996）表4三级标准后</w:t>
            </w:r>
            <w:r>
              <w:rPr>
                <w:rFonts w:ascii="Times New Roman" w:hAnsi="Times New Roman"/>
                <w:color w:val="000000" w:themeColor="text1"/>
                <w:sz w:val="24"/>
              </w:rPr>
              <w:t>排入</w:t>
            </w:r>
            <w:r>
              <w:rPr>
                <w:rFonts w:hint="eastAsia" w:ascii="Times New Roman" w:hAnsi="Times New Roman"/>
                <w:color w:val="000000" w:themeColor="text1"/>
                <w:sz w:val="24"/>
              </w:rPr>
              <w:t>永福县益源污水处理厂</w:t>
            </w:r>
            <w:r>
              <w:rPr>
                <w:rFonts w:hint="eastAsia" w:ascii="Times New Roman" w:hAnsi="Times New Roman" w:cs="Times New Roman"/>
                <w:color w:val="000000" w:themeColor="text1"/>
                <w:sz w:val="24"/>
                <w:szCs w:val="24"/>
                <w:lang w:val="en-US"/>
              </w:rPr>
              <w:t>。在建项目医疗废水量约为176.66</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（64480.9</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kern w:val="2"/>
                <w:sz w:val="24"/>
                <w:szCs w:val="24"/>
                <w:lang w:val="en-US" w:bidi="ar-SA"/>
              </w:rPr>
              <w:t>）、</w:t>
            </w:r>
            <w:r>
              <w:rPr>
                <w:rFonts w:hint="eastAsia" w:ascii="Times New Roman" w:hAnsi="Times New Roman" w:cs="Times New Roman"/>
                <w:color w:val="000000" w:themeColor="text1"/>
                <w:sz w:val="24"/>
                <w:szCs w:val="24"/>
                <w:lang w:val="en-US"/>
              </w:rPr>
              <w:t>住院病人</w:t>
            </w:r>
            <w:r>
              <w:rPr>
                <w:rFonts w:hint="eastAsia" w:ascii="Times New Roman" w:hAnsi="Times New Roman" w:cs="Times New Roman"/>
                <w:color w:val="000000" w:themeColor="text1"/>
                <w:kern w:val="2"/>
                <w:sz w:val="24"/>
                <w:szCs w:val="24"/>
                <w:lang w:val="en-US" w:bidi="ar-SA"/>
              </w:rPr>
              <w:t>食堂废水</w:t>
            </w:r>
            <w:r>
              <w:rPr>
                <w:rFonts w:hint="eastAsia" w:ascii="Times New Roman" w:hAnsi="Times New Roman" w:cs="Times New Roman"/>
                <w:color w:val="000000" w:themeColor="text1"/>
                <w:sz w:val="24"/>
                <w:szCs w:val="24"/>
                <w:lang w:val="en-US"/>
              </w:rPr>
              <w:t>量约为2.5</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（912.5</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kern w:val="2"/>
                <w:sz w:val="24"/>
                <w:szCs w:val="24"/>
                <w:lang w:val="en-US" w:bidi="ar-SA"/>
              </w:rPr>
              <w:t>）。</w:t>
            </w:r>
          </w:p>
          <w:p w14:paraId="5244C92C">
            <w:pPr>
              <w:keepNext/>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3）噪声</w:t>
            </w:r>
          </w:p>
          <w:p w14:paraId="33E66D3C">
            <w:pPr>
              <w:keepNext/>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项目医疗设备噪声源强均较小，主要噪声来自人员喧哗。人员喧哗噪声强度在45~65dB(A)之间。院内种植高大树木，修建围墙，在建项目对医院东侧厂界噪声贡献值为46.94dB(A)；南侧厂界噪声贡献值为23.06dB(A)；西侧厂界噪声贡献值为25.45dB(A)；北侧厂界噪声贡献值为25.18dB(A)，厂界噪声能够达到《工业企业厂界环境噪声排放标准》（GB 12348-2008）中2类标准。</w:t>
            </w:r>
          </w:p>
          <w:p w14:paraId="29F95EE1">
            <w:pPr>
              <w:keepNext/>
              <w:spacing w:line="360" w:lineRule="auto"/>
              <w:ind w:firstLine="480" w:firstLineChars="200"/>
              <w:jc w:val="both"/>
              <w:rPr>
                <w:rFonts w:ascii="Times New Roman" w:hAnsi="Times New Roman" w:cs="Times New Roman"/>
                <w:color w:val="000000" w:themeColor="text1"/>
                <w:sz w:val="24"/>
                <w:szCs w:val="24"/>
                <w:lang w:val="en-US"/>
              </w:rPr>
            </w:pPr>
            <w:r>
              <w:rPr>
                <w:rFonts w:hint="eastAsia" w:ascii="Times New Roman" w:hAnsi="Times New Roman" w:cs="Times New Roman"/>
                <w:color w:val="000000" w:themeColor="text1"/>
                <w:sz w:val="24"/>
                <w:szCs w:val="24"/>
                <w:lang w:val="en-US"/>
              </w:rPr>
              <w:t>4）固废</w:t>
            </w:r>
          </w:p>
          <w:p w14:paraId="5EB9AD89">
            <w:pPr>
              <w:keepNext/>
              <w:spacing w:line="360" w:lineRule="auto"/>
              <w:ind w:firstLine="480" w:firstLineChars="200"/>
              <w:jc w:val="both"/>
              <w:rPr>
                <w:rFonts w:hint="eastAsia"/>
                <w:color w:val="000000" w:themeColor="text1"/>
                <w:lang w:val="en-US"/>
              </w:rPr>
            </w:pPr>
            <w:r>
              <w:rPr>
                <w:rFonts w:hint="eastAsia" w:ascii="Times New Roman" w:hAnsi="Times New Roman" w:cs="Times New Roman"/>
                <w:color w:val="000000" w:themeColor="text1"/>
                <w:sz w:val="24"/>
                <w:szCs w:val="24"/>
                <w:lang w:val="en-US"/>
              </w:rPr>
              <w:t>在建专病综合楼建成后，新增医疗废物（产生量71.15</w:t>
            </w:r>
            <w:r>
              <w:rPr>
                <w:rFonts w:ascii="Times New Roman" w:hAnsi="Times New Roman" w:cs="Times New Roman"/>
                <w:color w:val="000000" w:themeColor="text1"/>
                <w:sz w:val="24"/>
                <w:szCs w:val="24"/>
                <w:lang w:val="en-US"/>
              </w:rPr>
              <w:t>t/a</w:t>
            </w:r>
            <w:r>
              <w:rPr>
                <w:rFonts w:hint="eastAsia" w:ascii="Times New Roman" w:hAnsi="Times New Roman" w:cs="Times New Roman"/>
                <w:color w:val="000000" w:themeColor="text1"/>
                <w:sz w:val="24"/>
                <w:szCs w:val="24"/>
                <w:lang w:val="en-US"/>
              </w:rPr>
              <w:t>）暂存于医疗废物暂存间，</w:t>
            </w:r>
            <w:r>
              <w:rPr>
                <w:rFonts w:ascii="Times New Roman" w:hAnsi="Times New Roman" w:cs="Times New Roman"/>
                <w:color w:val="000000" w:themeColor="text1"/>
                <w:sz w:val="24"/>
                <w:szCs w:val="24"/>
                <w:lang w:val="en-US"/>
              </w:rPr>
              <w:t>定期交由</w:t>
            </w:r>
            <w:r>
              <w:rPr>
                <w:rFonts w:hint="eastAsia" w:ascii="Times New Roman" w:hAnsi="Times New Roman" w:cs="Times New Roman"/>
                <w:color w:val="000000" w:themeColor="text1"/>
                <w:sz w:val="24"/>
                <w:szCs w:val="24"/>
                <w:lang w:val="en-US"/>
              </w:rPr>
              <w:t>桂林高能时代环境服务有限公司处置</w:t>
            </w:r>
            <w:r>
              <w:rPr>
                <w:rFonts w:ascii="Times New Roman" w:hAnsi="Times New Roman" w:cs="Times New Roman"/>
                <w:color w:val="000000" w:themeColor="text1"/>
                <w:sz w:val="24"/>
                <w:szCs w:val="24"/>
                <w:lang w:val="en-US"/>
              </w:rPr>
              <w:t>；</w:t>
            </w:r>
            <w:r>
              <w:rPr>
                <w:rFonts w:hint="eastAsia" w:ascii="Times New Roman" w:hAnsi="Times New Roman" w:cs="Times New Roman"/>
                <w:color w:val="000000" w:themeColor="text1"/>
                <w:sz w:val="24"/>
                <w:szCs w:val="24"/>
                <w:lang w:val="en-US"/>
              </w:rPr>
              <w:t>污泥及格栅渣产生量2.48</w:t>
            </w:r>
            <w:r>
              <w:rPr>
                <w:rFonts w:ascii="Times New Roman" w:hAnsi="Times New Roman" w:cs="Times New Roman"/>
                <w:color w:val="000000" w:themeColor="text1"/>
                <w:sz w:val="24"/>
                <w:szCs w:val="24"/>
                <w:lang w:val="en-US"/>
              </w:rPr>
              <w:t>t/a</w:t>
            </w:r>
            <w:r>
              <w:rPr>
                <w:rFonts w:hint="eastAsia" w:ascii="Times New Roman" w:hAnsi="Times New Roman" w:cs="Times New Roman"/>
                <w:color w:val="000000" w:themeColor="text1"/>
                <w:sz w:val="24"/>
                <w:szCs w:val="24"/>
                <w:lang w:val="en-US"/>
              </w:rPr>
              <w:t>，委托桂林高能时代环境服务有限公司清理并直接运走处置，不在医院暂存；输液瓶（感染性的除外）产生量4.6</w:t>
            </w:r>
            <w:r>
              <w:rPr>
                <w:rFonts w:ascii="Times New Roman" w:hAnsi="Times New Roman" w:cs="Times New Roman"/>
                <w:color w:val="000000" w:themeColor="text1"/>
                <w:sz w:val="24"/>
                <w:szCs w:val="24"/>
                <w:lang w:val="en-US"/>
              </w:rPr>
              <w:t>t/a</w:t>
            </w:r>
            <w:r>
              <w:rPr>
                <w:rFonts w:hint="eastAsia" w:ascii="Times New Roman" w:hAnsi="Times New Roman" w:cs="Times New Roman"/>
                <w:color w:val="000000" w:themeColor="text1"/>
                <w:sz w:val="24"/>
                <w:szCs w:val="24"/>
                <w:lang w:val="en-US"/>
              </w:rPr>
              <w:t>，委托广西纳尔环保科技有限公司处理；在建项目不新增员工，不新增员工</w:t>
            </w:r>
            <w:r>
              <w:rPr>
                <w:rFonts w:ascii="Times New Roman" w:hAnsi="Times New Roman" w:cs="Times New Roman"/>
                <w:color w:val="000000" w:themeColor="text1"/>
                <w:sz w:val="24"/>
                <w:szCs w:val="24"/>
                <w:lang w:val="en-US"/>
              </w:rPr>
              <w:t>生活垃圾</w:t>
            </w:r>
            <w:r>
              <w:rPr>
                <w:rFonts w:hint="eastAsia" w:ascii="Times New Roman" w:hAnsi="Times New Roman" w:cs="Times New Roman"/>
                <w:color w:val="000000" w:themeColor="text1"/>
                <w:sz w:val="24"/>
                <w:szCs w:val="24"/>
                <w:lang w:val="en-US"/>
              </w:rPr>
              <w:t>，住院病人生活垃圾产生量46t/a。</w:t>
            </w:r>
          </w:p>
          <w:p w14:paraId="14434BC5">
            <w:pPr>
              <w:pStyle w:val="26"/>
              <w:spacing w:line="360" w:lineRule="auto"/>
              <w:ind w:firstLine="482"/>
              <w:rPr>
                <w:rFonts w:ascii="Times New Roman" w:hAnsi="Times New Roman" w:cs="Times New Roman"/>
                <w:b/>
                <w:bCs/>
                <w:color w:val="000000" w:themeColor="text1"/>
              </w:rPr>
            </w:pPr>
            <w:r>
              <w:rPr>
                <w:rFonts w:hint="eastAsia" w:ascii="Times New Roman" w:hAnsi="Times New Roman" w:cs="Times New Roman"/>
                <w:b/>
                <w:bCs/>
                <w:color w:val="000000" w:themeColor="text1"/>
              </w:rPr>
              <w:t>4</w:t>
            </w:r>
            <w:r>
              <w:rPr>
                <w:rFonts w:ascii="Times New Roman" w:hAnsi="Times New Roman" w:cs="Times New Roman"/>
                <w:b/>
                <w:bCs/>
                <w:color w:val="000000" w:themeColor="text1"/>
              </w:rPr>
              <w:t xml:space="preserve">、与该项目有关的主要环境问题及以新带老措施 </w:t>
            </w:r>
          </w:p>
          <w:p w14:paraId="74BE86BA">
            <w:pPr>
              <w:spacing w:line="360" w:lineRule="auto"/>
              <w:ind w:firstLine="480" w:firstLineChars="200"/>
              <w:rPr>
                <w:rFonts w:ascii="Times New Roman" w:hAnsi="Times New Roman" w:cs="Times New Roman"/>
                <w:color w:val="000000" w:themeColor="text1"/>
                <w:sz w:val="24"/>
                <w:szCs w:val="24"/>
                <w:lang w:val="en-US"/>
              </w:rPr>
            </w:pPr>
            <w:r>
              <w:rPr>
                <w:rFonts w:hint="eastAsia" w:ascii="Times New Roman" w:hAnsi="Times New Roman"/>
                <w:color w:val="000000" w:themeColor="text1"/>
                <w:sz w:val="24"/>
                <w:szCs w:val="24"/>
                <w:lang w:val="en-US"/>
              </w:rPr>
              <w:t>根据现场踏勘及资料查阅、原项目运行情况，原有工程污染环保设施完善，污染物均做到了妥善处置及达标排放，对区域环境影响较小</w:t>
            </w:r>
            <w:r>
              <w:rPr>
                <w:rFonts w:hint="eastAsia" w:ascii="Times New Roman" w:hAnsi="Times New Roman" w:cs="Times New Roman"/>
                <w:color w:val="000000" w:themeColor="text1"/>
                <w:sz w:val="24"/>
                <w:szCs w:val="24"/>
                <w:lang w:val="en-US"/>
              </w:rPr>
              <w:t>，无环境遗留问题，且医院2023年5月15日取得排污许可证（编号为12450326MB00980795001U），因此本项目无</w:t>
            </w:r>
            <w:r>
              <w:rPr>
                <w:rFonts w:ascii="Times New Roman" w:hAnsi="Times New Roman" w:cs="Times New Roman"/>
                <w:color w:val="000000" w:themeColor="text1"/>
                <w:sz w:val="24"/>
                <w:szCs w:val="24"/>
                <w:lang w:val="en-US"/>
              </w:rPr>
              <w:t>以新带老措施。</w:t>
            </w:r>
          </w:p>
          <w:p w14:paraId="4C437652">
            <w:pPr>
              <w:pStyle w:val="26"/>
              <w:numPr>
                <w:ilvl w:val="0"/>
                <w:numId w:val="5"/>
              </w:numPr>
              <w:spacing w:line="360" w:lineRule="auto"/>
              <w:ind w:firstLine="482"/>
              <w:rPr>
                <w:rFonts w:ascii="Times New Roman" w:hAnsi="Times New Roman" w:cs="Times New Roman"/>
                <w:b/>
                <w:bCs/>
                <w:color w:val="000000" w:themeColor="text1"/>
                <w:lang w:val="en-US"/>
              </w:rPr>
            </w:pPr>
            <w:r>
              <w:rPr>
                <w:rFonts w:hint="eastAsia" w:ascii="Times New Roman" w:hAnsi="Times New Roman" w:cs="Times New Roman"/>
                <w:b/>
                <w:bCs/>
                <w:color w:val="000000" w:themeColor="text1"/>
                <w:lang w:val="en-US"/>
              </w:rPr>
              <w:t>三本账</w:t>
            </w:r>
          </w:p>
          <w:p w14:paraId="531EFF3B">
            <w:pPr>
              <w:pStyle w:val="26"/>
              <w:spacing w:line="360" w:lineRule="auto"/>
              <w:ind w:firstLine="480"/>
              <w:rPr>
                <w:rFonts w:ascii="Times New Roman" w:hAnsi="Times New Roman" w:cs="Times New Roman"/>
                <w:color w:val="000000" w:themeColor="text1"/>
                <w:lang w:val="en-US"/>
              </w:rPr>
            </w:pPr>
            <w:r>
              <w:rPr>
                <w:rFonts w:hint="eastAsia" w:ascii="Times New Roman" w:hAnsi="Times New Roman" w:cs="Times New Roman"/>
                <w:color w:val="000000" w:themeColor="text1"/>
                <w:lang w:val="en-US"/>
              </w:rPr>
              <w:t>项目扩建前后三本账计算详见附表“建设项目污染物排放量汇总表”。</w:t>
            </w:r>
          </w:p>
          <w:p w14:paraId="6732534C">
            <w:pPr>
              <w:rPr>
                <w:rFonts w:hint="eastAsia"/>
                <w:color w:val="000000" w:themeColor="text1"/>
                <w:lang w:val="en-US"/>
              </w:rPr>
            </w:pPr>
          </w:p>
          <w:p w14:paraId="10B274C9">
            <w:pPr>
              <w:pStyle w:val="25"/>
              <w:ind w:left="440" w:firstLine="440"/>
              <w:rPr>
                <w:rFonts w:hint="eastAsia"/>
                <w:color w:val="000000" w:themeColor="text1"/>
                <w:lang w:val="en-US"/>
              </w:rPr>
            </w:pPr>
          </w:p>
          <w:p w14:paraId="29370542">
            <w:pPr>
              <w:pStyle w:val="26"/>
              <w:ind w:firstLine="480"/>
              <w:rPr>
                <w:color w:val="000000" w:themeColor="text1"/>
                <w:lang w:val="en-US"/>
              </w:rPr>
            </w:pPr>
          </w:p>
          <w:p w14:paraId="3ED17E55">
            <w:pPr>
              <w:pStyle w:val="26"/>
              <w:ind w:firstLine="0" w:firstLineChars="0"/>
              <w:rPr>
                <w:color w:val="000000" w:themeColor="text1"/>
                <w:lang w:val="en-US"/>
              </w:rPr>
            </w:pPr>
          </w:p>
        </w:tc>
      </w:tr>
    </w:tbl>
    <w:p w14:paraId="3D39FC07">
      <w:pPr>
        <w:pStyle w:val="2"/>
        <w:ind w:left="0" w:right="0"/>
        <w:jc w:val="both"/>
        <w:rPr>
          <w:rFonts w:ascii="Times New Roman" w:hAnsi="Times New Roman" w:eastAsia="宋体" w:cs="Times New Roman"/>
          <w:b/>
          <w:bCs/>
          <w:sz w:val="30"/>
          <w:szCs w:val="30"/>
        </w:rPr>
      </w:pPr>
    </w:p>
    <w:p w14:paraId="74866112">
      <w:pPr>
        <w:pStyle w:val="2"/>
        <w:ind w:left="0" w:right="0" w:firstLine="602"/>
        <w:rPr>
          <w:rFonts w:ascii="Times New Roman" w:hAnsi="Times New Roman" w:eastAsia="宋体" w:cs="Times New Roman"/>
          <w:b/>
          <w:bCs/>
          <w:sz w:val="30"/>
          <w:szCs w:val="30"/>
        </w:rPr>
      </w:pPr>
    </w:p>
    <w:p w14:paraId="6246E925">
      <w:pPr>
        <w:pStyle w:val="2"/>
        <w:ind w:left="0" w:right="0" w:firstLine="602"/>
        <w:rPr>
          <w:rFonts w:ascii="Times New Roman" w:hAnsi="Times New Roman" w:eastAsia="宋体" w:cs="Times New Roman"/>
        </w:rPr>
      </w:pPr>
      <w:r>
        <w:rPr>
          <w:rFonts w:ascii="Times New Roman" w:hAnsi="Times New Roman" w:eastAsia="宋体" w:cs="Times New Roman"/>
          <w:b/>
          <w:bCs/>
          <w:sz w:val="30"/>
          <w:szCs w:val="30"/>
        </w:rPr>
        <w:t>三、区域环境质量现状、环境保护目标及评价标准</w:t>
      </w:r>
      <w:bookmarkEnd w:id="8"/>
      <w:bookmarkEnd w:id="9"/>
      <w:bookmarkEnd w:id="10"/>
      <w:bookmarkEnd w:id="11"/>
    </w:p>
    <w:tbl>
      <w:tblPr>
        <w:tblStyle w:val="27"/>
        <w:tblW w:w="92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30"/>
        <w:gridCol w:w="8730"/>
      </w:tblGrid>
      <w:tr w14:paraId="54673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286" w:type="pct"/>
            <w:tcBorders>
              <w:bottom w:val="single" w:color="000000" w:sz="4" w:space="0"/>
              <w:right w:val="single" w:color="000000" w:sz="4" w:space="0"/>
            </w:tcBorders>
            <w:vAlign w:val="center"/>
          </w:tcPr>
          <w:p w14:paraId="556B2926">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区域环境质量现状</w:t>
            </w:r>
          </w:p>
        </w:tc>
        <w:tc>
          <w:tcPr>
            <w:tcW w:w="4713" w:type="pct"/>
            <w:tcBorders>
              <w:left w:val="single" w:color="000000" w:sz="4" w:space="0"/>
              <w:bottom w:val="single" w:color="000000" w:sz="4" w:space="0"/>
            </w:tcBorders>
          </w:tcPr>
          <w:p w14:paraId="0B16888D">
            <w:pPr>
              <w:overflowPunct w:val="0"/>
              <w:autoSpaceDE/>
              <w:autoSpaceDN/>
              <w:spacing w:line="360" w:lineRule="auto"/>
              <w:ind w:firstLine="480" w:firstLineChars="200"/>
              <w:jc w:val="both"/>
              <w:rPr>
                <w:rFonts w:ascii="Times New Roman" w:hAnsi="Times New Roman" w:cs="Times New Roman"/>
                <w:color w:val="000000" w:themeColor="text1"/>
                <w:kern w:val="2"/>
                <w:sz w:val="24"/>
                <w:szCs w:val="20"/>
                <w:lang w:val="en-US" w:bidi="ar-SA"/>
              </w:rPr>
            </w:pPr>
            <w:r>
              <w:rPr>
                <w:rFonts w:ascii="Times New Roman" w:hAnsi="Times New Roman" w:cs="Times New Roman"/>
                <w:color w:val="000000" w:themeColor="text1"/>
                <w:kern w:val="2"/>
                <w:sz w:val="24"/>
                <w:szCs w:val="20"/>
                <w:lang w:val="en-US" w:bidi="ar-SA"/>
              </w:rPr>
              <w:t>根据</w:t>
            </w:r>
            <w:r>
              <w:rPr>
                <w:rFonts w:hint="eastAsia" w:ascii="Times New Roman" w:hAnsi="Times New Roman" w:cs="Times New Roman"/>
                <w:color w:val="000000" w:themeColor="text1"/>
                <w:kern w:val="2"/>
                <w:sz w:val="24"/>
                <w:szCs w:val="20"/>
                <w:lang w:val="en-US" w:bidi="ar-SA"/>
              </w:rPr>
              <w:t>项目</w:t>
            </w:r>
            <w:r>
              <w:rPr>
                <w:rFonts w:ascii="Times New Roman" w:hAnsi="Times New Roman" w:cs="Times New Roman"/>
                <w:color w:val="000000" w:themeColor="text1"/>
                <w:kern w:val="2"/>
                <w:sz w:val="24"/>
                <w:szCs w:val="20"/>
                <w:lang w:val="en-US" w:bidi="ar-SA"/>
              </w:rPr>
              <w:t>的特点及评价区的环境特征，确定对该项目所在地的空气环境、水环境、声环境及生态环境进行调查并</w:t>
            </w:r>
            <w:r>
              <w:rPr>
                <w:rFonts w:hint="eastAsia" w:ascii="Times New Roman" w:hAnsi="Times New Roman" w:cs="Times New Roman"/>
                <w:color w:val="000000" w:themeColor="text1"/>
                <w:kern w:val="2"/>
                <w:sz w:val="24"/>
                <w:szCs w:val="20"/>
                <w:lang w:val="en-US" w:bidi="ar-SA"/>
              </w:rPr>
              <w:t>作出评价</w:t>
            </w:r>
            <w:r>
              <w:rPr>
                <w:rFonts w:ascii="Times New Roman" w:hAnsi="Times New Roman" w:cs="Times New Roman"/>
                <w:color w:val="000000" w:themeColor="text1"/>
                <w:kern w:val="2"/>
                <w:sz w:val="24"/>
                <w:szCs w:val="20"/>
                <w:lang w:val="en-US" w:bidi="ar-SA"/>
              </w:rPr>
              <w:t>。</w:t>
            </w:r>
          </w:p>
          <w:p w14:paraId="7A81325B">
            <w:pPr>
              <w:overflowPunct w:val="0"/>
              <w:autoSpaceDE/>
              <w:autoSpaceDN/>
              <w:spacing w:line="360" w:lineRule="auto"/>
              <w:ind w:firstLine="482" w:firstLineChars="200"/>
              <w:jc w:val="both"/>
              <w:rPr>
                <w:rFonts w:ascii="Times New Roman" w:hAnsi="Times New Roman" w:cs="Times New Roman"/>
                <w:b/>
                <w:color w:val="000000" w:themeColor="text1"/>
                <w:kern w:val="2"/>
                <w:sz w:val="24"/>
                <w:szCs w:val="20"/>
                <w:lang w:val="en-US" w:bidi="ar-SA"/>
              </w:rPr>
            </w:pPr>
            <w:r>
              <w:rPr>
                <w:rFonts w:hint="eastAsia" w:ascii="Times New Roman" w:hAnsi="Times New Roman" w:cs="Times New Roman"/>
                <w:b/>
                <w:color w:val="000000" w:themeColor="text1"/>
                <w:kern w:val="2"/>
                <w:sz w:val="24"/>
                <w:szCs w:val="20"/>
                <w:lang w:val="en-US" w:bidi="ar-SA"/>
              </w:rPr>
              <w:t>1、</w:t>
            </w:r>
            <w:r>
              <w:rPr>
                <w:rFonts w:ascii="Times New Roman" w:hAnsi="Times New Roman" w:cs="Times New Roman"/>
                <w:b/>
                <w:color w:val="000000" w:themeColor="text1"/>
                <w:kern w:val="2"/>
                <w:sz w:val="24"/>
                <w:szCs w:val="20"/>
                <w:lang w:val="en-US" w:bidi="ar-SA"/>
              </w:rPr>
              <w:t>区域功能区划</w:t>
            </w:r>
          </w:p>
          <w:p w14:paraId="4975C28C">
            <w:pPr>
              <w:widowControl/>
              <w:autoSpaceDE/>
              <w:autoSpaceDN/>
              <w:spacing w:line="360" w:lineRule="auto"/>
              <w:ind w:firstLine="480" w:firstLineChars="200"/>
              <w:rPr>
                <w:rFonts w:ascii="Times New Roman" w:hAnsi="Times New Roman" w:cs="Times New Roman"/>
                <w:color w:val="000000" w:themeColor="text1"/>
                <w:sz w:val="24"/>
                <w:lang w:val="en-US" w:bidi="ar-SA"/>
              </w:rPr>
            </w:pPr>
            <w:r>
              <w:rPr>
                <w:rFonts w:ascii="Times New Roman" w:hAnsi="Times New Roman" w:cs="Times New Roman"/>
                <w:color w:val="000000" w:themeColor="text1"/>
                <w:sz w:val="24"/>
                <w:lang w:val="en-US" w:bidi="ar-SA"/>
              </w:rPr>
              <w:t>根据桂林市人民政府《市人民政府关于印发桂林市地表水环境功能环境空气质量功能城市区域环境噪声标准适用区划的通知》（市政</w:t>
            </w:r>
            <w:r>
              <w:rPr>
                <w:rFonts w:hint="eastAsia" w:ascii="Times New Roman" w:hAnsi="Times New Roman"/>
                <w:color w:val="000000" w:themeColor="text1"/>
                <w:sz w:val="24"/>
                <w:lang w:val="en-US" w:bidi="ar-SA"/>
              </w:rPr>
              <w:t>〔</w:t>
            </w:r>
            <w:r>
              <w:rPr>
                <w:rFonts w:ascii="Times New Roman" w:hAnsi="Times New Roman" w:cs="Times New Roman"/>
                <w:color w:val="000000" w:themeColor="text1"/>
                <w:sz w:val="24"/>
                <w:lang w:val="en-US" w:bidi="ar-SA"/>
              </w:rPr>
              <w:t>2000</w:t>
            </w:r>
            <w:r>
              <w:rPr>
                <w:rFonts w:hint="eastAsia" w:ascii="Times New Roman" w:hAnsi="Times New Roman"/>
                <w:color w:val="000000" w:themeColor="text1"/>
                <w:sz w:val="24"/>
                <w:lang w:val="en-US" w:bidi="ar-SA"/>
              </w:rPr>
              <w:t>〕</w:t>
            </w:r>
            <w:r>
              <w:rPr>
                <w:rFonts w:ascii="Times New Roman" w:hAnsi="Times New Roman" w:cs="Times New Roman"/>
                <w:color w:val="000000" w:themeColor="text1"/>
                <w:sz w:val="24"/>
                <w:lang w:val="en-US" w:bidi="ar-SA"/>
              </w:rPr>
              <w:t>23号）文件，结合项目所在区域环境空气、地表水、声环境功能区划，项目所在区域执行的环境质量标准见表3-1。</w:t>
            </w:r>
          </w:p>
          <w:p w14:paraId="45B54781">
            <w:pPr>
              <w:widowControl/>
              <w:tabs>
                <w:tab w:val="left" w:pos="0"/>
              </w:tabs>
              <w:autoSpaceDE/>
              <w:autoSpaceDN/>
              <w:adjustRightInd w:val="0"/>
              <w:snapToGrid w:val="0"/>
              <w:ind w:left="3" w:firstLine="482"/>
              <w:jc w:val="center"/>
              <w:rPr>
                <w:rFonts w:ascii="Times New Roman" w:hAnsi="Times New Roman" w:cs="Times New Roman"/>
                <w:b/>
                <w:color w:val="000000" w:themeColor="text1"/>
                <w:sz w:val="24"/>
                <w:szCs w:val="24"/>
                <w:lang w:val="en-US" w:bidi="ar-SA"/>
              </w:rPr>
            </w:pPr>
            <w:r>
              <w:rPr>
                <w:rFonts w:ascii="Times New Roman" w:hAnsi="Times New Roman" w:cs="Times New Roman"/>
                <w:b/>
                <w:color w:val="000000" w:themeColor="text1"/>
                <w:sz w:val="24"/>
                <w:szCs w:val="24"/>
                <w:lang w:val="en-US" w:bidi="ar-SA"/>
              </w:rPr>
              <w:t>表3-1区域环境功能属性表</w:t>
            </w:r>
          </w:p>
          <w:tbl>
            <w:tblPr>
              <w:tblStyle w:val="28"/>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438"/>
              <w:gridCol w:w="6375"/>
            </w:tblGrid>
            <w:tr w14:paraId="7792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5685071D">
                  <w:pPr>
                    <w:widowControl/>
                    <w:tabs>
                      <w:tab w:val="left" w:pos="0"/>
                    </w:tabs>
                    <w:autoSpaceDE/>
                    <w:autoSpaceDN/>
                    <w:jc w:val="center"/>
                    <w:rPr>
                      <w:rFonts w:ascii="Times New Roman" w:hAnsi="Times New Roman" w:cs="Times New Roman"/>
                      <w:b/>
                      <w:color w:val="000000" w:themeColor="text1"/>
                      <w:sz w:val="21"/>
                      <w:szCs w:val="21"/>
                      <w:lang w:val="en-US" w:bidi="ar-SA"/>
                    </w:rPr>
                  </w:pPr>
                  <w:r>
                    <w:rPr>
                      <w:rFonts w:ascii="Times New Roman" w:hAnsi="Times New Roman" w:cs="Times New Roman"/>
                      <w:b/>
                      <w:color w:val="000000" w:themeColor="text1"/>
                      <w:sz w:val="21"/>
                      <w:szCs w:val="21"/>
                      <w:lang w:val="en-US" w:bidi="ar-SA"/>
                    </w:rPr>
                    <w:t>编号</w:t>
                  </w:r>
                </w:p>
              </w:tc>
              <w:tc>
                <w:tcPr>
                  <w:tcW w:w="837" w:type="pct"/>
                  <w:tcBorders>
                    <w:top w:val="single" w:color="auto" w:sz="4" w:space="0"/>
                    <w:left w:val="single" w:color="auto" w:sz="4" w:space="0"/>
                    <w:bottom w:val="single" w:color="auto" w:sz="4" w:space="0"/>
                    <w:right w:val="single" w:color="auto" w:sz="4" w:space="0"/>
                  </w:tcBorders>
                  <w:vAlign w:val="center"/>
                </w:tcPr>
                <w:p w14:paraId="486EC8EA">
                  <w:pPr>
                    <w:widowControl/>
                    <w:tabs>
                      <w:tab w:val="left" w:pos="0"/>
                    </w:tabs>
                    <w:autoSpaceDE/>
                    <w:autoSpaceDN/>
                    <w:jc w:val="center"/>
                    <w:rPr>
                      <w:rFonts w:ascii="Times New Roman" w:hAnsi="Times New Roman" w:cs="Times New Roman"/>
                      <w:b/>
                      <w:color w:val="000000" w:themeColor="text1"/>
                      <w:sz w:val="21"/>
                      <w:szCs w:val="21"/>
                      <w:lang w:val="en-US" w:bidi="ar-SA"/>
                    </w:rPr>
                  </w:pPr>
                  <w:r>
                    <w:rPr>
                      <w:rFonts w:ascii="Times New Roman" w:hAnsi="Times New Roman" w:cs="Times New Roman"/>
                      <w:b/>
                      <w:color w:val="000000" w:themeColor="text1"/>
                      <w:sz w:val="21"/>
                      <w:szCs w:val="21"/>
                      <w:lang w:val="en-US" w:bidi="ar-SA"/>
                    </w:rPr>
                    <w:t>项目</w:t>
                  </w:r>
                </w:p>
              </w:tc>
              <w:tc>
                <w:tcPr>
                  <w:tcW w:w="3710" w:type="pct"/>
                  <w:tcBorders>
                    <w:top w:val="single" w:color="auto" w:sz="4" w:space="0"/>
                    <w:left w:val="single" w:color="auto" w:sz="4" w:space="0"/>
                    <w:bottom w:val="single" w:color="auto" w:sz="4" w:space="0"/>
                    <w:right w:val="single" w:color="auto" w:sz="4" w:space="0"/>
                  </w:tcBorders>
                  <w:vAlign w:val="center"/>
                </w:tcPr>
                <w:p w14:paraId="5D1E89A1">
                  <w:pPr>
                    <w:widowControl/>
                    <w:tabs>
                      <w:tab w:val="left" w:pos="0"/>
                    </w:tabs>
                    <w:autoSpaceDE/>
                    <w:autoSpaceDN/>
                    <w:jc w:val="center"/>
                    <w:rPr>
                      <w:rFonts w:ascii="Times New Roman" w:hAnsi="Times New Roman" w:cs="Times New Roman"/>
                      <w:b/>
                      <w:color w:val="000000" w:themeColor="text1"/>
                      <w:sz w:val="21"/>
                      <w:szCs w:val="21"/>
                      <w:lang w:val="en-US" w:bidi="ar-SA"/>
                    </w:rPr>
                  </w:pPr>
                  <w:r>
                    <w:rPr>
                      <w:rFonts w:ascii="Times New Roman" w:hAnsi="Times New Roman" w:cs="Times New Roman"/>
                      <w:b/>
                      <w:color w:val="000000" w:themeColor="text1"/>
                      <w:sz w:val="21"/>
                      <w:szCs w:val="21"/>
                      <w:lang w:val="en-US" w:bidi="ar-SA"/>
                    </w:rPr>
                    <w:t>环境功能属性</w:t>
                  </w:r>
                </w:p>
              </w:tc>
            </w:tr>
            <w:tr w14:paraId="0269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56522DB3">
                  <w:pPr>
                    <w:widowControl/>
                    <w:tabs>
                      <w:tab w:val="left" w:pos="0"/>
                    </w:tabs>
                    <w:autoSpaceDE/>
                    <w:autoSpaceDN/>
                    <w:adjustRightInd w:val="0"/>
                    <w:snapToGrid w:val="0"/>
                    <w:jc w:val="center"/>
                    <w:rPr>
                      <w:rFonts w:ascii="Times New Roman" w:hAnsi="Times New Roman" w:cs="Times New Roman"/>
                      <w:bCs/>
                      <w:color w:val="000000" w:themeColor="text1"/>
                      <w:sz w:val="21"/>
                      <w:szCs w:val="21"/>
                      <w:lang w:val="en-US" w:bidi="ar-SA"/>
                    </w:rPr>
                  </w:pPr>
                  <w:r>
                    <w:rPr>
                      <w:rFonts w:ascii="Times New Roman" w:hAnsi="Times New Roman" w:cs="Times New Roman"/>
                      <w:bCs/>
                      <w:color w:val="000000" w:themeColor="text1"/>
                      <w:sz w:val="21"/>
                      <w:szCs w:val="21"/>
                      <w:lang w:val="en-US" w:bidi="ar-SA"/>
                    </w:rPr>
                    <w:t>1</w:t>
                  </w:r>
                </w:p>
              </w:tc>
              <w:tc>
                <w:tcPr>
                  <w:tcW w:w="837" w:type="pct"/>
                  <w:tcBorders>
                    <w:top w:val="single" w:color="auto" w:sz="4" w:space="0"/>
                    <w:left w:val="single" w:color="auto" w:sz="4" w:space="0"/>
                    <w:bottom w:val="single" w:color="auto" w:sz="4" w:space="0"/>
                    <w:right w:val="single" w:color="auto" w:sz="4" w:space="0"/>
                  </w:tcBorders>
                  <w:vAlign w:val="center"/>
                </w:tcPr>
                <w:p w14:paraId="29B0190D">
                  <w:pPr>
                    <w:widowControl/>
                    <w:tabs>
                      <w:tab w:val="left" w:pos="0"/>
                    </w:tabs>
                    <w:autoSpaceDE/>
                    <w:autoSpaceDN/>
                    <w:adjustRightInd w:val="0"/>
                    <w:snapToGrid w:val="0"/>
                    <w:jc w:val="center"/>
                    <w:rPr>
                      <w:rFonts w:ascii="Times New Roman" w:hAnsi="Times New Roman" w:cs="Times New Roman"/>
                      <w:bCs/>
                      <w:color w:val="000000" w:themeColor="text1"/>
                      <w:sz w:val="21"/>
                      <w:szCs w:val="21"/>
                      <w:lang w:val="en-US" w:bidi="ar-SA"/>
                    </w:rPr>
                  </w:pPr>
                  <w:r>
                    <w:rPr>
                      <w:rFonts w:ascii="Times New Roman" w:hAnsi="Times New Roman" w:cs="Times New Roman"/>
                      <w:bCs/>
                      <w:color w:val="000000" w:themeColor="text1"/>
                      <w:sz w:val="21"/>
                      <w:szCs w:val="21"/>
                      <w:lang w:val="en-US" w:bidi="ar-SA"/>
                    </w:rPr>
                    <w:t>环境空气质量功能区</w:t>
                  </w:r>
                </w:p>
              </w:tc>
              <w:tc>
                <w:tcPr>
                  <w:tcW w:w="3710" w:type="pct"/>
                  <w:tcBorders>
                    <w:top w:val="single" w:color="auto" w:sz="4" w:space="0"/>
                    <w:left w:val="single" w:color="auto" w:sz="4" w:space="0"/>
                    <w:bottom w:val="single" w:color="auto" w:sz="4" w:space="0"/>
                    <w:right w:val="single" w:color="auto" w:sz="4" w:space="0"/>
                  </w:tcBorders>
                  <w:vAlign w:val="center"/>
                </w:tcPr>
                <w:p w14:paraId="63BDC636">
                  <w:pPr>
                    <w:widowControl/>
                    <w:tabs>
                      <w:tab w:val="left" w:pos="0"/>
                    </w:tabs>
                    <w:autoSpaceDE/>
                    <w:autoSpaceDN/>
                    <w:adjustRightInd w:val="0"/>
                    <w:snapToGrid w:val="0"/>
                    <w:jc w:val="center"/>
                    <w:rPr>
                      <w:rFonts w:ascii="Times New Roman" w:hAnsi="Times New Roman" w:cs="Times New Roman"/>
                      <w:bCs/>
                      <w:color w:val="000000" w:themeColor="text1"/>
                      <w:sz w:val="21"/>
                      <w:szCs w:val="21"/>
                      <w:lang w:val="en-US" w:bidi="ar-SA"/>
                    </w:rPr>
                  </w:pPr>
                  <w:r>
                    <w:rPr>
                      <w:rFonts w:ascii="Times New Roman" w:hAnsi="Times New Roman" w:cs="Times New Roman"/>
                      <w:bCs/>
                      <w:color w:val="000000" w:themeColor="text1"/>
                      <w:sz w:val="21"/>
                      <w:szCs w:val="21"/>
                      <w:lang w:val="en-US" w:bidi="ar-SA"/>
                    </w:rPr>
                    <w:t>执行《环境空气质量标准》（GB3095-2012）二级标准</w:t>
                  </w:r>
                </w:p>
              </w:tc>
            </w:tr>
            <w:tr w14:paraId="4F50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357CFCD8">
                  <w:pPr>
                    <w:widowControl/>
                    <w:tabs>
                      <w:tab w:val="left" w:pos="0"/>
                    </w:tabs>
                    <w:autoSpaceDE/>
                    <w:autoSpaceDN/>
                    <w:adjustRightInd w:val="0"/>
                    <w:snapToGrid w:val="0"/>
                    <w:jc w:val="center"/>
                    <w:rPr>
                      <w:rFonts w:ascii="Times New Roman" w:hAnsi="Times New Roman" w:cs="Times New Roman"/>
                      <w:bCs/>
                      <w:color w:val="000000" w:themeColor="text1"/>
                      <w:sz w:val="21"/>
                      <w:szCs w:val="21"/>
                      <w:lang w:val="en-US" w:bidi="ar-SA"/>
                    </w:rPr>
                  </w:pPr>
                  <w:r>
                    <w:rPr>
                      <w:rFonts w:ascii="Times New Roman" w:hAnsi="Times New Roman" w:cs="Times New Roman"/>
                      <w:bCs/>
                      <w:color w:val="000000" w:themeColor="text1"/>
                      <w:sz w:val="21"/>
                      <w:szCs w:val="21"/>
                      <w:lang w:val="en-US" w:bidi="ar-SA"/>
                    </w:rPr>
                    <w:t>2</w:t>
                  </w:r>
                </w:p>
              </w:tc>
              <w:tc>
                <w:tcPr>
                  <w:tcW w:w="837" w:type="pct"/>
                  <w:tcBorders>
                    <w:top w:val="single" w:color="auto" w:sz="4" w:space="0"/>
                    <w:left w:val="single" w:color="auto" w:sz="4" w:space="0"/>
                    <w:bottom w:val="single" w:color="auto" w:sz="4" w:space="0"/>
                    <w:right w:val="single" w:color="auto" w:sz="4" w:space="0"/>
                  </w:tcBorders>
                  <w:vAlign w:val="center"/>
                </w:tcPr>
                <w:p w14:paraId="16FCC968">
                  <w:pPr>
                    <w:widowControl/>
                    <w:tabs>
                      <w:tab w:val="left" w:pos="0"/>
                    </w:tabs>
                    <w:autoSpaceDE/>
                    <w:autoSpaceDN/>
                    <w:adjustRightInd w:val="0"/>
                    <w:snapToGrid w:val="0"/>
                    <w:jc w:val="center"/>
                    <w:rPr>
                      <w:rFonts w:ascii="Times New Roman" w:hAnsi="Times New Roman" w:cs="Times New Roman"/>
                      <w:bCs/>
                      <w:color w:val="000000" w:themeColor="text1"/>
                      <w:sz w:val="21"/>
                      <w:szCs w:val="21"/>
                      <w:lang w:val="en-US" w:bidi="ar-SA"/>
                    </w:rPr>
                  </w:pPr>
                  <w:r>
                    <w:rPr>
                      <w:rFonts w:ascii="Times New Roman" w:hAnsi="Times New Roman" w:cs="Times New Roman"/>
                      <w:bCs/>
                      <w:color w:val="000000" w:themeColor="text1"/>
                      <w:sz w:val="21"/>
                      <w:szCs w:val="21"/>
                      <w:lang w:val="en-US" w:bidi="ar-SA"/>
                    </w:rPr>
                    <w:t>声功能区</w:t>
                  </w:r>
                </w:p>
              </w:tc>
              <w:tc>
                <w:tcPr>
                  <w:tcW w:w="3710" w:type="pct"/>
                  <w:tcBorders>
                    <w:top w:val="single" w:color="auto" w:sz="4" w:space="0"/>
                    <w:left w:val="single" w:color="auto" w:sz="4" w:space="0"/>
                    <w:bottom w:val="single" w:color="auto" w:sz="4" w:space="0"/>
                    <w:right w:val="single" w:color="auto" w:sz="4" w:space="0"/>
                  </w:tcBorders>
                  <w:vAlign w:val="center"/>
                </w:tcPr>
                <w:p w14:paraId="7AC76A94">
                  <w:pPr>
                    <w:widowControl/>
                    <w:tabs>
                      <w:tab w:val="left" w:pos="0"/>
                    </w:tabs>
                    <w:autoSpaceDE/>
                    <w:autoSpaceDN/>
                    <w:adjustRightInd w:val="0"/>
                    <w:snapToGrid w:val="0"/>
                    <w:jc w:val="center"/>
                    <w:rPr>
                      <w:rFonts w:ascii="Times New Roman" w:hAnsi="Times New Roman" w:cs="Times New Roman"/>
                      <w:bCs/>
                      <w:color w:val="000000" w:themeColor="text1"/>
                      <w:sz w:val="21"/>
                      <w:szCs w:val="21"/>
                      <w:lang w:val="en-US" w:bidi="ar-SA"/>
                    </w:rPr>
                  </w:pPr>
                  <w:r>
                    <w:rPr>
                      <w:rFonts w:ascii="Times New Roman" w:hAnsi="Times New Roman" w:cs="Times New Roman"/>
                      <w:bCs/>
                      <w:color w:val="000000" w:themeColor="text1"/>
                      <w:sz w:val="21"/>
                      <w:szCs w:val="21"/>
                      <w:lang w:val="en-US" w:bidi="ar-SA"/>
                    </w:rPr>
                    <w:t>区域声环境执行《声环境质量标准》（GB3096-2008）</w:t>
                  </w:r>
                  <w:r>
                    <w:rPr>
                      <w:rFonts w:hint="eastAsia" w:ascii="Times New Roman" w:hAnsi="Times New Roman" w:cs="Times New Roman"/>
                      <w:bCs/>
                      <w:color w:val="000000" w:themeColor="text1"/>
                      <w:sz w:val="21"/>
                      <w:szCs w:val="21"/>
                      <w:lang w:val="en-US" w:bidi="ar-SA"/>
                    </w:rPr>
                    <w:t>2</w:t>
                  </w:r>
                  <w:r>
                    <w:rPr>
                      <w:rFonts w:ascii="Times New Roman" w:hAnsi="Times New Roman" w:cs="Times New Roman"/>
                      <w:bCs/>
                      <w:color w:val="000000" w:themeColor="text1"/>
                      <w:sz w:val="21"/>
                      <w:szCs w:val="21"/>
                      <w:lang w:val="en-US" w:bidi="ar-SA"/>
                    </w:rPr>
                    <w:t>类区标准</w:t>
                  </w:r>
                </w:p>
              </w:tc>
            </w:tr>
            <w:tr w14:paraId="3F32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624E135D">
                  <w:pPr>
                    <w:widowControl/>
                    <w:tabs>
                      <w:tab w:val="left" w:pos="0"/>
                    </w:tabs>
                    <w:autoSpaceDE/>
                    <w:autoSpaceDN/>
                    <w:adjustRightInd w:val="0"/>
                    <w:snapToGrid w:val="0"/>
                    <w:jc w:val="center"/>
                    <w:rPr>
                      <w:rFonts w:ascii="Times New Roman" w:hAnsi="Times New Roman" w:cs="Times New Roman"/>
                      <w:bCs/>
                      <w:color w:val="000000" w:themeColor="text1"/>
                      <w:sz w:val="21"/>
                      <w:szCs w:val="21"/>
                      <w:lang w:val="en-US" w:bidi="ar-SA"/>
                    </w:rPr>
                  </w:pPr>
                  <w:r>
                    <w:rPr>
                      <w:rFonts w:ascii="Times New Roman" w:hAnsi="Times New Roman" w:cs="Times New Roman"/>
                      <w:bCs/>
                      <w:color w:val="000000" w:themeColor="text1"/>
                      <w:sz w:val="21"/>
                      <w:szCs w:val="21"/>
                      <w:lang w:val="en-US" w:bidi="ar-SA"/>
                    </w:rPr>
                    <w:t>3</w:t>
                  </w:r>
                </w:p>
              </w:tc>
              <w:tc>
                <w:tcPr>
                  <w:tcW w:w="837" w:type="pct"/>
                  <w:tcBorders>
                    <w:top w:val="single" w:color="auto" w:sz="4" w:space="0"/>
                    <w:left w:val="single" w:color="auto" w:sz="4" w:space="0"/>
                    <w:bottom w:val="single" w:color="auto" w:sz="4" w:space="0"/>
                    <w:right w:val="single" w:color="auto" w:sz="4" w:space="0"/>
                  </w:tcBorders>
                  <w:vAlign w:val="center"/>
                </w:tcPr>
                <w:p w14:paraId="6849BF88">
                  <w:pPr>
                    <w:widowControl/>
                    <w:tabs>
                      <w:tab w:val="left" w:pos="0"/>
                    </w:tabs>
                    <w:autoSpaceDE/>
                    <w:autoSpaceDN/>
                    <w:adjustRightInd w:val="0"/>
                    <w:snapToGrid w:val="0"/>
                    <w:jc w:val="center"/>
                    <w:rPr>
                      <w:rFonts w:ascii="Times New Roman" w:hAnsi="Times New Roman" w:cs="Times New Roman"/>
                      <w:bCs/>
                      <w:color w:val="000000" w:themeColor="text1"/>
                      <w:sz w:val="21"/>
                      <w:szCs w:val="21"/>
                      <w:lang w:val="en-US" w:bidi="ar-SA"/>
                    </w:rPr>
                  </w:pPr>
                  <w:r>
                    <w:rPr>
                      <w:rFonts w:ascii="Times New Roman" w:hAnsi="Times New Roman" w:cs="Times New Roman"/>
                      <w:bCs/>
                      <w:color w:val="000000" w:themeColor="text1"/>
                      <w:sz w:val="21"/>
                      <w:szCs w:val="21"/>
                      <w:lang w:val="en-US" w:bidi="ar-SA"/>
                    </w:rPr>
                    <w:t>地表水</w:t>
                  </w:r>
                </w:p>
              </w:tc>
              <w:tc>
                <w:tcPr>
                  <w:tcW w:w="3710" w:type="pct"/>
                  <w:tcBorders>
                    <w:top w:val="single" w:color="auto" w:sz="4" w:space="0"/>
                    <w:left w:val="single" w:color="auto" w:sz="4" w:space="0"/>
                    <w:bottom w:val="single" w:color="auto" w:sz="4" w:space="0"/>
                    <w:right w:val="single" w:color="auto" w:sz="4" w:space="0"/>
                  </w:tcBorders>
                  <w:vAlign w:val="center"/>
                </w:tcPr>
                <w:p w14:paraId="7045C20F">
                  <w:pPr>
                    <w:widowControl/>
                    <w:tabs>
                      <w:tab w:val="left" w:pos="0"/>
                    </w:tabs>
                    <w:autoSpaceDE/>
                    <w:autoSpaceDN/>
                    <w:adjustRightInd w:val="0"/>
                    <w:snapToGrid w:val="0"/>
                    <w:jc w:val="center"/>
                    <w:rPr>
                      <w:rFonts w:ascii="Times New Roman" w:hAnsi="Times New Roman" w:cs="Times New Roman"/>
                      <w:bCs/>
                      <w:color w:val="000000" w:themeColor="text1"/>
                      <w:sz w:val="21"/>
                      <w:szCs w:val="21"/>
                      <w:lang w:val="en-US" w:bidi="ar-SA"/>
                    </w:rPr>
                  </w:pPr>
                  <w:r>
                    <w:rPr>
                      <w:rFonts w:hint="eastAsia" w:ascii="Times New Roman" w:hAnsi="Times New Roman" w:cs="Times New Roman"/>
                      <w:bCs/>
                      <w:color w:val="000000" w:themeColor="text1"/>
                      <w:sz w:val="21"/>
                      <w:szCs w:val="21"/>
                      <w:lang w:val="en-US" w:bidi="ar-SA"/>
                    </w:rPr>
                    <w:t>洛清江（宛田至西河汇入口）</w:t>
                  </w:r>
                  <w:r>
                    <w:rPr>
                      <w:rFonts w:ascii="Times New Roman" w:hAnsi="Times New Roman" w:cs="Times New Roman"/>
                      <w:bCs/>
                      <w:color w:val="000000" w:themeColor="text1"/>
                      <w:sz w:val="21"/>
                      <w:szCs w:val="21"/>
                      <w:lang w:val="en-US" w:bidi="ar-SA"/>
                    </w:rPr>
                    <w:t>水质执行《地表水环境质量标准》（GB3838-2002）</w:t>
                  </w:r>
                  <w:r>
                    <w:rPr>
                      <w:rFonts w:hint="eastAsia" w:ascii="Times New Roman" w:hAnsi="Times New Roman" w:cs="Times New Roman"/>
                      <w:bCs/>
                      <w:color w:val="000000" w:themeColor="text1"/>
                      <w:sz w:val="21"/>
                      <w:szCs w:val="21"/>
                      <w:lang w:val="en-US" w:bidi="ar-SA"/>
                    </w:rPr>
                    <w:t>Ⅲ</w:t>
                  </w:r>
                  <w:r>
                    <w:rPr>
                      <w:rFonts w:ascii="Times New Roman" w:hAnsi="Times New Roman" w:cs="Times New Roman"/>
                      <w:bCs/>
                      <w:color w:val="000000" w:themeColor="text1"/>
                      <w:sz w:val="21"/>
                      <w:szCs w:val="21"/>
                      <w:lang w:val="en-US" w:bidi="ar-SA"/>
                    </w:rPr>
                    <w:t>类水质标准</w:t>
                  </w:r>
                </w:p>
              </w:tc>
            </w:tr>
          </w:tbl>
          <w:p w14:paraId="15CD0714">
            <w:pPr>
              <w:pStyle w:val="40"/>
              <w:autoSpaceDE/>
              <w:autoSpaceDN/>
              <w:spacing w:line="360" w:lineRule="auto"/>
              <w:ind w:firstLine="482" w:firstLineChars="200"/>
              <w:jc w:val="both"/>
              <w:rPr>
                <w:rFonts w:ascii="Times New Roman" w:hAnsi="Times New Roman" w:cs="Times New Roman"/>
                <w:color w:val="000000" w:themeColor="text1"/>
                <w:sz w:val="24"/>
                <w:szCs w:val="24"/>
              </w:rPr>
            </w:pPr>
            <w:r>
              <w:rPr>
                <w:rFonts w:hint="eastAsia"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、环境空气质量现状</w:t>
            </w:r>
          </w:p>
          <w:p w14:paraId="75954BC0">
            <w:pPr>
              <w:widowControl/>
              <w:autoSpaceDE/>
              <w:autoSpaceDN/>
              <w:adjustRightInd w:val="0"/>
              <w:snapToGrid w:val="0"/>
              <w:spacing w:line="360" w:lineRule="auto"/>
              <w:ind w:firstLine="480" w:firstLineChars="200"/>
              <w:rPr>
                <w:rFonts w:ascii="Times New Roman" w:hAnsi="Times New Roman" w:cs="Times New Roman"/>
                <w:color w:val="000000" w:themeColor="text1"/>
                <w:sz w:val="24"/>
                <w:szCs w:val="24"/>
                <w:lang w:val="en-US" w:bidi="ar-SA"/>
              </w:rPr>
            </w:pPr>
            <w:r>
              <w:rPr>
                <w:rFonts w:hint="eastAsia" w:ascii="Times New Roman" w:hAnsi="Times New Roman" w:cs="Times New Roman"/>
                <w:color w:val="000000" w:themeColor="text1"/>
                <w:sz w:val="24"/>
                <w:szCs w:val="24"/>
                <w:lang w:val="en-US" w:bidi="ar-SA"/>
              </w:rPr>
              <w:t>根据《2024年桂林市生态环境状况公报》结论：桂林市12县（区、市）按照《环境空气质量标准》（GB 3095-2012）对自动监测数据进行评价。二氧化硫、二氧化氮、一氧化碳：所有县城均达到一级标准；可吸入颗粒物：全州县和灵川县达到二级标准，其余县城达到一级标准；臭氧（8小时）、细颗粒物：所有县城均达到二级标准。项目所在区域位于广西壮族自治区桂林市永福县永福镇迎宾路132号永福县人民医院内，</w:t>
            </w:r>
            <w:r>
              <w:rPr>
                <w:rFonts w:ascii="Times New Roman" w:hAnsi="Times New Roman" w:cs="Times New Roman"/>
                <w:color w:val="000000" w:themeColor="text1"/>
                <w:sz w:val="24"/>
                <w:szCs w:val="24"/>
                <w:lang w:val="en-US" w:bidi="ar-SA"/>
              </w:rPr>
              <w:t>属于达标区范围，</w:t>
            </w:r>
            <w:r>
              <w:rPr>
                <w:rFonts w:hint="eastAsia" w:ascii="Times New Roman" w:hAnsi="Times New Roman" w:cs="Times New Roman"/>
                <w:color w:val="000000" w:themeColor="text1"/>
                <w:sz w:val="24"/>
                <w:szCs w:val="24"/>
                <w:lang w:val="en-US" w:bidi="ar-SA"/>
              </w:rPr>
              <w:t>环境空气质量良好。</w:t>
            </w:r>
          </w:p>
          <w:p w14:paraId="7B87FB82">
            <w:pPr>
              <w:pStyle w:val="5"/>
              <w:spacing w:line="360" w:lineRule="auto"/>
              <w:ind w:firstLine="480" w:firstLineChars="200"/>
              <w:rPr>
                <w:rFonts w:cs="Times New Roman"/>
                <w:b/>
                <w:bCs/>
                <w:color w:val="000000" w:themeColor="text1"/>
                <w:sz w:val="24"/>
                <w:szCs w:val="24"/>
              </w:rPr>
            </w:pPr>
            <w:r>
              <w:rPr>
                <w:rFonts w:hint="eastAsia" w:cs="Times New Roman"/>
                <w:color w:val="000000" w:themeColor="text1"/>
                <w:sz w:val="24"/>
                <w:szCs w:val="24"/>
                <w:u w:val="single"/>
                <w:lang w:val="en-US" w:bidi="ar-SA"/>
              </w:rPr>
              <w:t>根据《建设项目环境影响报告表编制技术指南（污染影响类）（试行）》“（三）区域环境质量现状、环境保护目标及评价标准1.大气环境”得知，排放国家、地方环境空气质量标准中有标准限值要求的特征污染物时，引用建设项目周边5千米范围内近3年的现有监测数据或补充监测数据。本项目NH</w:t>
            </w:r>
            <w:r>
              <w:rPr>
                <w:rFonts w:hint="eastAsia" w:cs="Times New Roman"/>
                <w:color w:val="000000" w:themeColor="text1"/>
                <w:sz w:val="24"/>
                <w:szCs w:val="24"/>
                <w:u w:val="single"/>
                <w:vertAlign w:val="subscript"/>
                <w:lang w:val="en-US" w:bidi="ar-SA"/>
              </w:rPr>
              <w:t>3</w:t>
            </w:r>
            <w:r>
              <w:rPr>
                <w:rFonts w:hint="eastAsia" w:cs="Times New Roman"/>
                <w:color w:val="000000" w:themeColor="text1"/>
                <w:sz w:val="24"/>
                <w:szCs w:val="24"/>
                <w:u w:val="single"/>
                <w:lang w:val="en-US" w:bidi="ar-SA"/>
              </w:rPr>
              <w:t>、H</w:t>
            </w:r>
            <w:r>
              <w:rPr>
                <w:rFonts w:hint="eastAsia" w:cs="Times New Roman"/>
                <w:color w:val="000000" w:themeColor="text1"/>
                <w:sz w:val="24"/>
                <w:szCs w:val="24"/>
                <w:u w:val="single"/>
                <w:vertAlign w:val="subscript"/>
                <w:lang w:val="en-US" w:bidi="ar-SA"/>
              </w:rPr>
              <w:t>2</w:t>
            </w:r>
            <w:r>
              <w:rPr>
                <w:rFonts w:hint="eastAsia" w:cs="Times New Roman"/>
                <w:color w:val="000000" w:themeColor="text1"/>
                <w:sz w:val="24"/>
                <w:szCs w:val="24"/>
                <w:u w:val="single"/>
                <w:lang w:val="en-US" w:bidi="ar-SA"/>
              </w:rPr>
              <w:t>S、臭气浓度</w:t>
            </w:r>
            <w:r>
              <w:rPr>
                <w:rFonts w:ascii="Segoe UI" w:hAnsi="Segoe UI" w:eastAsia="Segoe UI" w:cs="Segoe UI"/>
                <w:color w:val="000000" w:themeColor="text1"/>
                <w:sz w:val="24"/>
                <w:szCs w:val="24"/>
                <w:u w:val="single"/>
                <w:shd w:val="clear" w:color="auto" w:fill="FFFFFF"/>
              </w:rPr>
              <w:t>无</w:t>
            </w:r>
            <w:r>
              <w:rPr>
                <w:rFonts w:cs="Times New Roman"/>
                <w:color w:val="000000" w:themeColor="text1"/>
                <w:sz w:val="24"/>
                <w:szCs w:val="24"/>
                <w:u w:val="single"/>
                <w:lang w:val="en-US" w:bidi="ar-SA"/>
              </w:rPr>
              <w:t>对应的</w:t>
            </w:r>
            <w:r>
              <w:rPr>
                <w:rFonts w:hint="eastAsia" w:cs="Times New Roman"/>
                <w:color w:val="000000" w:themeColor="text1"/>
                <w:sz w:val="24"/>
                <w:szCs w:val="24"/>
                <w:u w:val="single"/>
                <w:lang w:val="en-US" w:bidi="ar-SA"/>
              </w:rPr>
              <w:t>国家和地方</w:t>
            </w:r>
            <w:r>
              <w:rPr>
                <w:rFonts w:cs="Times New Roman"/>
                <w:color w:val="000000" w:themeColor="text1"/>
                <w:sz w:val="24"/>
                <w:szCs w:val="24"/>
                <w:u w:val="single"/>
                <w:lang w:val="en-US" w:bidi="ar-SA"/>
              </w:rPr>
              <w:t>环境空气质量标准限值，</w:t>
            </w:r>
            <w:r>
              <w:rPr>
                <w:rFonts w:ascii="Segoe UI" w:hAnsi="Segoe UI" w:eastAsia="Segoe UI" w:cs="Segoe UI"/>
                <w:color w:val="000000" w:themeColor="text1"/>
                <w:sz w:val="24"/>
                <w:szCs w:val="24"/>
                <w:u w:val="single"/>
                <w:shd w:val="clear" w:color="auto" w:fill="FFFFFF"/>
              </w:rPr>
              <w:t>故无需开展现状评价。</w:t>
            </w:r>
          </w:p>
          <w:p w14:paraId="2AC8A6AF">
            <w:pPr>
              <w:pStyle w:val="40"/>
              <w:autoSpaceDE/>
              <w:autoSpaceDN/>
              <w:spacing w:line="360" w:lineRule="auto"/>
              <w:ind w:firstLine="482" w:firstLineChars="200"/>
              <w:jc w:val="both"/>
              <w:rPr>
                <w:rFonts w:ascii="Times New Roman" w:hAnsi="Times New Roman" w:cs="Times New Roman"/>
                <w:color w:val="000000" w:themeColor="text1"/>
                <w:sz w:val="24"/>
                <w:szCs w:val="24"/>
              </w:rPr>
            </w:pPr>
            <w:r>
              <w:rPr>
                <w:rFonts w:hint="eastAsia"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rPr>
              <w:t>、地表水环境质量现状</w:t>
            </w:r>
          </w:p>
          <w:p w14:paraId="6EAF562C">
            <w:pPr>
              <w:widowControl/>
              <w:autoSpaceDE/>
              <w:autoSpaceDN/>
              <w:spacing w:line="360" w:lineRule="auto"/>
              <w:ind w:firstLine="480" w:firstLineChars="200"/>
              <w:rPr>
                <w:rFonts w:ascii="Times New Roman" w:hAnsi="Times New Roman" w:cs="Times New Roman"/>
                <w:color w:val="000000" w:themeColor="text1"/>
                <w:sz w:val="24"/>
                <w:lang w:val="en-US" w:bidi="ar-SA"/>
              </w:rPr>
            </w:pPr>
            <w:r>
              <w:rPr>
                <w:rFonts w:ascii="Times New Roman" w:hAnsi="Times New Roman" w:cs="Times New Roman"/>
                <w:color w:val="000000" w:themeColor="text1"/>
                <w:sz w:val="24"/>
                <w:lang w:val="en-US" w:bidi="ar-SA"/>
              </w:rPr>
              <w:t>本项目所在区域</w:t>
            </w:r>
            <w:r>
              <w:rPr>
                <w:rFonts w:hint="eastAsia" w:ascii="Times New Roman" w:hAnsi="Times New Roman" w:cs="Times New Roman"/>
                <w:color w:val="000000" w:themeColor="text1"/>
                <w:sz w:val="24"/>
                <w:lang w:val="en-US" w:bidi="ar-SA"/>
              </w:rPr>
              <w:t>最近的地表水为项目东侧39m处的洛清江（宛田至西河汇入口），</w:t>
            </w:r>
            <w:r>
              <w:rPr>
                <w:rFonts w:ascii="Times New Roman" w:hAnsi="Times New Roman" w:cs="Times New Roman"/>
                <w:color w:val="000000" w:themeColor="text1"/>
                <w:sz w:val="24"/>
                <w:lang w:val="en-US" w:bidi="ar-SA"/>
              </w:rPr>
              <w:t>主要功能为生活、工业、农业用水</w:t>
            </w:r>
            <w:r>
              <w:rPr>
                <w:rFonts w:hint="eastAsia" w:ascii="Times New Roman" w:hAnsi="Times New Roman" w:cs="Times New Roman"/>
                <w:color w:val="000000" w:themeColor="text1"/>
                <w:sz w:val="24"/>
                <w:lang w:val="en-US" w:bidi="ar-SA"/>
              </w:rPr>
              <w:t>，根据《2024年桂林市生态环境状况公报》结论：2024年，桂林市国控地表水环境监测断面共14个。国控地表水环境监测断面漓江、甘棠江、桂江、湘江、夫夷水、灌江、洛清江、寻江、灵渠、恭城河以及荔浦河断面为Ⅰ～Ⅱ类水质，水质评级均为优，符合各断面水质目标要求，因此，本项目所在区域地表水环境质量状况良好。</w:t>
            </w:r>
          </w:p>
          <w:p w14:paraId="5789C494">
            <w:pPr>
              <w:pStyle w:val="40"/>
              <w:autoSpaceDE/>
              <w:autoSpaceDN/>
              <w:spacing w:line="360" w:lineRule="auto"/>
              <w:ind w:firstLine="482" w:firstLineChars="200"/>
              <w:jc w:val="both"/>
              <w:rPr>
                <w:rFonts w:ascii="Times New Roman" w:hAnsi="Times New Roman" w:cs="Times New Roman"/>
                <w:color w:val="000000" w:themeColor="text1"/>
                <w:sz w:val="24"/>
                <w:szCs w:val="24"/>
              </w:rPr>
            </w:pPr>
            <w:r>
              <w:rPr>
                <w:rFonts w:hint="eastAsia"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rPr>
              <w:t>、声环境质量现状</w:t>
            </w:r>
          </w:p>
          <w:p w14:paraId="5B473F80">
            <w:pPr>
              <w:autoSpaceDE/>
              <w:autoSpaceDN/>
              <w:spacing w:line="380" w:lineRule="auto"/>
              <w:ind w:firstLine="480" w:firstLineChars="200"/>
              <w:jc w:val="both"/>
              <w:rPr>
                <w:rFonts w:ascii="Times New Roman" w:hAnsi="Times New Roman" w:cs="Times New Roman"/>
                <w:color w:val="000000" w:themeColor="text1"/>
                <w:kern w:val="2"/>
                <w:sz w:val="24"/>
                <w:szCs w:val="24"/>
                <w:highlight w:val="yellow"/>
                <w:lang w:val="en-US" w:bidi="ar-SA"/>
              </w:rPr>
            </w:pPr>
            <w:r>
              <w:rPr>
                <w:rFonts w:hint="eastAsia" w:ascii="Times New Roman" w:hAnsi="Times New Roman" w:cs="Times New Roman"/>
                <w:color w:val="000000" w:themeColor="text1"/>
                <w:kern w:val="2"/>
                <w:sz w:val="24"/>
                <w:szCs w:val="24"/>
                <w:lang w:val="en-US" w:bidi="ar-SA"/>
              </w:rPr>
              <w:t>本项目位于广西壮族自治区桂林市永福县永福镇迎宾路132号永福县人民医院内，本项目周边50米范围内敏感目标主要为项目南侧、西南侧永福镇居民、</w:t>
            </w:r>
            <w:r>
              <w:rPr>
                <w:rFonts w:hint="eastAsia" w:ascii="Times New Roman" w:hAnsi="Times New Roman"/>
                <w:color w:val="000000" w:themeColor="text1"/>
                <w:sz w:val="24"/>
                <w:szCs w:val="24"/>
              </w:rPr>
              <w:t>项目</w:t>
            </w:r>
            <w:r>
              <w:rPr>
                <w:rFonts w:hint="eastAsia" w:ascii="Times New Roman" w:hAnsi="Times New Roman"/>
                <w:color w:val="000000" w:themeColor="text1"/>
                <w:sz w:val="24"/>
                <w:szCs w:val="24"/>
                <w:lang w:val="en-US"/>
              </w:rPr>
              <w:t>北</w:t>
            </w:r>
            <w:r>
              <w:rPr>
                <w:rFonts w:hint="eastAsia" w:ascii="Times New Roman" w:hAnsi="Times New Roman"/>
                <w:color w:val="000000" w:themeColor="text1"/>
                <w:sz w:val="24"/>
                <w:szCs w:val="24"/>
              </w:rPr>
              <w:t>侧医院</w:t>
            </w:r>
            <w:r>
              <w:rPr>
                <w:rFonts w:hint="eastAsia" w:ascii="Times New Roman" w:hAnsi="Times New Roman"/>
                <w:color w:val="000000" w:themeColor="text1"/>
                <w:sz w:val="24"/>
                <w:szCs w:val="24"/>
                <w:lang w:val="en-US"/>
              </w:rPr>
              <w:t>急诊医技楼</w:t>
            </w:r>
            <w:r>
              <w:rPr>
                <w:rFonts w:hint="eastAsia"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委托</w:t>
            </w:r>
            <w:r>
              <w:rPr>
                <w:rFonts w:hint="eastAsia" w:ascii="Times New Roman" w:hAnsi="Times New Roman" w:cs="Times New Roman"/>
                <w:color w:val="000000" w:themeColor="text1"/>
                <w:sz w:val="24"/>
                <w:szCs w:val="24"/>
                <w:lang w:val="en-US" w:bidi="ar-SA"/>
              </w:rPr>
              <w:t>广西中品智环境监测有限公司</w:t>
            </w:r>
            <w:r>
              <w:rPr>
                <w:rFonts w:ascii="Times New Roman" w:hAnsi="Times New Roman" w:cs="Times New Roman"/>
                <w:color w:val="000000" w:themeColor="text1"/>
                <w:kern w:val="2"/>
                <w:sz w:val="24"/>
                <w:szCs w:val="24"/>
                <w:lang w:val="en-US" w:bidi="ar-SA"/>
              </w:rPr>
              <w:t>对本项目</w:t>
            </w:r>
            <w:r>
              <w:rPr>
                <w:rFonts w:hint="eastAsia" w:ascii="Times New Roman" w:hAnsi="Times New Roman" w:cs="Times New Roman"/>
                <w:color w:val="000000" w:themeColor="text1"/>
                <w:kern w:val="2"/>
                <w:sz w:val="24"/>
                <w:szCs w:val="24"/>
                <w:lang w:val="en-US" w:bidi="ar-SA"/>
              </w:rPr>
              <w:t>敏感点</w:t>
            </w:r>
            <w:r>
              <w:rPr>
                <w:rFonts w:ascii="Times New Roman" w:hAnsi="Times New Roman" w:cs="Times New Roman"/>
                <w:color w:val="000000" w:themeColor="text1"/>
                <w:kern w:val="2"/>
                <w:sz w:val="24"/>
                <w:szCs w:val="24"/>
                <w:lang w:val="en-US" w:bidi="ar-SA"/>
              </w:rPr>
              <w:t>进行环境噪声监测，本次</w:t>
            </w:r>
            <w:r>
              <w:rPr>
                <w:rFonts w:hint="eastAsia" w:ascii="Times New Roman" w:hAnsi="Times New Roman" w:cs="Times New Roman"/>
                <w:color w:val="000000" w:themeColor="text1"/>
                <w:kern w:val="2"/>
                <w:sz w:val="24"/>
                <w:szCs w:val="24"/>
                <w:lang w:val="en-US" w:bidi="ar-SA"/>
              </w:rPr>
              <w:t>敏感点</w:t>
            </w:r>
            <w:r>
              <w:rPr>
                <w:rFonts w:ascii="Times New Roman" w:hAnsi="Times New Roman" w:cs="Times New Roman"/>
                <w:color w:val="000000" w:themeColor="text1"/>
                <w:kern w:val="2"/>
                <w:sz w:val="24"/>
                <w:szCs w:val="24"/>
                <w:lang w:val="en-US" w:bidi="ar-SA"/>
              </w:rPr>
              <w:t>环评共布设了</w:t>
            </w:r>
            <w:r>
              <w:rPr>
                <w:rFonts w:hint="eastAsia" w:ascii="Times New Roman" w:hAnsi="Times New Roman" w:cs="Times New Roman"/>
                <w:color w:val="000000" w:themeColor="text1"/>
                <w:kern w:val="2"/>
                <w:sz w:val="24"/>
                <w:szCs w:val="24"/>
                <w:lang w:val="en-US" w:bidi="ar-SA"/>
              </w:rPr>
              <w:t>3个监</w:t>
            </w:r>
            <w:r>
              <w:rPr>
                <w:rFonts w:ascii="Times New Roman" w:hAnsi="Times New Roman" w:cs="Times New Roman"/>
                <w:color w:val="000000" w:themeColor="text1"/>
                <w:kern w:val="2"/>
                <w:sz w:val="24"/>
                <w:szCs w:val="24"/>
                <w:lang w:val="en-US" w:bidi="ar-SA"/>
              </w:rPr>
              <w:t>测点进行监测，具体点位如附图3所示。</w:t>
            </w:r>
          </w:p>
          <w:p w14:paraId="575BF441">
            <w:pPr>
              <w:autoSpaceDE/>
              <w:autoSpaceDN/>
              <w:spacing w:line="380" w:lineRule="auto"/>
              <w:ind w:firstLine="480" w:firstLineChars="200"/>
              <w:jc w:val="both"/>
              <w:rPr>
                <w:rFonts w:ascii="Times New Roman" w:hAnsi="Times New Roman" w:cs="Times New Roman"/>
                <w:color w:val="000000" w:themeColor="text1"/>
                <w:kern w:val="2"/>
                <w:sz w:val="24"/>
                <w:szCs w:val="24"/>
                <w:highlight w:val="yellow"/>
                <w:lang w:val="en-US" w:bidi="ar-SA"/>
              </w:rPr>
            </w:pPr>
            <w:r>
              <w:rPr>
                <w:rFonts w:ascii="Times New Roman" w:hAnsi="Times New Roman" w:cs="Times New Roman"/>
                <w:color w:val="000000" w:themeColor="text1"/>
                <w:kern w:val="2"/>
                <w:sz w:val="24"/>
                <w:szCs w:val="24"/>
                <w:lang w:val="en-US" w:bidi="ar-SA"/>
              </w:rPr>
              <w:t>监测时间：</w:t>
            </w:r>
            <w:r>
              <w:rPr>
                <w:rFonts w:hint="eastAsia" w:ascii="Times New Roman" w:hAnsi="Times New Roman" w:cs="Times New Roman"/>
                <w:color w:val="000000" w:themeColor="text1"/>
                <w:kern w:val="2"/>
                <w:sz w:val="24"/>
                <w:szCs w:val="24"/>
                <w:lang w:val="en-US" w:bidi="ar-SA"/>
              </w:rPr>
              <w:t>2025</w:t>
            </w:r>
            <w:r>
              <w:rPr>
                <w:rFonts w:ascii="Times New Roman" w:hAnsi="Times New Roman" w:cs="Times New Roman"/>
                <w:color w:val="000000" w:themeColor="text1"/>
                <w:kern w:val="2"/>
                <w:sz w:val="24"/>
                <w:szCs w:val="24"/>
                <w:lang w:val="en-US" w:bidi="ar-SA"/>
              </w:rPr>
              <w:t>年</w:t>
            </w:r>
            <w:r>
              <w:rPr>
                <w:rFonts w:hint="eastAsia" w:ascii="Times New Roman" w:hAnsi="Times New Roman" w:cs="Times New Roman"/>
                <w:color w:val="000000" w:themeColor="text1"/>
                <w:kern w:val="2"/>
                <w:sz w:val="24"/>
                <w:szCs w:val="24"/>
                <w:lang w:val="en-US" w:bidi="ar-SA"/>
              </w:rPr>
              <w:t>10</w:t>
            </w:r>
            <w:r>
              <w:rPr>
                <w:rFonts w:ascii="Times New Roman" w:hAnsi="Times New Roman" w:cs="Times New Roman"/>
                <w:color w:val="000000" w:themeColor="text1"/>
                <w:kern w:val="2"/>
                <w:sz w:val="24"/>
                <w:szCs w:val="24"/>
                <w:lang w:val="en-US" w:bidi="ar-SA"/>
              </w:rPr>
              <w:t>月</w:t>
            </w:r>
            <w:r>
              <w:rPr>
                <w:rFonts w:hint="eastAsia" w:ascii="Times New Roman" w:hAnsi="Times New Roman" w:cs="Times New Roman"/>
                <w:color w:val="000000" w:themeColor="text1"/>
                <w:kern w:val="2"/>
                <w:sz w:val="24"/>
                <w:szCs w:val="24"/>
                <w:lang w:val="en-US" w:bidi="ar-SA"/>
              </w:rPr>
              <w:t>27</w:t>
            </w:r>
            <w:r>
              <w:rPr>
                <w:rFonts w:ascii="Times New Roman" w:hAnsi="Times New Roman" w:cs="Times New Roman"/>
                <w:color w:val="000000" w:themeColor="text1"/>
                <w:kern w:val="2"/>
                <w:sz w:val="24"/>
                <w:szCs w:val="24"/>
                <w:lang w:val="en-US" w:bidi="ar-SA"/>
              </w:rPr>
              <w:t>日。</w:t>
            </w:r>
          </w:p>
          <w:p w14:paraId="7DB64AE2">
            <w:pPr>
              <w:autoSpaceDE/>
              <w:autoSpaceDN/>
              <w:spacing w:line="38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评价标准：</w:t>
            </w:r>
            <w:r>
              <w:rPr>
                <w:rFonts w:hint="eastAsia" w:ascii="Times New Roman" w:hAnsi="Times New Roman" w:cs="Times New Roman"/>
                <w:color w:val="000000" w:themeColor="text1"/>
                <w:kern w:val="2"/>
                <w:sz w:val="24"/>
                <w:szCs w:val="24"/>
                <w:lang w:val="en-US" w:bidi="ar-SA"/>
              </w:rPr>
              <w:t>本项目周边敏感点噪声相应</w:t>
            </w:r>
            <w:r>
              <w:rPr>
                <w:rFonts w:ascii="Times New Roman" w:hAnsi="Times New Roman" w:cs="Times New Roman"/>
                <w:color w:val="000000" w:themeColor="text1"/>
                <w:kern w:val="2"/>
                <w:sz w:val="24"/>
                <w:szCs w:val="24"/>
                <w:lang w:val="en-US" w:bidi="ar-SA"/>
              </w:rPr>
              <w:t>执行《声环境质量标准》（GB3096-2008）</w:t>
            </w:r>
            <w:r>
              <w:rPr>
                <w:rFonts w:hint="eastAsia" w:ascii="Times New Roman" w:hAnsi="Times New Roman" w:cs="Times New Roman"/>
                <w:color w:val="000000" w:themeColor="text1"/>
                <w:kern w:val="2"/>
                <w:sz w:val="24"/>
                <w:szCs w:val="24"/>
                <w:lang w:val="en-US" w:bidi="ar-SA"/>
              </w:rPr>
              <w:t>1类、2</w:t>
            </w:r>
            <w:r>
              <w:rPr>
                <w:rFonts w:ascii="Times New Roman" w:hAnsi="Times New Roman" w:cs="Times New Roman"/>
                <w:color w:val="000000" w:themeColor="text1"/>
                <w:kern w:val="2"/>
                <w:sz w:val="24"/>
                <w:szCs w:val="24"/>
                <w:lang w:val="en-US" w:bidi="ar-SA"/>
              </w:rPr>
              <w:t>类标准。</w:t>
            </w:r>
          </w:p>
          <w:p w14:paraId="5563C82C">
            <w:pPr>
              <w:autoSpaceDE/>
              <w:autoSpaceDN/>
              <w:spacing w:line="380" w:lineRule="auto"/>
              <w:ind w:firstLine="480" w:firstLineChars="200"/>
              <w:jc w:val="both"/>
              <w:rPr>
                <w:rFonts w:ascii="Times New Roman" w:hAnsi="Times New Roman" w:cs="Times New Roman"/>
                <w:color w:val="000000" w:themeColor="text1"/>
                <w:kern w:val="2"/>
                <w:sz w:val="24"/>
                <w:szCs w:val="24"/>
                <w:highlight w:val="yellow"/>
                <w:lang w:val="en-US" w:bidi="ar-SA"/>
              </w:rPr>
            </w:pPr>
            <w:r>
              <w:rPr>
                <w:rFonts w:ascii="Times New Roman" w:hAnsi="Times New Roman" w:cs="Times New Roman"/>
                <w:color w:val="000000" w:themeColor="text1"/>
                <w:kern w:val="2"/>
                <w:sz w:val="24"/>
                <w:szCs w:val="24"/>
                <w:lang w:val="en-US" w:bidi="ar-SA"/>
              </w:rPr>
              <w:t>监测结果：监测点声环境监测值详见表3-</w:t>
            </w:r>
            <w:r>
              <w:rPr>
                <w:rFonts w:hint="eastAsia" w:ascii="Times New Roman" w:hAnsi="Times New Roman" w:cs="Times New Roman"/>
                <w:color w:val="000000" w:themeColor="text1"/>
                <w:kern w:val="2"/>
                <w:sz w:val="24"/>
                <w:szCs w:val="24"/>
                <w:lang w:val="en-US" w:bidi="ar-SA"/>
              </w:rPr>
              <w:t>2</w:t>
            </w:r>
            <w:r>
              <w:rPr>
                <w:rFonts w:ascii="Times New Roman" w:hAnsi="Times New Roman" w:cs="Times New Roman"/>
                <w:color w:val="000000" w:themeColor="text1"/>
                <w:kern w:val="2"/>
                <w:sz w:val="24"/>
                <w:szCs w:val="24"/>
                <w:lang w:val="en-US" w:bidi="ar-SA"/>
              </w:rPr>
              <w:t>。</w:t>
            </w:r>
          </w:p>
          <w:p w14:paraId="7003146D">
            <w:pPr>
              <w:autoSpaceDE/>
              <w:autoSpaceDN/>
              <w:spacing w:line="380" w:lineRule="auto"/>
              <w:ind w:firstLine="482"/>
              <w:jc w:val="center"/>
              <w:rPr>
                <w:rFonts w:ascii="Times New Roman" w:hAnsi="Times New Roman" w:cs="Times New Roman"/>
                <w:b/>
                <w:color w:val="000000" w:themeColor="text1"/>
                <w:kern w:val="2"/>
                <w:sz w:val="24"/>
                <w:szCs w:val="24"/>
                <w:lang w:val="en-US" w:bidi="ar-SA"/>
              </w:rPr>
            </w:pPr>
            <w:r>
              <w:rPr>
                <w:rFonts w:ascii="Times New Roman" w:hAnsi="Times New Roman" w:cs="Times New Roman"/>
                <w:b/>
                <w:color w:val="000000" w:themeColor="text1"/>
                <w:kern w:val="2"/>
                <w:sz w:val="24"/>
                <w:szCs w:val="24"/>
                <w:lang w:val="en-US" w:bidi="ar-SA"/>
              </w:rPr>
              <w:t>表3-</w:t>
            </w:r>
            <w:r>
              <w:rPr>
                <w:rFonts w:hint="eastAsia" w:ascii="Times New Roman" w:hAnsi="Times New Roman" w:cs="Times New Roman"/>
                <w:b/>
                <w:color w:val="000000" w:themeColor="text1"/>
                <w:kern w:val="2"/>
                <w:sz w:val="24"/>
                <w:szCs w:val="24"/>
                <w:lang w:val="en-US" w:bidi="ar-SA"/>
              </w:rPr>
              <w:t>2</w:t>
            </w:r>
            <w:r>
              <w:rPr>
                <w:rFonts w:ascii="Times New Roman" w:hAnsi="Times New Roman" w:cs="Times New Roman"/>
                <w:b/>
                <w:color w:val="000000" w:themeColor="text1"/>
                <w:kern w:val="2"/>
                <w:sz w:val="24"/>
                <w:szCs w:val="24"/>
                <w:lang w:val="en-US" w:bidi="ar-SA"/>
              </w:rPr>
              <w:t>声环境现状及监测结果</w:t>
            </w:r>
          </w:p>
          <w:tbl>
            <w:tblPr>
              <w:tblStyle w:val="27"/>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7"/>
              <w:gridCol w:w="2712"/>
              <w:gridCol w:w="1138"/>
              <w:gridCol w:w="1905"/>
              <w:gridCol w:w="1909"/>
            </w:tblGrid>
            <w:tr w14:paraId="2177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565" w:type="pct"/>
                  <w:vMerge w:val="restart"/>
                  <w:vAlign w:val="center"/>
                </w:tcPr>
                <w:p w14:paraId="41338EA3">
                  <w:pPr>
                    <w:autoSpaceDE/>
                    <w:autoSpaceDN/>
                    <w:jc w:val="center"/>
                    <w:rPr>
                      <w:rFonts w:ascii="Times New Roman" w:hAnsi="Times New Roman" w:cs="Times New Roman"/>
                      <w:b/>
                      <w:color w:val="000000" w:themeColor="text1"/>
                      <w:kern w:val="2"/>
                      <w:sz w:val="21"/>
                      <w:szCs w:val="21"/>
                      <w:lang w:val="en-US" w:bidi="ar-SA"/>
                    </w:rPr>
                  </w:pPr>
                  <w:r>
                    <w:rPr>
                      <w:rFonts w:ascii="Times New Roman" w:hAnsi="Times New Roman" w:cs="Times New Roman"/>
                      <w:b/>
                      <w:color w:val="000000" w:themeColor="text1"/>
                      <w:kern w:val="2"/>
                      <w:sz w:val="21"/>
                      <w:szCs w:val="21"/>
                      <w:lang w:val="en-US" w:bidi="ar-SA"/>
                    </w:rPr>
                    <w:t>测点编号</w:t>
                  </w:r>
                </w:p>
              </w:tc>
              <w:tc>
                <w:tcPr>
                  <w:tcW w:w="1569" w:type="pct"/>
                  <w:vMerge w:val="restart"/>
                  <w:vAlign w:val="center"/>
                </w:tcPr>
                <w:p w14:paraId="71F3D290">
                  <w:pPr>
                    <w:autoSpaceDE/>
                    <w:autoSpaceDN/>
                    <w:jc w:val="center"/>
                    <w:rPr>
                      <w:rFonts w:ascii="Times New Roman" w:hAnsi="Times New Roman" w:cs="Times New Roman"/>
                      <w:b/>
                      <w:color w:val="000000" w:themeColor="text1"/>
                      <w:kern w:val="2"/>
                      <w:sz w:val="21"/>
                      <w:szCs w:val="21"/>
                      <w:lang w:val="en-US" w:bidi="ar-SA"/>
                    </w:rPr>
                  </w:pPr>
                  <w:r>
                    <w:rPr>
                      <w:rFonts w:ascii="Times New Roman" w:hAnsi="Times New Roman" w:cs="Times New Roman"/>
                      <w:b/>
                      <w:color w:val="000000" w:themeColor="text1"/>
                      <w:kern w:val="2"/>
                      <w:sz w:val="21"/>
                      <w:szCs w:val="21"/>
                      <w:lang w:val="en-US" w:bidi="ar-SA"/>
                    </w:rPr>
                    <w:t>测点位置</w:t>
                  </w:r>
                </w:p>
              </w:tc>
              <w:tc>
                <w:tcPr>
                  <w:tcW w:w="658" w:type="pct"/>
                  <w:vMerge w:val="restart"/>
                  <w:vAlign w:val="center"/>
                </w:tcPr>
                <w:p w14:paraId="31E1C5DD">
                  <w:pPr>
                    <w:autoSpaceDE/>
                    <w:autoSpaceDN/>
                    <w:jc w:val="center"/>
                    <w:rPr>
                      <w:rFonts w:ascii="Times New Roman" w:hAnsi="Times New Roman" w:cs="Times New Roman"/>
                      <w:b/>
                      <w:color w:val="000000" w:themeColor="text1"/>
                      <w:kern w:val="2"/>
                      <w:sz w:val="21"/>
                      <w:szCs w:val="21"/>
                      <w:lang w:val="en-US" w:bidi="ar-SA"/>
                    </w:rPr>
                  </w:pPr>
                  <w:r>
                    <w:rPr>
                      <w:rFonts w:ascii="Times New Roman" w:hAnsi="Times New Roman" w:cs="Times New Roman"/>
                      <w:b/>
                      <w:color w:val="000000" w:themeColor="text1"/>
                      <w:kern w:val="2"/>
                      <w:sz w:val="21"/>
                      <w:szCs w:val="21"/>
                      <w:lang w:val="en-US" w:bidi="ar-SA"/>
                    </w:rPr>
                    <w:t>区域类别</w:t>
                  </w:r>
                </w:p>
              </w:tc>
              <w:tc>
                <w:tcPr>
                  <w:tcW w:w="2206" w:type="pct"/>
                  <w:gridSpan w:val="2"/>
                  <w:vAlign w:val="center"/>
                </w:tcPr>
                <w:p w14:paraId="3D708A53">
                  <w:pPr>
                    <w:autoSpaceDE/>
                    <w:autoSpaceDN/>
                    <w:jc w:val="center"/>
                    <w:rPr>
                      <w:rFonts w:ascii="Times New Roman" w:hAnsi="Times New Roman" w:cs="Times New Roman"/>
                      <w:b/>
                      <w:color w:val="000000" w:themeColor="text1"/>
                      <w:kern w:val="2"/>
                      <w:sz w:val="21"/>
                      <w:szCs w:val="21"/>
                      <w:lang w:val="en-US" w:bidi="ar-SA"/>
                    </w:rPr>
                  </w:pPr>
                  <w:r>
                    <w:rPr>
                      <w:rFonts w:ascii="Times New Roman" w:hAnsi="Times New Roman" w:cs="Times New Roman"/>
                      <w:b/>
                      <w:color w:val="000000" w:themeColor="text1"/>
                      <w:kern w:val="2"/>
                      <w:sz w:val="21"/>
                      <w:szCs w:val="21"/>
                      <w:lang w:val="en-US" w:bidi="ar-SA"/>
                    </w:rPr>
                    <w:t>测量值Leq  dB(A)</w:t>
                  </w:r>
                </w:p>
              </w:tc>
            </w:tr>
            <w:tr w14:paraId="7F77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1" w:hRule="atLeast"/>
                <w:jc w:val="center"/>
              </w:trPr>
              <w:tc>
                <w:tcPr>
                  <w:tcW w:w="565" w:type="pct"/>
                  <w:vMerge w:val="continue"/>
                  <w:vAlign w:val="center"/>
                </w:tcPr>
                <w:p w14:paraId="7BB3753F">
                  <w:pPr>
                    <w:autoSpaceDE/>
                    <w:autoSpaceDN/>
                    <w:jc w:val="center"/>
                    <w:rPr>
                      <w:rFonts w:ascii="Times New Roman" w:hAnsi="Times New Roman" w:cs="Times New Roman"/>
                      <w:b/>
                      <w:color w:val="000000" w:themeColor="text1"/>
                      <w:kern w:val="2"/>
                      <w:sz w:val="21"/>
                      <w:szCs w:val="21"/>
                      <w:lang w:val="en-US" w:bidi="ar-SA"/>
                    </w:rPr>
                  </w:pPr>
                </w:p>
              </w:tc>
              <w:tc>
                <w:tcPr>
                  <w:tcW w:w="1569" w:type="pct"/>
                  <w:vMerge w:val="continue"/>
                  <w:vAlign w:val="center"/>
                </w:tcPr>
                <w:p w14:paraId="2EA5EC79">
                  <w:pPr>
                    <w:autoSpaceDE/>
                    <w:autoSpaceDN/>
                    <w:jc w:val="center"/>
                    <w:rPr>
                      <w:rFonts w:ascii="Times New Roman" w:hAnsi="Times New Roman" w:cs="Times New Roman"/>
                      <w:b/>
                      <w:color w:val="000000" w:themeColor="text1"/>
                      <w:kern w:val="2"/>
                      <w:sz w:val="21"/>
                      <w:szCs w:val="21"/>
                      <w:lang w:val="en-US" w:bidi="ar-SA"/>
                    </w:rPr>
                  </w:pPr>
                </w:p>
              </w:tc>
              <w:tc>
                <w:tcPr>
                  <w:tcW w:w="658" w:type="pct"/>
                  <w:vMerge w:val="continue"/>
                  <w:vAlign w:val="center"/>
                </w:tcPr>
                <w:p w14:paraId="2E6D97BA">
                  <w:pPr>
                    <w:autoSpaceDE/>
                    <w:autoSpaceDN/>
                    <w:jc w:val="center"/>
                    <w:rPr>
                      <w:rFonts w:ascii="Times New Roman" w:hAnsi="Times New Roman" w:cs="Times New Roman"/>
                      <w:b/>
                      <w:color w:val="000000" w:themeColor="text1"/>
                      <w:kern w:val="2"/>
                      <w:sz w:val="21"/>
                      <w:szCs w:val="21"/>
                      <w:lang w:val="en-US" w:bidi="ar-SA"/>
                    </w:rPr>
                  </w:pPr>
                </w:p>
              </w:tc>
              <w:tc>
                <w:tcPr>
                  <w:tcW w:w="1102" w:type="pct"/>
                  <w:vAlign w:val="center"/>
                </w:tcPr>
                <w:p w14:paraId="3D629622">
                  <w:pPr>
                    <w:autoSpaceDE/>
                    <w:autoSpaceDN/>
                    <w:jc w:val="center"/>
                    <w:rPr>
                      <w:rFonts w:ascii="Times New Roman" w:hAnsi="Times New Roman" w:cs="Times New Roman"/>
                      <w:b/>
                      <w:color w:val="000000" w:themeColor="text1"/>
                      <w:kern w:val="2"/>
                      <w:sz w:val="21"/>
                      <w:szCs w:val="21"/>
                      <w:lang w:val="en-US" w:bidi="ar-SA"/>
                    </w:rPr>
                  </w:pPr>
                  <w:r>
                    <w:rPr>
                      <w:rFonts w:ascii="Times New Roman" w:hAnsi="Times New Roman" w:cs="Times New Roman"/>
                      <w:b/>
                      <w:color w:val="000000" w:themeColor="text1"/>
                      <w:kern w:val="2"/>
                      <w:sz w:val="21"/>
                      <w:szCs w:val="21"/>
                      <w:lang w:val="en-US" w:bidi="ar-SA"/>
                    </w:rPr>
                    <w:t>昼间</w:t>
                  </w:r>
                </w:p>
              </w:tc>
              <w:tc>
                <w:tcPr>
                  <w:tcW w:w="1103" w:type="pct"/>
                </w:tcPr>
                <w:p w14:paraId="0A266ED8">
                  <w:pPr>
                    <w:autoSpaceDE/>
                    <w:autoSpaceDN/>
                    <w:jc w:val="center"/>
                    <w:rPr>
                      <w:rFonts w:ascii="Times New Roman" w:hAnsi="Times New Roman" w:cs="Times New Roman"/>
                      <w:b/>
                      <w:color w:val="000000" w:themeColor="text1"/>
                      <w:kern w:val="2"/>
                      <w:sz w:val="21"/>
                      <w:szCs w:val="21"/>
                      <w:lang w:val="en-US" w:bidi="ar-SA"/>
                    </w:rPr>
                  </w:pPr>
                  <w:r>
                    <w:rPr>
                      <w:rFonts w:ascii="Times New Roman" w:hAnsi="Times New Roman" w:cs="Times New Roman"/>
                      <w:b/>
                      <w:color w:val="000000" w:themeColor="text1"/>
                      <w:kern w:val="2"/>
                      <w:sz w:val="21"/>
                      <w:szCs w:val="21"/>
                      <w:lang w:val="en-US" w:bidi="ar-SA"/>
                    </w:rPr>
                    <w:t>夜间</w:t>
                  </w:r>
                </w:p>
              </w:tc>
            </w:tr>
            <w:tr w14:paraId="3CBD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exact"/>
                <w:jc w:val="center"/>
              </w:trPr>
              <w:tc>
                <w:tcPr>
                  <w:tcW w:w="565" w:type="pct"/>
                  <w:vAlign w:val="center"/>
                </w:tcPr>
                <w:p w14:paraId="17725E51">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N1</w:t>
                  </w:r>
                </w:p>
              </w:tc>
              <w:tc>
                <w:tcPr>
                  <w:tcW w:w="1569" w:type="pct"/>
                  <w:vAlign w:val="center"/>
                </w:tcPr>
                <w:p w14:paraId="199910FC">
                  <w:pPr>
                    <w:autoSpaceDE/>
                    <w:autoSpaceDN/>
                    <w:jc w:val="center"/>
                    <w:rPr>
                      <w:rFonts w:ascii="Times New Roman" w:hAnsi="Times New Roman"/>
                      <w:color w:val="000000" w:themeColor="text1"/>
                      <w:sz w:val="21"/>
                      <w:szCs w:val="21"/>
                      <w:lang w:val="en-US" w:bidi="ar-SA"/>
                    </w:rPr>
                  </w:pPr>
                  <w:r>
                    <w:rPr>
                      <w:rFonts w:hint="eastAsia" w:ascii="Times New Roman" w:hAnsi="Times New Roman" w:cstheme="minorEastAsia"/>
                      <w:color w:val="000000" w:themeColor="text1"/>
                      <w:szCs w:val="21"/>
                      <w:lang w:val="en-US"/>
                    </w:rPr>
                    <w:t>项目厂界南侧居民点</w:t>
                  </w:r>
                </w:p>
              </w:tc>
              <w:tc>
                <w:tcPr>
                  <w:tcW w:w="658" w:type="pct"/>
                  <w:vAlign w:val="center"/>
                </w:tcPr>
                <w:p w14:paraId="202D58EF">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2类</w:t>
                  </w:r>
                </w:p>
              </w:tc>
              <w:tc>
                <w:tcPr>
                  <w:tcW w:w="1905" w:type="dxa"/>
                  <w:vAlign w:val="center"/>
                </w:tcPr>
                <w:p w14:paraId="06B983F2">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sz w:val="24"/>
                      <w:szCs w:val="24"/>
                      <w:lang w:val="en-US" w:eastAsia="zh-CN"/>
                    </w:rPr>
                    <w:t>***</w:t>
                  </w:r>
                </w:p>
              </w:tc>
              <w:tc>
                <w:tcPr>
                  <w:tcW w:w="1909" w:type="dxa"/>
                  <w:vAlign w:val="center"/>
                </w:tcPr>
                <w:p w14:paraId="16079A75">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sz w:val="24"/>
                      <w:szCs w:val="24"/>
                      <w:lang w:val="en-US" w:eastAsia="zh-CN"/>
                    </w:rPr>
                    <w:t>***</w:t>
                  </w:r>
                </w:p>
              </w:tc>
            </w:tr>
            <w:tr w14:paraId="685B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exact"/>
                <w:jc w:val="center"/>
              </w:trPr>
              <w:tc>
                <w:tcPr>
                  <w:tcW w:w="565" w:type="pct"/>
                  <w:vAlign w:val="center"/>
                </w:tcPr>
                <w:p w14:paraId="40C7C5C9">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N</w:t>
                  </w:r>
                  <w:r>
                    <w:rPr>
                      <w:rFonts w:hint="eastAsia" w:ascii="Times New Roman" w:hAnsi="Times New Roman" w:cs="Times New Roman"/>
                      <w:color w:val="000000" w:themeColor="text1"/>
                      <w:kern w:val="2"/>
                      <w:sz w:val="21"/>
                      <w:szCs w:val="21"/>
                      <w:lang w:val="en-US" w:bidi="ar-SA"/>
                    </w:rPr>
                    <w:t>2</w:t>
                  </w:r>
                </w:p>
              </w:tc>
              <w:tc>
                <w:tcPr>
                  <w:tcW w:w="1569" w:type="pct"/>
                  <w:vAlign w:val="center"/>
                </w:tcPr>
                <w:p w14:paraId="4AFB9433">
                  <w:pPr>
                    <w:autoSpaceDE/>
                    <w:autoSpaceDN/>
                    <w:jc w:val="center"/>
                    <w:rPr>
                      <w:rFonts w:ascii="Times New Roman" w:hAnsi="Times New Roman"/>
                      <w:color w:val="000000" w:themeColor="text1"/>
                    </w:rPr>
                  </w:pPr>
                  <w:r>
                    <w:rPr>
                      <w:rFonts w:hint="eastAsia" w:ascii="Times New Roman" w:hAnsi="Times New Roman" w:cstheme="minorEastAsia"/>
                      <w:color w:val="000000" w:themeColor="text1"/>
                      <w:szCs w:val="21"/>
                      <w:lang w:val="en-US"/>
                    </w:rPr>
                    <w:t>项目厂界西南侧居民点</w:t>
                  </w:r>
                </w:p>
              </w:tc>
              <w:tc>
                <w:tcPr>
                  <w:tcW w:w="658" w:type="pct"/>
                  <w:vAlign w:val="center"/>
                </w:tcPr>
                <w:p w14:paraId="30713CBF">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2</w:t>
                  </w:r>
                  <w:r>
                    <w:rPr>
                      <w:rFonts w:ascii="Times New Roman" w:hAnsi="Times New Roman" w:cs="Times New Roman"/>
                      <w:color w:val="000000" w:themeColor="text1"/>
                      <w:kern w:val="2"/>
                      <w:sz w:val="21"/>
                      <w:szCs w:val="21"/>
                      <w:lang w:val="en-US" w:bidi="ar-SA"/>
                    </w:rPr>
                    <w:t>类</w:t>
                  </w:r>
                </w:p>
              </w:tc>
              <w:tc>
                <w:tcPr>
                  <w:tcW w:w="1905" w:type="dxa"/>
                  <w:vAlign w:val="center"/>
                </w:tcPr>
                <w:p w14:paraId="03344B86">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sz w:val="24"/>
                      <w:szCs w:val="24"/>
                      <w:lang w:val="en-US" w:eastAsia="zh-CN"/>
                    </w:rPr>
                    <w:t>***</w:t>
                  </w:r>
                </w:p>
              </w:tc>
              <w:tc>
                <w:tcPr>
                  <w:tcW w:w="1909" w:type="dxa"/>
                  <w:vAlign w:val="center"/>
                </w:tcPr>
                <w:p w14:paraId="084208E2">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sz w:val="24"/>
                      <w:szCs w:val="24"/>
                      <w:lang w:val="en-US" w:eastAsia="zh-CN"/>
                    </w:rPr>
                    <w:t>***</w:t>
                  </w:r>
                </w:p>
              </w:tc>
            </w:tr>
            <w:tr w14:paraId="2911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exact"/>
                <w:jc w:val="center"/>
              </w:trPr>
              <w:tc>
                <w:tcPr>
                  <w:tcW w:w="565" w:type="pct"/>
                  <w:vAlign w:val="center"/>
                </w:tcPr>
                <w:p w14:paraId="18204DC3">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N</w:t>
                  </w:r>
                  <w:r>
                    <w:rPr>
                      <w:rFonts w:hint="eastAsia" w:ascii="Times New Roman" w:hAnsi="Times New Roman" w:cs="Times New Roman"/>
                      <w:color w:val="000000" w:themeColor="text1"/>
                      <w:kern w:val="2"/>
                      <w:sz w:val="21"/>
                      <w:szCs w:val="21"/>
                      <w:lang w:val="en-US" w:bidi="ar-SA"/>
                    </w:rPr>
                    <w:t>3</w:t>
                  </w:r>
                </w:p>
              </w:tc>
              <w:tc>
                <w:tcPr>
                  <w:tcW w:w="1569" w:type="pct"/>
                  <w:vAlign w:val="center"/>
                </w:tcPr>
                <w:p w14:paraId="2A53F055">
                  <w:pPr>
                    <w:autoSpaceDE/>
                    <w:autoSpaceDN/>
                    <w:jc w:val="center"/>
                    <w:rPr>
                      <w:rFonts w:ascii="Times New Roman" w:hAnsi="Times New Roman"/>
                      <w:color w:val="000000" w:themeColor="text1"/>
                    </w:rPr>
                  </w:pPr>
                  <w:r>
                    <w:rPr>
                      <w:rFonts w:hint="eastAsia" w:ascii="Times New Roman" w:hAnsi="Times New Roman" w:cstheme="minorEastAsia"/>
                      <w:color w:val="000000" w:themeColor="text1"/>
                      <w:szCs w:val="21"/>
                      <w:lang w:val="en-US"/>
                    </w:rPr>
                    <w:t>项目北侧医院急诊医技楼</w:t>
                  </w:r>
                </w:p>
              </w:tc>
              <w:tc>
                <w:tcPr>
                  <w:tcW w:w="658" w:type="pct"/>
                  <w:vAlign w:val="center"/>
                </w:tcPr>
                <w:p w14:paraId="7137B316">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1类</w:t>
                  </w:r>
                </w:p>
              </w:tc>
              <w:tc>
                <w:tcPr>
                  <w:tcW w:w="1905" w:type="dxa"/>
                  <w:vAlign w:val="center"/>
                </w:tcPr>
                <w:p w14:paraId="00DE3467">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sz w:val="24"/>
                      <w:szCs w:val="24"/>
                      <w:lang w:val="en-US" w:eastAsia="zh-CN"/>
                    </w:rPr>
                    <w:t>***</w:t>
                  </w:r>
                </w:p>
              </w:tc>
              <w:tc>
                <w:tcPr>
                  <w:tcW w:w="1909" w:type="dxa"/>
                  <w:vAlign w:val="center"/>
                </w:tcPr>
                <w:p w14:paraId="678D0BFD">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sz w:val="24"/>
                      <w:szCs w:val="24"/>
                      <w:lang w:val="en-US" w:eastAsia="zh-CN"/>
                    </w:rPr>
                    <w:t>***</w:t>
                  </w:r>
                </w:p>
              </w:tc>
            </w:tr>
          </w:tbl>
          <w:p w14:paraId="2A3533B5">
            <w:pPr>
              <w:autoSpaceDE/>
              <w:autoSpaceDN/>
              <w:spacing w:line="380" w:lineRule="auto"/>
              <w:ind w:firstLine="480" w:firstLineChars="200"/>
              <w:jc w:val="both"/>
              <w:rPr>
                <w:rFonts w:ascii="Times New Roman" w:hAnsi="Times New Roman" w:cs="Times New Roman"/>
                <w:color w:val="000000" w:themeColor="text1"/>
                <w:sz w:val="24"/>
                <w:lang w:val="en-US" w:bidi="ar-SA"/>
              </w:rPr>
            </w:pPr>
            <w:r>
              <w:rPr>
                <w:rFonts w:ascii="Times New Roman" w:hAnsi="Times New Roman" w:cs="Times New Roman"/>
                <w:color w:val="000000" w:themeColor="text1"/>
                <w:kern w:val="2"/>
                <w:sz w:val="24"/>
                <w:szCs w:val="24"/>
                <w:lang w:val="en-US" w:bidi="ar-SA"/>
              </w:rPr>
              <w:t>由监测数据可知，监测点声环境</w:t>
            </w:r>
            <w:r>
              <w:rPr>
                <w:rFonts w:hint="eastAsia" w:ascii="Times New Roman" w:hAnsi="Times New Roman" w:cs="Times New Roman"/>
                <w:color w:val="000000" w:themeColor="text1"/>
                <w:kern w:val="2"/>
                <w:sz w:val="24"/>
                <w:szCs w:val="24"/>
                <w:lang w:val="en-US" w:bidi="ar-SA"/>
              </w:rPr>
              <w:t>昼间、夜间</w:t>
            </w:r>
            <w:r>
              <w:rPr>
                <w:rFonts w:ascii="Times New Roman" w:hAnsi="Times New Roman" w:cs="Times New Roman"/>
                <w:color w:val="000000" w:themeColor="text1"/>
                <w:kern w:val="2"/>
                <w:sz w:val="24"/>
                <w:szCs w:val="24"/>
                <w:lang w:val="en-US" w:bidi="ar-SA"/>
              </w:rPr>
              <w:t>监测值均未超标，</w:t>
            </w:r>
            <w:r>
              <w:rPr>
                <w:rFonts w:hint="eastAsia" w:ascii="Times New Roman" w:hAnsi="Times New Roman"/>
                <w:color w:val="000000" w:themeColor="text1"/>
                <w:sz w:val="24"/>
                <w:szCs w:val="24"/>
              </w:rPr>
              <w:t>项目</w:t>
            </w:r>
            <w:r>
              <w:rPr>
                <w:rFonts w:hint="eastAsia" w:ascii="Times New Roman" w:hAnsi="Times New Roman"/>
                <w:color w:val="000000" w:themeColor="text1"/>
                <w:sz w:val="24"/>
                <w:szCs w:val="24"/>
                <w:lang w:val="en-US"/>
              </w:rPr>
              <w:t>北</w:t>
            </w:r>
            <w:r>
              <w:rPr>
                <w:rFonts w:hint="eastAsia" w:ascii="Times New Roman" w:hAnsi="Times New Roman"/>
                <w:color w:val="000000" w:themeColor="text1"/>
                <w:sz w:val="24"/>
                <w:szCs w:val="24"/>
              </w:rPr>
              <w:t>侧医院急诊医技楼</w:t>
            </w:r>
            <w:r>
              <w:rPr>
                <w:rFonts w:ascii="Times New Roman" w:hAnsi="Times New Roman" w:cs="Times New Roman"/>
                <w:color w:val="000000" w:themeColor="text1"/>
                <w:kern w:val="2"/>
                <w:sz w:val="24"/>
                <w:szCs w:val="24"/>
                <w:lang w:val="en-US" w:bidi="ar-SA"/>
              </w:rPr>
              <w:t>达到《声环境质量标准》（GB3096-2008）</w:t>
            </w:r>
            <w:r>
              <w:rPr>
                <w:rFonts w:hint="eastAsia" w:ascii="Times New Roman" w:hAnsi="Times New Roman" w:cs="Times New Roman"/>
                <w:color w:val="000000" w:themeColor="text1"/>
                <w:kern w:val="2"/>
                <w:sz w:val="24"/>
                <w:szCs w:val="24"/>
                <w:lang w:val="en-US" w:bidi="ar-SA"/>
              </w:rPr>
              <w:t>1</w:t>
            </w:r>
            <w:r>
              <w:rPr>
                <w:rFonts w:ascii="Times New Roman" w:hAnsi="Times New Roman" w:cs="Times New Roman"/>
                <w:color w:val="000000" w:themeColor="text1"/>
                <w:kern w:val="2"/>
                <w:sz w:val="24"/>
                <w:szCs w:val="24"/>
                <w:lang w:val="en-US" w:bidi="ar-SA"/>
              </w:rPr>
              <w:t>类标准要求，</w:t>
            </w:r>
            <w:r>
              <w:rPr>
                <w:rFonts w:hint="eastAsia" w:ascii="Times New Roman" w:hAnsi="Times New Roman" w:cs="Times New Roman"/>
                <w:color w:val="000000" w:themeColor="text1"/>
                <w:kern w:val="2"/>
                <w:sz w:val="24"/>
                <w:szCs w:val="24"/>
                <w:lang w:val="en-US" w:bidi="ar-SA"/>
              </w:rPr>
              <w:t>项目西南侧、南侧居民点</w:t>
            </w:r>
            <w:r>
              <w:rPr>
                <w:rFonts w:ascii="Times New Roman" w:hAnsi="Times New Roman" w:cs="Times New Roman"/>
                <w:color w:val="000000" w:themeColor="text1"/>
                <w:kern w:val="2"/>
                <w:sz w:val="24"/>
                <w:szCs w:val="24"/>
                <w:lang w:val="en-US" w:bidi="ar-SA"/>
              </w:rPr>
              <w:t>达到《声环境质量标准》（GB3096-2008）</w:t>
            </w:r>
            <w:r>
              <w:rPr>
                <w:rFonts w:hint="eastAsia" w:ascii="Times New Roman" w:hAnsi="Times New Roman" w:cs="Times New Roman"/>
                <w:color w:val="000000" w:themeColor="text1"/>
                <w:kern w:val="2"/>
                <w:sz w:val="24"/>
                <w:szCs w:val="24"/>
                <w:lang w:val="en-US" w:bidi="ar-SA"/>
              </w:rPr>
              <w:t>2</w:t>
            </w:r>
            <w:r>
              <w:rPr>
                <w:rFonts w:ascii="Times New Roman" w:hAnsi="Times New Roman" w:cs="Times New Roman"/>
                <w:color w:val="000000" w:themeColor="text1"/>
                <w:kern w:val="2"/>
                <w:sz w:val="24"/>
                <w:szCs w:val="24"/>
                <w:lang w:val="en-US" w:bidi="ar-SA"/>
              </w:rPr>
              <w:t>类标准要求</w:t>
            </w:r>
            <w:r>
              <w:rPr>
                <w:rFonts w:ascii="Times New Roman" w:hAnsi="Times New Roman" w:cs="Times New Roman"/>
                <w:color w:val="000000" w:themeColor="text1"/>
                <w:sz w:val="24"/>
                <w:lang w:val="en-US" w:bidi="ar-SA"/>
              </w:rPr>
              <w:t>。</w:t>
            </w:r>
          </w:p>
          <w:p w14:paraId="560D6013">
            <w:pPr>
              <w:autoSpaceDE/>
              <w:autoSpaceDN/>
              <w:spacing w:line="380" w:lineRule="auto"/>
              <w:ind w:firstLine="482" w:firstLineChars="200"/>
              <w:jc w:val="both"/>
              <w:rPr>
                <w:rFonts w:ascii="Times New Roman" w:hAnsi="Times New Roman" w:cs="Times New Roman"/>
                <w:b/>
                <w:color w:val="000000" w:themeColor="text1"/>
                <w:kern w:val="2"/>
                <w:sz w:val="24"/>
                <w:szCs w:val="24"/>
                <w:lang w:val="en-US" w:bidi="ar-SA"/>
              </w:rPr>
            </w:pPr>
            <w:r>
              <w:rPr>
                <w:rFonts w:hint="eastAsia" w:ascii="Times New Roman" w:hAnsi="Times New Roman" w:cs="Times New Roman"/>
                <w:b/>
                <w:color w:val="000000" w:themeColor="text1"/>
                <w:kern w:val="2"/>
                <w:sz w:val="24"/>
                <w:szCs w:val="24"/>
                <w:lang w:val="en-US" w:bidi="ar-SA"/>
              </w:rPr>
              <w:t>5</w:t>
            </w:r>
            <w:r>
              <w:rPr>
                <w:rFonts w:ascii="Times New Roman" w:hAnsi="Times New Roman" w:cs="Times New Roman"/>
                <w:b/>
                <w:color w:val="000000" w:themeColor="text1"/>
                <w:kern w:val="2"/>
                <w:sz w:val="24"/>
                <w:szCs w:val="24"/>
                <w:lang w:val="en-US" w:bidi="ar-SA"/>
              </w:rPr>
              <w:t>、生态环境现状</w:t>
            </w:r>
          </w:p>
          <w:p w14:paraId="5A2B9104">
            <w:pPr>
              <w:pStyle w:val="40"/>
              <w:spacing w:line="360" w:lineRule="auto"/>
              <w:ind w:firstLine="480" w:firstLineChars="200"/>
              <w:jc w:val="both"/>
              <w:rPr>
                <w:rFonts w:ascii="Times New Roman" w:hAnsi="Times New Roman" w:cs="Times New Roman"/>
                <w:color w:val="000000" w:themeColor="text1"/>
                <w:sz w:val="21"/>
              </w:rPr>
            </w:pPr>
            <w:r>
              <w:rPr>
                <w:rFonts w:hint="eastAsia" w:ascii="Times New Roman" w:hAnsi="Times New Roman" w:cs="Times New Roman"/>
                <w:color w:val="000000" w:themeColor="text1"/>
                <w:sz w:val="24"/>
                <w:szCs w:val="24"/>
                <w:lang w:val="en-US" w:bidi="ar-SA"/>
              </w:rPr>
              <w:t>项目位于原永福县人民医院内，不新增占地，</w:t>
            </w:r>
            <w:r>
              <w:rPr>
                <w:rFonts w:hint="eastAsia" w:ascii="Times New Roman" w:hAnsi="Times New Roman" w:cs="Times New Roman"/>
                <w:color w:val="000000" w:themeColor="text1"/>
                <w:kern w:val="2"/>
                <w:sz w:val="24"/>
                <w:szCs w:val="24"/>
                <w:lang w:val="en-US" w:bidi="ar-SA"/>
              </w:rPr>
              <w:t>所在地为城镇区，项目周边多为居住和商业区，由于人为活动频繁，项目周边动物种类较少，未发现</w:t>
            </w:r>
            <w:r>
              <w:rPr>
                <w:rFonts w:ascii="Times New Roman" w:hAnsi="Times New Roman" w:cs="Times New Roman"/>
                <w:color w:val="000000" w:themeColor="text1"/>
                <w:kern w:val="2"/>
                <w:sz w:val="24"/>
                <w:szCs w:val="24"/>
                <w:lang w:val="en-US" w:bidi="ar-SA"/>
              </w:rPr>
              <w:t>需特殊保护的珍稀动、植物</w:t>
            </w:r>
            <w:r>
              <w:rPr>
                <w:rFonts w:hint="eastAsia" w:ascii="Times New Roman" w:hAnsi="Times New Roman" w:cs="Times New Roman"/>
                <w:color w:val="000000" w:themeColor="text1"/>
                <w:kern w:val="2"/>
                <w:sz w:val="24"/>
                <w:szCs w:val="24"/>
                <w:lang w:val="en-US" w:bidi="ar-SA"/>
              </w:rPr>
              <w:t>。项目所在区域内</w:t>
            </w:r>
            <w:r>
              <w:rPr>
                <w:rFonts w:ascii="Times New Roman" w:hAnsi="Times New Roman"/>
                <w:color w:val="000000" w:themeColor="text1"/>
                <w:sz w:val="24"/>
                <w:szCs w:val="24"/>
              </w:rPr>
              <w:t>生态环境总体质量一般</w:t>
            </w:r>
            <w:r>
              <w:rPr>
                <w:rFonts w:hint="eastAsia" w:ascii="Times New Roman" w:hAnsi="Times New Roman" w:cs="Times New Roman"/>
                <w:color w:val="000000" w:themeColor="text1"/>
                <w:kern w:val="2"/>
                <w:sz w:val="24"/>
                <w:szCs w:val="24"/>
                <w:lang w:val="en-US" w:bidi="ar-SA"/>
              </w:rPr>
              <w:t>。</w:t>
            </w:r>
          </w:p>
        </w:tc>
      </w:tr>
      <w:tr w14:paraId="0BAAD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0" w:hRule="atLeast"/>
        </w:trPr>
        <w:tc>
          <w:tcPr>
            <w:tcW w:w="286" w:type="pct"/>
            <w:tcBorders>
              <w:top w:val="single" w:color="000000" w:sz="4" w:space="0"/>
              <w:bottom w:val="single" w:color="000000" w:sz="4" w:space="0"/>
              <w:right w:val="single" w:color="000000" w:sz="4" w:space="0"/>
            </w:tcBorders>
            <w:vAlign w:val="center"/>
          </w:tcPr>
          <w:p w14:paraId="16CF8692">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环境保护目标</w:t>
            </w:r>
          </w:p>
        </w:tc>
        <w:tc>
          <w:tcPr>
            <w:tcW w:w="4713" w:type="pct"/>
            <w:tcBorders>
              <w:top w:val="single" w:color="000000" w:sz="4" w:space="0"/>
              <w:left w:val="single" w:color="000000" w:sz="4" w:space="0"/>
              <w:bottom w:val="single" w:color="000000" w:sz="4" w:space="0"/>
            </w:tcBorders>
          </w:tcPr>
          <w:p w14:paraId="326A54A6">
            <w:pPr>
              <w:pStyle w:val="40"/>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经实地踏勘，评价区内无重点保护文物、古迹、植物、动物及人文景观等，评价保护目标确定为距离场址较近的建筑物及周围生态环境，将上述敏感目标列为重点保护对象。根据现场踏勘，主要环境保护目标详见表3-</w:t>
            </w:r>
            <w:r>
              <w:rPr>
                <w:rFonts w:hint="eastAsia" w:ascii="Times New Roman" w:hAnsi="Times New Roman" w:cs="Times New Roman"/>
                <w:color w:val="000000" w:themeColor="text1"/>
                <w:kern w:val="2"/>
                <w:sz w:val="24"/>
                <w:szCs w:val="24"/>
                <w:lang w:val="en-US" w:bidi="ar-SA"/>
              </w:rPr>
              <w:t>3</w:t>
            </w:r>
            <w:r>
              <w:rPr>
                <w:rFonts w:ascii="Times New Roman" w:hAnsi="Times New Roman" w:cs="Times New Roman"/>
                <w:color w:val="000000" w:themeColor="text1"/>
                <w:kern w:val="2"/>
                <w:sz w:val="24"/>
                <w:szCs w:val="24"/>
                <w:lang w:val="en-US" w:bidi="ar-SA"/>
              </w:rPr>
              <w:t>。</w:t>
            </w:r>
          </w:p>
          <w:p w14:paraId="343E3454">
            <w:pPr>
              <w:tabs>
                <w:tab w:val="left" w:pos="624"/>
              </w:tabs>
              <w:autoSpaceDE/>
              <w:autoSpaceDN/>
              <w:adjustRightInd w:val="0"/>
              <w:snapToGrid w:val="0"/>
              <w:spacing w:line="360" w:lineRule="auto"/>
              <w:ind w:firstLine="482" w:firstLineChars="200"/>
              <w:jc w:val="center"/>
              <w:rPr>
                <w:rFonts w:ascii="Times New Roman" w:hAnsi="Times New Roman"/>
                <w:b/>
                <w:bCs/>
                <w:color w:val="000000" w:themeColor="text1"/>
                <w:sz w:val="24"/>
                <w:szCs w:val="24"/>
                <w:lang w:val="en-US"/>
              </w:rPr>
            </w:pPr>
            <w:r>
              <w:rPr>
                <w:rFonts w:ascii="Times New Roman" w:hAnsi="Times New Roman"/>
                <w:b/>
                <w:bCs/>
                <w:color w:val="000000" w:themeColor="text1"/>
                <w:sz w:val="24"/>
                <w:szCs w:val="24"/>
                <w:lang w:val="en-US"/>
              </w:rPr>
              <w:t>表3-</w:t>
            </w:r>
            <w:r>
              <w:rPr>
                <w:rFonts w:hint="eastAsia" w:ascii="Times New Roman" w:hAnsi="Times New Roman"/>
                <w:b/>
                <w:bCs/>
                <w:color w:val="000000" w:themeColor="text1"/>
                <w:sz w:val="24"/>
                <w:szCs w:val="24"/>
                <w:lang w:val="en-US"/>
              </w:rPr>
              <w:t>3</w:t>
            </w:r>
            <w:r>
              <w:rPr>
                <w:rFonts w:ascii="Times New Roman" w:hAnsi="Times New Roman"/>
                <w:b/>
                <w:bCs/>
                <w:color w:val="000000" w:themeColor="text1"/>
                <w:sz w:val="24"/>
                <w:szCs w:val="24"/>
                <w:lang w:val="en-US"/>
              </w:rPr>
              <w:t>主要环境保护目标一览表</w:t>
            </w:r>
          </w:p>
          <w:tbl>
            <w:tblPr>
              <w:tblStyle w:val="27"/>
              <w:tblW w:w="485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14"/>
              <w:gridCol w:w="1777"/>
              <w:gridCol w:w="1153"/>
              <w:gridCol w:w="646"/>
              <w:gridCol w:w="966"/>
              <w:gridCol w:w="1208"/>
              <w:gridCol w:w="2191"/>
            </w:tblGrid>
            <w:tr w14:paraId="7293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5" w:hRule="atLeast"/>
                <w:jc w:val="center"/>
              </w:trPr>
              <w:tc>
                <w:tcPr>
                  <w:tcW w:w="304" w:type="pct"/>
                  <w:vAlign w:val="center"/>
                </w:tcPr>
                <w:p w14:paraId="516A540E">
                  <w:pPr>
                    <w:widowControl/>
                    <w:autoSpaceDE/>
                    <w:autoSpaceDN/>
                    <w:adjustRightInd w:val="0"/>
                    <w:snapToGrid w:val="0"/>
                    <w:jc w:val="center"/>
                    <w:rPr>
                      <w:rFonts w:ascii="Times New Roman" w:hAnsi="Times New Roman"/>
                      <w:b/>
                      <w:bCs/>
                      <w:color w:val="000000" w:themeColor="text1"/>
                      <w:sz w:val="21"/>
                      <w:szCs w:val="21"/>
                      <w:lang w:val="en-US"/>
                    </w:rPr>
                  </w:pPr>
                  <w:r>
                    <w:rPr>
                      <w:rFonts w:ascii="Times New Roman" w:hAnsi="Times New Roman"/>
                      <w:b/>
                      <w:bCs/>
                      <w:color w:val="000000" w:themeColor="text1"/>
                      <w:sz w:val="21"/>
                      <w:szCs w:val="21"/>
                      <w:lang w:val="en-US"/>
                    </w:rPr>
                    <w:t>环境要素</w:t>
                  </w:r>
                </w:p>
              </w:tc>
              <w:tc>
                <w:tcPr>
                  <w:tcW w:w="1050" w:type="pct"/>
                  <w:vAlign w:val="center"/>
                </w:tcPr>
                <w:p w14:paraId="7727793F">
                  <w:pPr>
                    <w:widowControl/>
                    <w:autoSpaceDE/>
                    <w:autoSpaceDN/>
                    <w:adjustRightInd w:val="0"/>
                    <w:snapToGrid w:val="0"/>
                    <w:jc w:val="center"/>
                    <w:rPr>
                      <w:rFonts w:ascii="Times New Roman" w:hAnsi="Times New Roman"/>
                      <w:b/>
                      <w:bCs/>
                      <w:color w:val="000000" w:themeColor="text1"/>
                      <w:sz w:val="21"/>
                      <w:szCs w:val="21"/>
                      <w:lang w:val="en-US"/>
                    </w:rPr>
                  </w:pPr>
                  <w:r>
                    <w:rPr>
                      <w:rFonts w:ascii="Times New Roman" w:hAnsi="Times New Roman"/>
                      <w:b/>
                      <w:bCs/>
                      <w:color w:val="000000" w:themeColor="text1"/>
                      <w:sz w:val="21"/>
                      <w:szCs w:val="21"/>
                      <w:lang w:val="en-US"/>
                    </w:rPr>
                    <w:t>环境敏感目标</w:t>
                  </w:r>
                </w:p>
              </w:tc>
              <w:tc>
                <w:tcPr>
                  <w:tcW w:w="681" w:type="pct"/>
                  <w:vAlign w:val="center"/>
                </w:tcPr>
                <w:p w14:paraId="40634FC3">
                  <w:pPr>
                    <w:widowControl/>
                    <w:autoSpaceDE/>
                    <w:autoSpaceDN/>
                    <w:adjustRightInd w:val="0"/>
                    <w:snapToGrid w:val="0"/>
                    <w:jc w:val="center"/>
                    <w:rPr>
                      <w:rFonts w:ascii="Times New Roman" w:hAnsi="Times New Roman"/>
                      <w:b/>
                      <w:bCs/>
                      <w:color w:val="000000" w:themeColor="text1"/>
                      <w:sz w:val="21"/>
                      <w:szCs w:val="21"/>
                      <w:lang w:val="en-US"/>
                    </w:rPr>
                  </w:pPr>
                  <w:r>
                    <w:rPr>
                      <w:rFonts w:hint="eastAsia" w:ascii="Times New Roman" w:hAnsi="Times New Roman"/>
                      <w:b/>
                      <w:bCs/>
                      <w:color w:val="000000" w:themeColor="text1"/>
                      <w:sz w:val="21"/>
                      <w:szCs w:val="21"/>
                      <w:lang w:val="en-US"/>
                    </w:rPr>
                    <w:t>功能</w:t>
                  </w:r>
                </w:p>
              </w:tc>
              <w:tc>
                <w:tcPr>
                  <w:tcW w:w="382" w:type="pct"/>
                  <w:vAlign w:val="center"/>
                </w:tcPr>
                <w:p w14:paraId="3CF7B8A4">
                  <w:pPr>
                    <w:widowControl/>
                    <w:autoSpaceDE/>
                    <w:autoSpaceDN/>
                    <w:adjustRightInd w:val="0"/>
                    <w:snapToGrid w:val="0"/>
                    <w:jc w:val="center"/>
                    <w:rPr>
                      <w:rFonts w:ascii="Times New Roman" w:hAnsi="Times New Roman"/>
                      <w:b/>
                      <w:bCs/>
                      <w:color w:val="000000" w:themeColor="text1"/>
                      <w:sz w:val="21"/>
                      <w:szCs w:val="21"/>
                      <w:lang w:val="en-US"/>
                    </w:rPr>
                  </w:pPr>
                  <w:r>
                    <w:rPr>
                      <w:rFonts w:ascii="Times New Roman" w:hAnsi="Times New Roman"/>
                      <w:b/>
                      <w:bCs/>
                      <w:color w:val="000000" w:themeColor="text1"/>
                      <w:sz w:val="21"/>
                      <w:szCs w:val="21"/>
                      <w:lang w:val="en-US"/>
                    </w:rPr>
                    <w:t>人口 (人)</w:t>
                  </w:r>
                </w:p>
              </w:tc>
              <w:tc>
                <w:tcPr>
                  <w:tcW w:w="571" w:type="pct"/>
                  <w:vAlign w:val="center"/>
                </w:tcPr>
                <w:p w14:paraId="06734C64">
                  <w:pPr>
                    <w:widowControl/>
                    <w:autoSpaceDE/>
                    <w:autoSpaceDN/>
                    <w:adjustRightInd w:val="0"/>
                    <w:snapToGrid w:val="0"/>
                    <w:jc w:val="center"/>
                    <w:rPr>
                      <w:rFonts w:ascii="Times New Roman" w:hAnsi="Times New Roman"/>
                      <w:b/>
                      <w:bCs/>
                      <w:color w:val="000000" w:themeColor="text1"/>
                      <w:sz w:val="21"/>
                      <w:szCs w:val="21"/>
                      <w:lang w:val="en-US"/>
                    </w:rPr>
                  </w:pPr>
                  <w:r>
                    <w:rPr>
                      <w:rFonts w:ascii="Times New Roman" w:hAnsi="Times New Roman"/>
                      <w:b/>
                      <w:bCs/>
                      <w:color w:val="000000" w:themeColor="text1"/>
                      <w:sz w:val="21"/>
                      <w:szCs w:val="21"/>
                      <w:lang w:val="en-US"/>
                    </w:rPr>
                    <w:t>与项目相对方位</w:t>
                  </w:r>
                </w:p>
              </w:tc>
              <w:tc>
                <w:tcPr>
                  <w:tcW w:w="714" w:type="pct"/>
                  <w:vAlign w:val="center"/>
                </w:tcPr>
                <w:p w14:paraId="10463F85">
                  <w:pPr>
                    <w:widowControl/>
                    <w:autoSpaceDE/>
                    <w:autoSpaceDN/>
                    <w:adjustRightInd w:val="0"/>
                    <w:snapToGrid w:val="0"/>
                    <w:jc w:val="center"/>
                    <w:rPr>
                      <w:rFonts w:ascii="Times New Roman" w:hAnsi="Times New Roman"/>
                      <w:b/>
                      <w:bCs/>
                      <w:color w:val="000000" w:themeColor="text1"/>
                      <w:sz w:val="21"/>
                      <w:szCs w:val="21"/>
                      <w:lang w:val="en-US"/>
                    </w:rPr>
                  </w:pPr>
                  <w:r>
                    <w:rPr>
                      <w:rFonts w:ascii="Times New Roman" w:hAnsi="Times New Roman"/>
                      <w:b/>
                      <w:bCs/>
                      <w:color w:val="000000" w:themeColor="text1"/>
                      <w:sz w:val="21"/>
                      <w:szCs w:val="21"/>
                      <w:lang w:val="en-US"/>
                    </w:rPr>
                    <w:t>与本项目厂界距离(m)</w:t>
                  </w:r>
                </w:p>
              </w:tc>
              <w:tc>
                <w:tcPr>
                  <w:tcW w:w="1294" w:type="pct"/>
                  <w:vAlign w:val="center"/>
                </w:tcPr>
                <w:p w14:paraId="71FF84B7">
                  <w:pPr>
                    <w:widowControl/>
                    <w:autoSpaceDE/>
                    <w:autoSpaceDN/>
                    <w:adjustRightInd w:val="0"/>
                    <w:snapToGrid w:val="0"/>
                    <w:jc w:val="center"/>
                    <w:rPr>
                      <w:rFonts w:ascii="Times New Roman" w:hAnsi="Times New Roman"/>
                      <w:b/>
                      <w:bCs/>
                      <w:color w:val="000000" w:themeColor="text1"/>
                      <w:sz w:val="21"/>
                      <w:szCs w:val="21"/>
                      <w:lang w:val="en-US"/>
                    </w:rPr>
                  </w:pPr>
                  <w:r>
                    <w:rPr>
                      <w:rFonts w:ascii="Times New Roman" w:hAnsi="Times New Roman"/>
                      <w:b/>
                      <w:bCs/>
                      <w:color w:val="000000" w:themeColor="text1"/>
                      <w:sz w:val="21"/>
                      <w:szCs w:val="21"/>
                      <w:lang w:val="en-US"/>
                    </w:rPr>
                    <w:t>环境功能</w:t>
                  </w:r>
                </w:p>
              </w:tc>
            </w:tr>
            <w:tr w14:paraId="37BB1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304" w:type="pct"/>
                  <w:vMerge w:val="restart"/>
                  <w:vAlign w:val="center"/>
                </w:tcPr>
                <w:p w14:paraId="18AC4573">
                  <w:pPr>
                    <w:widowControl/>
                    <w:autoSpaceDE/>
                    <w:autoSpaceDN/>
                    <w:adjustRightInd w:val="0"/>
                    <w:snapToGrid w:val="0"/>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大气环境</w:t>
                  </w:r>
                </w:p>
              </w:tc>
              <w:tc>
                <w:tcPr>
                  <w:tcW w:w="1050" w:type="pct"/>
                  <w:vAlign w:val="center"/>
                </w:tcPr>
                <w:p w14:paraId="23F0FB4F">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永福镇居民</w:t>
                  </w:r>
                </w:p>
              </w:tc>
              <w:tc>
                <w:tcPr>
                  <w:tcW w:w="681" w:type="pct"/>
                  <w:vAlign w:val="center"/>
                </w:tcPr>
                <w:p w14:paraId="6EE5D7D1">
                  <w:pPr>
                    <w:widowControl/>
                    <w:autoSpaceDE/>
                    <w:autoSpaceDN/>
                    <w:adjustRightInd w:val="0"/>
                    <w:snapToGrid w:val="0"/>
                    <w:jc w:val="center"/>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商业</w:t>
                  </w:r>
                  <w:r>
                    <w:rPr>
                      <w:rFonts w:hint="eastAsia" w:ascii="Times New Roman" w:hAnsi="Times New Roman"/>
                      <w:color w:val="000000" w:themeColor="text1"/>
                      <w:sz w:val="21"/>
                      <w:szCs w:val="21"/>
                      <w:lang w:val="en-US"/>
                    </w:rPr>
                    <w:t>/办公/</w:t>
                  </w:r>
                  <w:r>
                    <w:rPr>
                      <w:rFonts w:ascii="Times New Roman" w:hAnsi="Times New Roman"/>
                      <w:color w:val="000000" w:themeColor="text1"/>
                      <w:sz w:val="21"/>
                      <w:szCs w:val="21"/>
                      <w:lang w:val="en-US"/>
                    </w:rPr>
                    <w:t>居住</w:t>
                  </w:r>
                </w:p>
              </w:tc>
              <w:tc>
                <w:tcPr>
                  <w:tcW w:w="382" w:type="pct"/>
                  <w:vAlign w:val="center"/>
                </w:tcPr>
                <w:p w14:paraId="02957021">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120</w:t>
                  </w:r>
                  <w:r>
                    <w:rPr>
                      <w:rFonts w:ascii="Times New Roman" w:hAnsi="Times New Roman"/>
                      <w:color w:val="000000" w:themeColor="text1"/>
                      <w:sz w:val="21"/>
                      <w:szCs w:val="21"/>
                      <w:lang w:val="en-US"/>
                    </w:rPr>
                    <w:t>0</w:t>
                  </w:r>
                </w:p>
              </w:tc>
              <w:tc>
                <w:tcPr>
                  <w:tcW w:w="571" w:type="pct"/>
                  <w:vAlign w:val="center"/>
                </w:tcPr>
                <w:p w14:paraId="39FB5790">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西侧</w:t>
                  </w:r>
                </w:p>
              </w:tc>
              <w:tc>
                <w:tcPr>
                  <w:tcW w:w="714" w:type="pct"/>
                  <w:vAlign w:val="center"/>
                </w:tcPr>
                <w:p w14:paraId="7A5B0448">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88-500</w:t>
                  </w:r>
                </w:p>
              </w:tc>
              <w:tc>
                <w:tcPr>
                  <w:tcW w:w="1294" w:type="pct"/>
                  <w:vMerge w:val="restart"/>
                  <w:vAlign w:val="center"/>
                </w:tcPr>
                <w:p w14:paraId="10C02E41">
                  <w:pPr>
                    <w:widowControl/>
                    <w:autoSpaceDE/>
                    <w:autoSpaceDN/>
                    <w:adjustRightInd w:val="0"/>
                    <w:snapToGrid w:val="0"/>
                    <w:jc w:val="center"/>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《环境空气质量标准》GB3095-2012二级及2018年修改单</w:t>
                  </w:r>
                </w:p>
              </w:tc>
            </w:tr>
            <w:tr w14:paraId="2EEB8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jc w:val="center"/>
              </w:trPr>
              <w:tc>
                <w:tcPr>
                  <w:tcW w:w="304" w:type="pct"/>
                  <w:vMerge w:val="continue"/>
                  <w:vAlign w:val="center"/>
                </w:tcPr>
                <w:p w14:paraId="2050809E">
                  <w:pPr>
                    <w:widowControl/>
                    <w:autoSpaceDE/>
                    <w:autoSpaceDN/>
                    <w:adjustRightInd w:val="0"/>
                    <w:snapToGrid w:val="0"/>
                    <w:ind w:firstLine="420"/>
                    <w:jc w:val="center"/>
                    <w:rPr>
                      <w:rFonts w:ascii="Times New Roman" w:hAnsi="Times New Roman"/>
                      <w:color w:val="000000" w:themeColor="text1"/>
                      <w:sz w:val="21"/>
                      <w:szCs w:val="21"/>
                      <w:lang w:val="en-US"/>
                    </w:rPr>
                  </w:pPr>
                </w:p>
              </w:tc>
              <w:tc>
                <w:tcPr>
                  <w:tcW w:w="1050" w:type="pct"/>
                  <w:vAlign w:val="center"/>
                </w:tcPr>
                <w:p w14:paraId="4B62F7CD">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永福镇居民（包含永福县公安局人口管理大队）</w:t>
                  </w:r>
                </w:p>
              </w:tc>
              <w:tc>
                <w:tcPr>
                  <w:tcW w:w="681" w:type="pct"/>
                  <w:vAlign w:val="center"/>
                </w:tcPr>
                <w:p w14:paraId="2EC95B79">
                  <w:pPr>
                    <w:widowControl/>
                    <w:autoSpaceDE/>
                    <w:autoSpaceDN/>
                    <w:adjustRightInd w:val="0"/>
                    <w:snapToGrid w:val="0"/>
                    <w:jc w:val="center"/>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商业</w:t>
                  </w:r>
                  <w:r>
                    <w:rPr>
                      <w:rFonts w:hint="eastAsia" w:ascii="Times New Roman" w:hAnsi="Times New Roman"/>
                      <w:color w:val="000000" w:themeColor="text1"/>
                      <w:sz w:val="21"/>
                      <w:szCs w:val="21"/>
                      <w:lang w:val="en-US"/>
                    </w:rPr>
                    <w:t>/办公/</w:t>
                  </w:r>
                  <w:r>
                    <w:rPr>
                      <w:rFonts w:ascii="Times New Roman" w:hAnsi="Times New Roman"/>
                      <w:color w:val="000000" w:themeColor="text1"/>
                      <w:sz w:val="21"/>
                      <w:szCs w:val="21"/>
                      <w:lang w:val="en-US"/>
                    </w:rPr>
                    <w:t>居住</w:t>
                  </w:r>
                </w:p>
              </w:tc>
              <w:tc>
                <w:tcPr>
                  <w:tcW w:w="382" w:type="pct"/>
                  <w:vAlign w:val="center"/>
                </w:tcPr>
                <w:p w14:paraId="7DC70F4A">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2000</w:t>
                  </w:r>
                </w:p>
              </w:tc>
              <w:tc>
                <w:tcPr>
                  <w:tcW w:w="571" w:type="pct"/>
                  <w:vAlign w:val="center"/>
                </w:tcPr>
                <w:p w14:paraId="58A27E05">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南侧</w:t>
                  </w:r>
                </w:p>
              </w:tc>
              <w:tc>
                <w:tcPr>
                  <w:tcW w:w="714" w:type="pct"/>
                  <w:vAlign w:val="center"/>
                </w:tcPr>
                <w:p w14:paraId="6CC974A2">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14</w:t>
                  </w:r>
                  <w:r>
                    <w:rPr>
                      <w:rFonts w:ascii="Times New Roman" w:hAnsi="Times New Roman"/>
                      <w:color w:val="000000" w:themeColor="text1"/>
                      <w:sz w:val="21"/>
                      <w:szCs w:val="21"/>
                      <w:lang w:val="en-US"/>
                    </w:rPr>
                    <w:t>-500</w:t>
                  </w:r>
                </w:p>
              </w:tc>
              <w:tc>
                <w:tcPr>
                  <w:tcW w:w="1294" w:type="pct"/>
                  <w:vMerge w:val="continue"/>
                  <w:vAlign w:val="center"/>
                </w:tcPr>
                <w:p w14:paraId="078C5D7F">
                  <w:pPr>
                    <w:widowControl/>
                    <w:autoSpaceDE/>
                    <w:autoSpaceDN/>
                    <w:adjustRightInd w:val="0"/>
                    <w:snapToGrid w:val="0"/>
                    <w:ind w:firstLine="420"/>
                    <w:jc w:val="center"/>
                    <w:rPr>
                      <w:rFonts w:ascii="Times New Roman" w:hAnsi="Times New Roman"/>
                      <w:color w:val="000000" w:themeColor="text1"/>
                      <w:sz w:val="21"/>
                      <w:szCs w:val="21"/>
                      <w:lang w:val="en-US"/>
                    </w:rPr>
                  </w:pPr>
                </w:p>
              </w:tc>
            </w:tr>
            <w:tr w14:paraId="15AB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jc w:val="center"/>
              </w:trPr>
              <w:tc>
                <w:tcPr>
                  <w:tcW w:w="304" w:type="pct"/>
                  <w:vMerge w:val="continue"/>
                  <w:vAlign w:val="center"/>
                </w:tcPr>
                <w:p w14:paraId="1BCCD266">
                  <w:pPr>
                    <w:widowControl/>
                    <w:autoSpaceDE/>
                    <w:autoSpaceDN/>
                    <w:adjustRightInd w:val="0"/>
                    <w:snapToGrid w:val="0"/>
                    <w:ind w:firstLine="420"/>
                    <w:jc w:val="center"/>
                    <w:rPr>
                      <w:rFonts w:ascii="Times New Roman" w:hAnsi="Times New Roman"/>
                      <w:color w:val="000000" w:themeColor="text1"/>
                      <w:sz w:val="21"/>
                      <w:szCs w:val="21"/>
                      <w:lang w:val="en-US"/>
                    </w:rPr>
                  </w:pPr>
                </w:p>
              </w:tc>
              <w:tc>
                <w:tcPr>
                  <w:tcW w:w="1050" w:type="pct"/>
                  <w:vAlign w:val="center"/>
                </w:tcPr>
                <w:p w14:paraId="1BB061F5">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永福镇居民（包含永福镇人民政府）</w:t>
                  </w:r>
                </w:p>
              </w:tc>
              <w:tc>
                <w:tcPr>
                  <w:tcW w:w="681" w:type="pct"/>
                  <w:vAlign w:val="center"/>
                </w:tcPr>
                <w:p w14:paraId="58AAB1BE">
                  <w:pPr>
                    <w:widowControl/>
                    <w:autoSpaceDE/>
                    <w:autoSpaceDN/>
                    <w:adjustRightInd w:val="0"/>
                    <w:snapToGrid w:val="0"/>
                    <w:jc w:val="center"/>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商业</w:t>
                  </w:r>
                  <w:r>
                    <w:rPr>
                      <w:rFonts w:hint="eastAsia" w:ascii="Times New Roman" w:hAnsi="Times New Roman"/>
                      <w:color w:val="000000" w:themeColor="text1"/>
                      <w:sz w:val="21"/>
                      <w:szCs w:val="21"/>
                      <w:lang w:val="en-US"/>
                    </w:rPr>
                    <w:t>/办公/</w:t>
                  </w:r>
                  <w:r>
                    <w:rPr>
                      <w:rFonts w:ascii="Times New Roman" w:hAnsi="Times New Roman"/>
                      <w:color w:val="000000" w:themeColor="text1"/>
                      <w:sz w:val="21"/>
                      <w:szCs w:val="21"/>
                      <w:lang w:val="en-US"/>
                    </w:rPr>
                    <w:t>居住</w:t>
                  </w:r>
                </w:p>
              </w:tc>
              <w:tc>
                <w:tcPr>
                  <w:tcW w:w="382" w:type="pct"/>
                  <w:vAlign w:val="center"/>
                </w:tcPr>
                <w:p w14:paraId="2771B9A4">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1000</w:t>
                  </w:r>
                </w:p>
              </w:tc>
              <w:tc>
                <w:tcPr>
                  <w:tcW w:w="571" w:type="pct"/>
                  <w:vAlign w:val="center"/>
                </w:tcPr>
                <w:p w14:paraId="50EB8678">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北侧</w:t>
                  </w:r>
                </w:p>
              </w:tc>
              <w:tc>
                <w:tcPr>
                  <w:tcW w:w="714" w:type="pct"/>
                  <w:vAlign w:val="center"/>
                </w:tcPr>
                <w:p w14:paraId="769284C7">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292</w:t>
                  </w:r>
                  <w:r>
                    <w:rPr>
                      <w:rFonts w:ascii="Times New Roman" w:hAnsi="Times New Roman"/>
                      <w:color w:val="000000" w:themeColor="text1"/>
                      <w:sz w:val="21"/>
                      <w:szCs w:val="21"/>
                      <w:lang w:val="en-US"/>
                    </w:rPr>
                    <w:t>-500</w:t>
                  </w:r>
                </w:p>
              </w:tc>
              <w:tc>
                <w:tcPr>
                  <w:tcW w:w="1294" w:type="pct"/>
                  <w:vMerge w:val="continue"/>
                  <w:vAlign w:val="center"/>
                </w:tcPr>
                <w:p w14:paraId="6DFCC8AA">
                  <w:pPr>
                    <w:widowControl/>
                    <w:autoSpaceDE/>
                    <w:autoSpaceDN/>
                    <w:adjustRightInd w:val="0"/>
                    <w:snapToGrid w:val="0"/>
                    <w:ind w:firstLine="420"/>
                    <w:jc w:val="center"/>
                    <w:rPr>
                      <w:rFonts w:ascii="Times New Roman" w:hAnsi="Times New Roman"/>
                      <w:color w:val="000000" w:themeColor="text1"/>
                      <w:sz w:val="21"/>
                      <w:szCs w:val="21"/>
                      <w:lang w:val="en-US"/>
                    </w:rPr>
                  </w:pPr>
                </w:p>
              </w:tc>
            </w:tr>
            <w:tr w14:paraId="01117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jc w:val="center"/>
              </w:trPr>
              <w:tc>
                <w:tcPr>
                  <w:tcW w:w="304" w:type="pct"/>
                  <w:vMerge w:val="continue"/>
                  <w:vAlign w:val="center"/>
                </w:tcPr>
                <w:p w14:paraId="6193287E">
                  <w:pPr>
                    <w:widowControl/>
                    <w:autoSpaceDE/>
                    <w:autoSpaceDN/>
                    <w:adjustRightInd w:val="0"/>
                    <w:snapToGrid w:val="0"/>
                    <w:ind w:firstLine="420"/>
                    <w:jc w:val="center"/>
                    <w:rPr>
                      <w:rFonts w:ascii="Times New Roman" w:hAnsi="Times New Roman"/>
                      <w:color w:val="000000" w:themeColor="text1"/>
                      <w:sz w:val="21"/>
                      <w:szCs w:val="21"/>
                      <w:lang w:val="en-US"/>
                    </w:rPr>
                  </w:pPr>
                </w:p>
              </w:tc>
              <w:tc>
                <w:tcPr>
                  <w:tcW w:w="1050" w:type="pct"/>
                  <w:vAlign w:val="center"/>
                </w:tcPr>
                <w:p w14:paraId="658549D4">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lang w:val="en-US"/>
                    </w:rPr>
                    <w:t>急诊医技楼</w:t>
                  </w:r>
                </w:p>
              </w:tc>
              <w:tc>
                <w:tcPr>
                  <w:tcW w:w="681" w:type="pct"/>
                  <w:vAlign w:val="center"/>
                </w:tcPr>
                <w:p w14:paraId="456E44F9">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医疗/办公</w:t>
                  </w:r>
                </w:p>
              </w:tc>
              <w:tc>
                <w:tcPr>
                  <w:tcW w:w="382" w:type="pct"/>
                  <w:vAlign w:val="center"/>
                </w:tcPr>
                <w:p w14:paraId="3258E112">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300</w:t>
                  </w:r>
                </w:p>
              </w:tc>
              <w:tc>
                <w:tcPr>
                  <w:tcW w:w="571" w:type="pct"/>
                  <w:vAlign w:val="center"/>
                </w:tcPr>
                <w:p w14:paraId="16BF3680">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lang w:val="en-US"/>
                    </w:rPr>
                    <w:t>北侧</w:t>
                  </w:r>
                </w:p>
              </w:tc>
              <w:tc>
                <w:tcPr>
                  <w:tcW w:w="714" w:type="pct"/>
                  <w:tcBorders>
                    <w:bottom w:val="single" w:color="auto" w:sz="4" w:space="0"/>
                  </w:tcBorders>
                  <w:vAlign w:val="center"/>
                </w:tcPr>
                <w:p w14:paraId="409A8080">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7</w:t>
                  </w:r>
                </w:p>
              </w:tc>
              <w:tc>
                <w:tcPr>
                  <w:tcW w:w="1294" w:type="pct"/>
                  <w:vMerge w:val="continue"/>
                  <w:vAlign w:val="center"/>
                </w:tcPr>
                <w:p w14:paraId="02408A97">
                  <w:pPr>
                    <w:widowControl/>
                    <w:autoSpaceDE/>
                    <w:autoSpaceDN/>
                    <w:adjustRightInd w:val="0"/>
                    <w:snapToGrid w:val="0"/>
                    <w:ind w:firstLine="420"/>
                    <w:jc w:val="center"/>
                    <w:rPr>
                      <w:rFonts w:ascii="Times New Roman" w:hAnsi="Times New Roman"/>
                      <w:color w:val="000000" w:themeColor="text1"/>
                      <w:sz w:val="21"/>
                      <w:szCs w:val="21"/>
                      <w:lang w:val="en-US"/>
                    </w:rPr>
                  </w:pPr>
                </w:p>
              </w:tc>
            </w:tr>
            <w:tr w14:paraId="67622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jc w:val="center"/>
              </w:trPr>
              <w:tc>
                <w:tcPr>
                  <w:tcW w:w="304" w:type="pct"/>
                  <w:vMerge w:val="continue"/>
                  <w:vAlign w:val="center"/>
                </w:tcPr>
                <w:p w14:paraId="17513CE8">
                  <w:pPr>
                    <w:widowControl/>
                    <w:autoSpaceDE/>
                    <w:autoSpaceDN/>
                    <w:adjustRightInd w:val="0"/>
                    <w:snapToGrid w:val="0"/>
                    <w:ind w:firstLine="420"/>
                    <w:jc w:val="center"/>
                    <w:rPr>
                      <w:rFonts w:ascii="Times New Roman" w:hAnsi="Times New Roman"/>
                      <w:color w:val="000000" w:themeColor="text1"/>
                      <w:sz w:val="21"/>
                      <w:szCs w:val="21"/>
                      <w:lang w:val="en-US"/>
                    </w:rPr>
                  </w:pPr>
                </w:p>
              </w:tc>
              <w:tc>
                <w:tcPr>
                  <w:tcW w:w="1050" w:type="pct"/>
                  <w:vAlign w:val="center"/>
                </w:tcPr>
                <w:p w14:paraId="229A5A62">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lang w:val="en-US"/>
                    </w:rPr>
                    <w:t>住院楼</w:t>
                  </w:r>
                </w:p>
              </w:tc>
              <w:tc>
                <w:tcPr>
                  <w:tcW w:w="681" w:type="pct"/>
                  <w:vAlign w:val="center"/>
                </w:tcPr>
                <w:p w14:paraId="168A1A9B">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医疗/办公</w:t>
                  </w:r>
                </w:p>
              </w:tc>
              <w:tc>
                <w:tcPr>
                  <w:tcW w:w="382" w:type="pct"/>
                  <w:vAlign w:val="center"/>
                </w:tcPr>
                <w:p w14:paraId="4B2B706B">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350</w:t>
                  </w:r>
                </w:p>
              </w:tc>
              <w:tc>
                <w:tcPr>
                  <w:tcW w:w="571" w:type="pct"/>
                  <w:vAlign w:val="center"/>
                </w:tcPr>
                <w:p w14:paraId="5C8496FB">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lang w:val="en-US"/>
                    </w:rPr>
                    <w:t>东北侧</w:t>
                  </w:r>
                </w:p>
              </w:tc>
              <w:tc>
                <w:tcPr>
                  <w:tcW w:w="714" w:type="pct"/>
                  <w:tcBorders>
                    <w:bottom w:val="single" w:color="auto" w:sz="4" w:space="0"/>
                  </w:tcBorders>
                  <w:vAlign w:val="center"/>
                </w:tcPr>
                <w:p w14:paraId="65A0FA6A">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52</w:t>
                  </w:r>
                </w:p>
              </w:tc>
              <w:tc>
                <w:tcPr>
                  <w:tcW w:w="1294" w:type="pct"/>
                  <w:vMerge w:val="continue"/>
                  <w:vAlign w:val="center"/>
                </w:tcPr>
                <w:p w14:paraId="6BB3AF8A">
                  <w:pPr>
                    <w:widowControl/>
                    <w:autoSpaceDE/>
                    <w:autoSpaceDN/>
                    <w:adjustRightInd w:val="0"/>
                    <w:snapToGrid w:val="0"/>
                    <w:ind w:firstLine="420"/>
                    <w:jc w:val="center"/>
                    <w:rPr>
                      <w:rFonts w:ascii="Times New Roman" w:hAnsi="Times New Roman"/>
                      <w:color w:val="000000" w:themeColor="text1"/>
                      <w:sz w:val="21"/>
                      <w:szCs w:val="21"/>
                      <w:lang w:val="en-US"/>
                    </w:rPr>
                  </w:pPr>
                </w:p>
              </w:tc>
            </w:tr>
            <w:tr w14:paraId="305F0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jc w:val="center"/>
              </w:trPr>
              <w:tc>
                <w:tcPr>
                  <w:tcW w:w="304" w:type="pct"/>
                  <w:vMerge w:val="continue"/>
                  <w:vAlign w:val="center"/>
                </w:tcPr>
                <w:p w14:paraId="3B274364">
                  <w:pPr>
                    <w:widowControl/>
                    <w:autoSpaceDE/>
                    <w:autoSpaceDN/>
                    <w:adjustRightInd w:val="0"/>
                    <w:snapToGrid w:val="0"/>
                    <w:ind w:firstLine="420"/>
                    <w:jc w:val="center"/>
                    <w:rPr>
                      <w:rFonts w:ascii="Times New Roman" w:hAnsi="Times New Roman"/>
                      <w:color w:val="000000" w:themeColor="text1"/>
                      <w:sz w:val="21"/>
                      <w:szCs w:val="21"/>
                      <w:lang w:val="en-US"/>
                    </w:rPr>
                  </w:pPr>
                </w:p>
              </w:tc>
              <w:tc>
                <w:tcPr>
                  <w:tcW w:w="1050" w:type="pct"/>
                  <w:vAlign w:val="center"/>
                </w:tcPr>
                <w:p w14:paraId="6C513508">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rPr>
                    <w:t>后勤综合楼</w:t>
                  </w:r>
                </w:p>
              </w:tc>
              <w:tc>
                <w:tcPr>
                  <w:tcW w:w="681" w:type="pct"/>
                  <w:vAlign w:val="center"/>
                </w:tcPr>
                <w:p w14:paraId="026C6EB8">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医疗/办公/</w:t>
                  </w:r>
                  <w:r>
                    <w:rPr>
                      <w:rFonts w:ascii="Times New Roman" w:hAnsi="Times New Roman"/>
                      <w:color w:val="000000" w:themeColor="text1"/>
                      <w:sz w:val="21"/>
                      <w:szCs w:val="21"/>
                      <w:lang w:val="en-US"/>
                    </w:rPr>
                    <w:t>居住</w:t>
                  </w:r>
                </w:p>
              </w:tc>
              <w:tc>
                <w:tcPr>
                  <w:tcW w:w="382" w:type="pct"/>
                  <w:vAlign w:val="center"/>
                </w:tcPr>
                <w:p w14:paraId="14E0313C">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100</w:t>
                  </w:r>
                </w:p>
              </w:tc>
              <w:tc>
                <w:tcPr>
                  <w:tcW w:w="571" w:type="pct"/>
                  <w:vAlign w:val="center"/>
                </w:tcPr>
                <w:p w14:paraId="77CD7A9A">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lang w:val="en-US"/>
                    </w:rPr>
                    <w:t>东北侧</w:t>
                  </w:r>
                </w:p>
              </w:tc>
              <w:tc>
                <w:tcPr>
                  <w:tcW w:w="714" w:type="pct"/>
                  <w:tcBorders>
                    <w:bottom w:val="single" w:color="auto" w:sz="4" w:space="0"/>
                  </w:tcBorders>
                  <w:vAlign w:val="center"/>
                </w:tcPr>
                <w:p w14:paraId="20E55272">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27</w:t>
                  </w:r>
                </w:p>
              </w:tc>
              <w:tc>
                <w:tcPr>
                  <w:tcW w:w="1294" w:type="pct"/>
                  <w:vMerge w:val="continue"/>
                  <w:vAlign w:val="center"/>
                </w:tcPr>
                <w:p w14:paraId="1898937E">
                  <w:pPr>
                    <w:widowControl/>
                    <w:autoSpaceDE/>
                    <w:autoSpaceDN/>
                    <w:adjustRightInd w:val="0"/>
                    <w:snapToGrid w:val="0"/>
                    <w:ind w:firstLine="420"/>
                    <w:jc w:val="center"/>
                    <w:rPr>
                      <w:rFonts w:ascii="Times New Roman" w:hAnsi="Times New Roman"/>
                      <w:color w:val="000000" w:themeColor="text1"/>
                      <w:sz w:val="21"/>
                      <w:szCs w:val="21"/>
                      <w:lang w:val="en-US"/>
                    </w:rPr>
                  </w:pPr>
                </w:p>
              </w:tc>
            </w:tr>
            <w:tr w14:paraId="2C187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jc w:val="center"/>
              </w:trPr>
              <w:tc>
                <w:tcPr>
                  <w:tcW w:w="304" w:type="pct"/>
                  <w:vMerge w:val="continue"/>
                  <w:vAlign w:val="center"/>
                </w:tcPr>
                <w:p w14:paraId="48618504">
                  <w:pPr>
                    <w:widowControl/>
                    <w:autoSpaceDE/>
                    <w:autoSpaceDN/>
                    <w:adjustRightInd w:val="0"/>
                    <w:snapToGrid w:val="0"/>
                    <w:ind w:firstLine="420"/>
                    <w:jc w:val="center"/>
                    <w:rPr>
                      <w:rFonts w:ascii="Times New Roman" w:hAnsi="Times New Roman"/>
                      <w:color w:val="000000" w:themeColor="text1"/>
                      <w:sz w:val="21"/>
                      <w:szCs w:val="21"/>
                      <w:lang w:val="en-US"/>
                    </w:rPr>
                  </w:pPr>
                </w:p>
              </w:tc>
              <w:tc>
                <w:tcPr>
                  <w:tcW w:w="1050" w:type="pct"/>
                  <w:vAlign w:val="center"/>
                </w:tcPr>
                <w:p w14:paraId="6038BBAC">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lang w:val="en-US"/>
                    </w:rPr>
                    <w:t>在建</w:t>
                  </w:r>
                  <w:r>
                    <w:rPr>
                      <w:rFonts w:hint="eastAsia"/>
                      <w:color w:val="000000" w:themeColor="text1"/>
                      <w:sz w:val="21"/>
                      <w:szCs w:val="21"/>
                    </w:rPr>
                    <w:t>专病综合楼</w:t>
                  </w:r>
                </w:p>
              </w:tc>
              <w:tc>
                <w:tcPr>
                  <w:tcW w:w="681" w:type="pct"/>
                  <w:vAlign w:val="center"/>
                </w:tcPr>
                <w:p w14:paraId="7B84B1C9">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医疗/办公</w:t>
                  </w:r>
                </w:p>
              </w:tc>
              <w:tc>
                <w:tcPr>
                  <w:tcW w:w="382" w:type="pct"/>
                  <w:vAlign w:val="center"/>
                </w:tcPr>
                <w:p w14:paraId="2CA57956">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50</w:t>
                  </w:r>
                </w:p>
              </w:tc>
              <w:tc>
                <w:tcPr>
                  <w:tcW w:w="571" w:type="pct"/>
                  <w:vAlign w:val="center"/>
                </w:tcPr>
                <w:p w14:paraId="632CA1E5">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lang w:val="en-US"/>
                    </w:rPr>
                    <w:t>东北侧</w:t>
                  </w:r>
                </w:p>
              </w:tc>
              <w:tc>
                <w:tcPr>
                  <w:tcW w:w="714" w:type="pct"/>
                  <w:tcBorders>
                    <w:bottom w:val="single" w:color="auto" w:sz="4" w:space="0"/>
                  </w:tcBorders>
                  <w:vAlign w:val="center"/>
                </w:tcPr>
                <w:p w14:paraId="424BBD3C">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98</w:t>
                  </w:r>
                </w:p>
              </w:tc>
              <w:tc>
                <w:tcPr>
                  <w:tcW w:w="1294" w:type="pct"/>
                  <w:vMerge w:val="continue"/>
                  <w:vAlign w:val="center"/>
                </w:tcPr>
                <w:p w14:paraId="6EA787FA">
                  <w:pPr>
                    <w:widowControl/>
                    <w:autoSpaceDE/>
                    <w:autoSpaceDN/>
                    <w:adjustRightInd w:val="0"/>
                    <w:snapToGrid w:val="0"/>
                    <w:ind w:firstLine="420"/>
                    <w:jc w:val="center"/>
                    <w:rPr>
                      <w:rFonts w:ascii="Times New Roman" w:hAnsi="Times New Roman"/>
                      <w:color w:val="000000" w:themeColor="text1"/>
                      <w:sz w:val="21"/>
                      <w:szCs w:val="21"/>
                      <w:lang w:val="en-US"/>
                    </w:rPr>
                  </w:pPr>
                </w:p>
              </w:tc>
            </w:tr>
            <w:tr w14:paraId="30AE3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jc w:val="center"/>
              </w:trPr>
              <w:tc>
                <w:tcPr>
                  <w:tcW w:w="304" w:type="pct"/>
                  <w:vMerge w:val="continue"/>
                  <w:vAlign w:val="center"/>
                </w:tcPr>
                <w:p w14:paraId="40E26D24">
                  <w:pPr>
                    <w:widowControl/>
                    <w:autoSpaceDE/>
                    <w:autoSpaceDN/>
                    <w:adjustRightInd w:val="0"/>
                    <w:snapToGrid w:val="0"/>
                    <w:ind w:firstLine="420"/>
                    <w:jc w:val="center"/>
                    <w:rPr>
                      <w:rFonts w:ascii="Times New Roman" w:hAnsi="Times New Roman"/>
                      <w:color w:val="000000" w:themeColor="text1"/>
                      <w:sz w:val="21"/>
                      <w:szCs w:val="21"/>
                      <w:lang w:val="en-US"/>
                    </w:rPr>
                  </w:pPr>
                </w:p>
              </w:tc>
              <w:tc>
                <w:tcPr>
                  <w:tcW w:w="1050" w:type="pct"/>
                  <w:vAlign w:val="center"/>
                </w:tcPr>
                <w:p w14:paraId="4981CAA8">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rPr>
                    <w:t>口腔、体检楼、</w:t>
                  </w:r>
                  <w:r>
                    <w:rPr>
                      <w:rFonts w:hint="eastAsia"/>
                      <w:color w:val="000000" w:themeColor="text1"/>
                      <w:sz w:val="21"/>
                      <w:szCs w:val="21"/>
                      <w:lang w:val="en-US"/>
                    </w:rPr>
                    <w:t>食堂</w:t>
                  </w:r>
                </w:p>
              </w:tc>
              <w:tc>
                <w:tcPr>
                  <w:tcW w:w="681" w:type="pct"/>
                  <w:vAlign w:val="center"/>
                </w:tcPr>
                <w:p w14:paraId="13485AF0">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医疗/办公</w:t>
                  </w:r>
                </w:p>
              </w:tc>
              <w:tc>
                <w:tcPr>
                  <w:tcW w:w="382" w:type="pct"/>
                  <w:vAlign w:val="center"/>
                </w:tcPr>
                <w:p w14:paraId="59D55CBD">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450</w:t>
                  </w:r>
                </w:p>
              </w:tc>
              <w:tc>
                <w:tcPr>
                  <w:tcW w:w="571" w:type="pct"/>
                  <w:vAlign w:val="center"/>
                </w:tcPr>
                <w:p w14:paraId="6953974C">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lang w:val="en-US"/>
                    </w:rPr>
                    <w:t>西北侧</w:t>
                  </w:r>
                </w:p>
              </w:tc>
              <w:tc>
                <w:tcPr>
                  <w:tcW w:w="714" w:type="pct"/>
                  <w:tcBorders>
                    <w:bottom w:val="single" w:color="auto" w:sz="4" w:space="0"/>
                  </w:tcBorders>
                  <w:vAlign w:val="center"/>
                </w:tcPr>
                <w:p w14:paraId="46E03A3E">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71</w:t>
                  </w:r>
                </w:p>
              </w:tc>
              <w:tc>
                <w:tcPr>
                  <w:tcW w:w="1294" w:type="pct"/>
                  <w:vMerge w:val="continue"/>
                  <w:vAlign w:val="center"/>
                </w:tcPr>
                <w:p w14:paraId="23272B20">
                  <w:pPr>
                    <w:widowControl/>
                    <w:autoSpaceDE/>
                    <w:autoSpaceDN/>
                    <w:adjustRightInd w:val="0"/>
                    <w:snapToGrid w:val="0"/>
                    <w:ind w:firstLine="420"/>
                    <w:jc w:val="center"/>
                    <w:rPr>
                      <w:rFonts w:ascii="Times New Roman" w:hAnsi="Times New Roman"/>
                      <w:color w:val="000000" w:themeColor="text1"/>
                      <w:sz w:val="21"/>
                      <w:szCs w:val="21"/>
                      <w:lang w:val="en-US"/>
                    </w:rPr>
                  </w:pPr>
                </w:p>
              </w:tc>
            </w:tr>
            <w:tr w14:paraId="6E804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jc w:val="center"/>
              </w:trPr>
              <w:tc>
                <w:tcPr>
                  <w:tcW w:w="304" w:type="pct"/>
                  <w:vMerge w:val="continue"/>
                  <w:vAlign w:val="center"/>
                </w:tcPr>
                <w:p w14:paraId="25E1D94C">
                  <w:pPr>
                    <w:widowControl/>
                    <w:autoSpaceDE/>
                    <w:autoSpaceDN/>
                    <w:adjustRightInd w:val="0"/>
                    <w:snapToGrid w:val="0"/>
                    <w:ind w:firstLine="420"/>
                    <w:jc w:val="center"/>
                    <w:rPr>
                      <w:rFonts w:ascii="Times New Roman" w:hAnsi="Times New Roman"/>
                      <w:color w:val="000000" w:themeColor="text1"/>
                      <w:sz w:val="21"/>
                      <w:szCs w:val="21"/>
                      <w:lang w:val="en-US"/>
                    </w:rPr>
                  </w:pPr>
                </w:p>
              </w:tc>
              <w:tc>
                <w:tcPr>
                  <w:tcW w:w="1050" w:type="pct"/>
                  <w:vAlign w:val="center"/>
                </w:tcPr>
                <w:p w14:paraId="6459F500">
                  <w:pPr>
                    <w:pStyle w:val="12"/>
                    <w:tabs>
                      <w:tab w:val="left" w:pos="624"/>
                    </w:tabs>
                    <w:autoSpaceDE/>
                    <w:autoSpaceDN/>
                    <w:spacing w:line="240" w:lineRule="auto"/>
                    <w:ind w:left="0" w:leftChars="0"/>
                    <w:jc w:val="center"/>
                    <w:rPr>
                      <w:rFonts w:hint="eastAsia"/>
                      <w:color w:val="000000" w:themeColor="text1"/>
                      <w:sz w:val="21"/>
                      <w:szCs w:val="21"/>
                    </w:rPr>
                  </w:pPr>
                  <w:r>
                    <w:rPr>
                      <w:rFonts w:hint="eastAsia"/>
                      <w:color w:val="000000" w:themeColor="text1"/>
                      <w:sz w:val="21"/>
                      <w:szCs w:val="21"/>
                      <w:lang w:val="en-US"/>
                    </w:rPr>
                    <w:t>医院生活区</w:t>
                  </w:r>
                </w:p>
              </w:tc>
              <w:tc>
                <w:tcPr>
                  <w:tcW w:w="681" w:type="pct"/>
                  <w:vAlign w:val="center"/>
                </w:tcPr>
                <w:p w14:paraId="6A18EA46">
                  <w:pPr>
                    <w:widowControl/>
                    <w:autoSpaceDE/>
                    <w:autoSpaceDN/>
                    <w:adjustRightInd w:val="0"/>
                    <w:snapToGrid w:val="0"/>
                    <w:jc w:val="center"/>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居住</w:t>
                  </w:r>
                </w:p>
              </w:tc>
              <w:tc>
                <w:tcPr>
                  <w:tcW w:w="382" w:type="pct"/>
                  <w:vAlign w:val="center"/>
                </w:tcPr>
                <w:p w14:paraId="58E06123">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600</w:t>
                  </w:r>
                </w:p>
              </w:tc>
              <w:tc>
                <w:tcPr>
                  <w:tcW w:w="571" w:type="pct"/>
                  <w:vAlign w:val="center"/>
                </w:tcPr>
                <w:p w14:paraId="32FB5029">
                  <w:pPr>
                    <w:pStyle w:val="12"/>
                    <w:tabs>
                      <w:tab w:val="left" w:pos="624"/>
                    </w:tabs>
                    <w:autoSpaceDE/>
                    <w:autoSpaceDN/>
                    <w:spacing w:line="240" w:lineRule="auto"/>
                    <w:ind w:left="0" w:leftChars="0"/>
                    <w:jc w:val="center"/>
                    <w:rPr>
                      <w:rFonts w:hint="eastAsia"/>
                      <w:color w:val="000000" w:themeColor="text1"/>
                      <w:sz w:val="21"/>
                      <w:szCs w:val="21"/>
                      <w:lang w:val="en-US"/>
                    </w:rPr>
                  </w:pPr>
                  <w:r>
                    <w:rPr>
                      <w:rFonts w:hint="eastAsia"/>
                      <w:color w:val="000000" w:themeColor="text1"/>
                      <w:sz w:val="21"/>
                      <w:szCs w:val="21"/>
                      <w:lang w:val="en-US"/>
                    </w:rPr>
                    <w:t>北侧</w:t>
                  </w:r>
                </w:p>
              </w:tc>
              <w:tc>
                <w:tcPr>
                  <w:tcW w:w="714" w:type="pct"/>
                  <w:tcBorders>
                    <w:bottom w:val="single" w:color="auto" w:sz="4" w:space="0"/>
                  </w:tcBorders>
                  <w:vAlign w:val="center"/>
                </w:tcPr>
                <w:p w14:paraId="6E3F0391">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169</w:t>
                  </w:r>
                </w:p>
              </w:tc>
              <w:tc>
                <w:tcPr>
                  <w:tcW w:w="1294" w:type="pct"/>
                  <w:vMerge w:val="continue"/>
                  <w:tcBorders>
                    <w:bottom w:val="single" w:color="auto" w:sz="4" w:space="0"/>
                  </w:tcBorders>
                  <w:vAlign w:val="center"/>
                </w:tcPr>
                <w:p w14:paraId="0278C73E">
                  <w:pPr>
                    <w:widowControl/>
                    <w:autoSpaceDE/>
                    <w:autoSpaceDN/>
                    <w:adjustRightInd w:val="0"/>
                    <w:snapToGrid w:val="0"/>
                    <w:ind w:firstLine="420"/>
                    <w:jc w:val="center"/>
                    <w:rPr>
                      <w:rFonts w:ascii="Times New Roman" w:hAnsi="Times New Roman"/>
                      <w:color w:val="000000" w:themeColor="text1"/>
                      <w:sz w:val="21"/>
                      <w:szCs w:val="21"/>
                      <w:lang w:val="en-US"/>
                    </w:rPr>
                  </w:pPr>
                </w:p>
              </w:tc>
            </w:tr>
            <w:tr w14:paraId="6F8E1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jc w:val="center"/>
              </w:trPr>
              <w:tc>
                <w:tcPr>
                  <w:tcW w:w="304" w:type="pct"/>
                  <w:vMerge w:val="restart"/>
                  <w:vAlign w:val="center"/>
                </w:tcPr>
                <w:p w14:paraId="4A7796EF">
                  <w:pPr>
                    <w:widowControl/>
                    <w:autoSpaceDE/>
                    <w:autoSpaceDN/>
                    <w:adjustRightInd w:val="0"/>
                    <w:snapToGrid w:val="0"/>
                    <w:jc w:val="center"/>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声环境</w:t>
                  </w:r>
                </w:p>
              </w:tc>
              <w:tc>
                <w:tcPr>
                  <w:tcW w:w="1050" w:type="pct"/>
                  <w:vAlign w:val="center"/>
                </w:tcPr>
                <w:p w14:paraId="68E6212B">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永福镇居民</w:t>
                  </w:r>
                </w:p>
              </w:tc>
              <w:tc>
                <w:tcPr>
                  <w:tcW w:w="681" w:type="pct"/>
                  <w:vAlign w:val="center"/>
                </w:tcPr>
                <w:p w14:paraId="5F93605C">
                  <w:pPr>
                    <w:widowControl/>
                    <w:autoSpaceDE/>
                    <w:autoSpaceDN/>
                    <w:adjustRightInd w:val="0"/>
                    <w:snapToGrid w:val="0"/>
                    <w:jc w:val="center"/>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商业</w:t>
                  </w:r>
                  <w:r>
                    <w:rPr>
                      <w:rFonts w:hint="eastAsia" w:ascii="Times New Roman" w:hAnsi="Times New Roman"/>
                      <w:color w:val="000000" w:themeColor="text1"/>
                      <w:sz w:val="21"/>
                      <w:szCs w:val="21"/>
                      <w:lang w:val="en-US"/>
                    </w:rPr>
                    <w:t>/办公/</w:t>
                  </w:r>
                  <w:r>
                    <w:rPr>
                      <w:rFonts w:ascii="Times New Roman" w:hAnsi="Times New Roman"/>
                      <w:color w:val="000000" w:themeColor="text1"/>
                      <w:sz w:val="21"/>
                      <w:szCs w:val="21"/>
                      <w:lang w:val="en-US"/>
                    </w:rPr>
                    <w:t>居住</w:t>
                  </w:r>
                </w:p>
              </w:tc>
              <w:tc>
                <w:tcPr>
                  <w:tcW w:w="382" w:type="pct"/>
                  <w:vAlign w:val="center"/>
                </w:tcPr>
                <w:p w14:paraId="33E49F49">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60</w:t>
                  </w:r>
                </w:p>
              </w:tc>
              <w:tc>
                <w:tcPr>
                  <w:tcW w:w="571" w:type="pct"/>
                  <w:vAlign w:val="center"/>
                </w:tcPr>
                <w:p w14:paraId="64BF82A4">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南侧</w:t>
                  </w:r>
                </w:p>
              </w:tc>
              <w:tc>
                <w:tcPr>
                  <w:tcW w:w="714" w:type="pct"/>
                  <w:vAlign w:val="center"/>
                </w:tcPr>
                <w:p w14:paraId="2203C697">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14</w:t>
                  </w:r>
                  <w:r>
                    <w:rPr>
                      <w:rFonts w:ascii="Times New Roman" w:hAnsi="Times New Roman"/>
                      <w:color w:val="000000" w:themeColor="text1"/>
                      <w:sz w:val="21"/>
                      <w:szCs w:val="21"/>
                      <w:lang w:val="en-US"/>
                    </w:rPr>
                    <w:t>-50</w:t>
                  </w:r>
                </w:p>
              </w:tc>
              <w:tc>
                <w:tcPr>
                  <w:tcW w:w="1294" w:type="pct"/>
                  <w:tcBorders>
                    <w:bottom w:val="single" w:color="auto" w:sz="4" w:space="0"/>
                  </w:tcBorders>
                  <w:vAlign w:val="center"/>
                </w:tcPr>
                <w:p w14:paraId="05E64FBF">
                  <w:pPr>
                    <w:adjustRightInd w:val="0"/>
                    <w:snapToGrid w:val="0"/>
                    <w:jc w:val="center"/>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《声环境质量标准》（GB3096-2008）</w:t>
                  </w:r>
                  <w:r>
                    <w:rPr>
                      <w:rFonts w:hint="eastAsia" w:ascii="Times New Roman" w:hAnsi="Times New Roman"/>
                      <w:color w:val="000000" w:themeColor="text1"/>
                      <w:sz w:val="21"/>
                      <w:szCs w:val="21"/>
                      <w:lang w:val="en-US"/>
                    </w:rPr>
                    <w:t>2</w:t>
                  </w:r>
                  <w:r>
                    <w:rPr>
                      <w:rFonts w:ascii="Times New Roman" w:hAnsi="Times New Roman"/>
                      <w:color w:val="000000" w:themeColor="text1"/>
                      <w:sz w:val="21"/>
                      <w:szCs w:val="21"/>
                      <w:lang w:val="en-US"/>
                    </w:rPr>
                    <w:t>类标准限值</w:t>
                  </w:r>
                </w:p>
              </w:tc>
            </w:tr>
            <w:tr w14:paraId="60062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jc w:val="center"/>
              </w:trPr>
              <w:tc>
                <w:tcPr>
                  <w:tcW w:w="304" w:type="pct"/>
                  <w:vMerge w:val="continue"/>
                  <w:vAlign w:val="center"/>
                </w:tcPr>
                <w:p w14:paraId="383E6D0B">
                  <w:pPr>
                    <w:widowControl/>
                    <w:autoSpaceDE/>
                    <w:autoSpaceDN/>
                    <w:adjustRightInd w:val="0"/>
                    <w:snapToGrid w:val="0"/>
                    <w:ind w:firstLine="420"/>
                    <w:jc w:val="center"/>
                    <w:rPr>
                      <w:rFonts w:ascii="Times New Roman" w:hAnsi="Times New Roman"/>
                      <w:color w:val="000000" w:themeColor="text1"/>
                      <w:sz w:val="21"/>
                      <w:szCs w:val="21"/>
                      <w:lang w:val="en-US"/>
                    </w:rPr>
                  </w:pPr>
                </w:p>
              </w:tc>
              <w:tc>
                <w:tcPr>
                  <w:tcW w:w="1050" w:type="pct"/>
                  <w:vAlign w:val="center"/>
                </w:tcPr>
                <w:p w14:paraId="4DEA038E">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lang w:val="en-US"/>
                    </w:rPr>
                    <w:t>急诊医技楼</w:t>
                  </w:r>
                </w:p>
              </w:tc>
              <w:tc>
                <w:tcPr>
                  <w:tcW w:w="681" w:type="pct"/>
                  <w:vAlign w:val="center"/>
                </w:tcPr>
                <w:p w14:paraId="25974025">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医疗/办公</w:t>
                  </w:r>
                </w:p>
              </w:tc>
              <w:tc>
                <w:tcPr>
                  <w:tcW w:w="382" w:type="pct"/>
                  <w:vAlign w:val="center"/>
                </w:tcPr>
                <w:p w14:paraId="368491F3">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300</w:t>
                  </w:r>
                </w:p>
              </w:tc>
              <w:tc>
                <w:tcPr>
                  <w:tcW w:w="571" w:type="pct"/>
                  <w:vAlign w:val="center"/>
                </w:tcPr>
                <w:p w14:paraId="16DFEE32">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lang w:val="en-US"/>
                    </w:rPr>
                    <w:t>北侧</w:t>
                  </w:r>
                </w:p>
              </w:tc>
              <w:tc>
                <w:tcPr>
                  <w:tcW w:w="714" w:type="pct"/>
                  <w:vAlign w:val="center"/>
                </w:tcPr>
                <w:p w14:paraId="27C1C29E">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7</w:t>
                  </w:r>
                </w:p>
              </w:tc>
              <w:tc>
                <w:tcPr>
                  <w:tcW w:w="1294" w:type="pct"/>
                  <w:vMerge w:val="restart"/>
                  <w:tcBorders>
                    <w:top w:val="single" w:color="auto" w:sz="4" w:space="0"/>
                  </w:tcBorders>
                  <w:vAlign w:val="center"/>
                </w:tcPr>
                <w:p w14:paraId="4F53E1B1">
                  <w:pPr>
                    <w:adjustRightInd w:val="0"/>
                    <w:snapToGrid w:val="0"/>
                    <w:jc w:val="center"/>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《声环境质量标准》（GB3096-2008）1类标准限值</w:t>
                  </w:r>
                </w:p>
              </w:tc>
            </w:tr>
            <w:tr w14:paraId="70089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jc w:val="center"/>
              </w:trPr>
              <w:tc>
                <w:tcPr>
                  <w:tcW w:w="304" w:type="pct"/>
                  <w:vMerge w:val="continue"/>
                  <w:vAlign w:val="center"/>
                </w:tcPr>
                <w:p w14:paraId="676A6ACC">
                  <w:pPr>
                    <w:widowControl/>
                    <w:autoSpaceDE/>
                    <w:autoSpaceDN/>
                    <w:adjustRightInd w:val="0"/>
                    <w:snapToGrid w:val="0"/>
                    <w:ind w:firstLine="420"/>
                    <w:jc w:val="center"/>
                    <w:rPr>
                      <w:rFonts w:ascii="Times New Roman" w:hAnsi="Times New Roman"/>
                      <w:color w:val="000000" w:themeColor="text1"/>
                      <w:sz w:val="21"/>
                      <w:szCs w:val="21"/>
                      <w:lang w:val="en-US"/>
                    </w:rPr>
                  </w:pPr>
                </w:p>
              </w:tc>
              <w:tc>
                <w:tcPr>
                  <w:tcW w:w="1050" w:type="pct"/>
                  <w:vAlign w:val="center"/>
                </w:tcPr>
                <w:p w14:paraId="7890046C">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rPr>
                    <w:t>后勤综合楼</w:t>
                  </w:r>
                </w:p>
              </w:tc>
              <w:tc>
                <w:tcPr>
                  <w:tcW w:w="681" w:type="pct"/>
                  <w:vAlign w:val="center"/>
                </w:tcPr>
                <w:p w14:paraId="4806AE27">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医疗/办公/</w:t>
                  </w:r>
                  <w:r>
                    <w:rPr>
                      <w:rFonts w:ascii="Times New Roman" w:hAnsi="Times New Roman"/>
                      <w:color w:val="000000" w:themeColor="text1"/>
                      <w:sz w:val="21"/>
                      <w:szCs w:val="21"/>
                      <w:lang w:val="en-US"/>
                    </w:rPr>
                    <w:t>居住</w:t>
                  </w:r>
                </w:p>
              </w:tc>
              <w:tc>
                <w:tcPr>
                  <w:tcW w:w="382" w:type="pct"/>
                  <w:vAlign w:val="center"/>
                </w:tcPr>
                <w:p w14:paraId="4353DF04">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100</w:t>
                  </w:r>
                </w:p>
              </w:tc>
              <w:tc>
                <w:tcPr>
                  <w:tcW w:w="571" w:type="pct"/>
                  <w:vAlign w:val="center"/>
                </w:tcPr>
                <w:p w14:paraId="039F75EC">
                  <w:pPr>
                    <w:pStyle w:val="12"/>
                    <w:tabs>
                      <w:tab w:val="left" w:pos="624"/>
                    </w:tabs>
                    <w:autoSpaceDE/>
                    <w:autoSpaceDN/>
                    <w:spacing w:line="240" w:lineRule="auto"/>
                    <w:ind w:left="0" w:leftChars="0"/>
                    <w:jc w:val="center"/>
                    <w:rPr>
                      <w:rFonts w:ascii="Times New Roman" w:hAnsi="Times New Roman"/>
                      <w:color w:val="000000" w:themeColor="text1"/>
                      <w:sz w:val="21"/>
                      <w:szCs w:val="21"/>
                      <w:lang w:val="en-US"/>
                    </w:rPr>
                  </w:pPr>
                  <w:r>
                    <w:rPr>
                      <w:rFonts w:hint="eastAsia"/>
                      <w:color w:val="000000" w:themeColor="text1"/>
                      <w:sz w:val="21"/>
                      <w:szCs w:val="21"/>
                      <w:lang w:val="en-US"/>
                    </w:rPr>
                    <w:t>东北侧</w:t>
                  </w:r>
                </w:p>
              </w:tc>
              <w:tc>
                <w:tcPr>
                  <w:tcW w:w="714" w:type="pct"/>
                  <w:vAlign w:val="center"/>
                </w:tcPr>
                <w:p w14:paraId="177B8D91">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27</w:t>
                  </w:r>
                </w:p>
              </w:tc>
              <w:tc>
                <w:tcPr>
                  <w:tcW w:w="1294" w:type="pct"/>
                  <w:vMerge w:val="continue"/>
                  <w:vAlign w:val="center"/>
                </w:tcPr>
                <w:p w14:paraId="79F2BB4E">
                  <w:pPr>
                    <w:adjustRightInd w:val="0"/>
                    <w:snapToGrid w:val="0"/>
                    <w:jc w:val="center"/>
                    <w:rPr>
                      <w:rFonts w:ascii="Times New Roman" w:hAnsi="Times New Roman"/>
                      <w:color w:val="000000" w:themeColor="text1"/>
                      <w:sz w:val="21"/>
                      <w:szCs w:val="21"/>
                      <w:lang w:val="en-US"/>
                    </w:rPr>
                  </w:pPr>
                </w:p>
              </w:tc>
            </w:tr>
            <w:tr w14:paraId="7BE06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jc w:val="center"/>
              </w:trPr>
              <w:tc>
                <w:tcPr>
                  <w:tcW w:w="304" w:type="pct"/>
                  <w:vAlign w:val="center"/>
                </w:tcPr>
                <w:p w14:paraId="13D7DA29">
                  <w:pPr>
                    <w:widowControl/>
                    <w:autoSpaceDE/>
                    <w:autoSpaceDN/>
                    <w:adjustRightInd w:val="0"/>
                    <w:snapToGrid w:val="0"/>
                    <w:jc w:val="center"/>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地表水</w:t>
                  </w:r>
                </w:p>
              </w:tc>
              <w:tc>
                <w:tcPr>
                  <w:tcW w:w="1050" w:type="pct"/>
                  <w:vAlign w:val="center"/>
                </w:tcPr>
                <w:p w14:paraId="5AD91DDA">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洛清江（宛田至西河汇入口）</w:t>
                  </w:r>
                </w:p>
              </w:tc>
              <w:tc>
                <w:tcPr>
                  <w:tcW w:w="681" w:type="pct"/>
                  <w:vAlign w:val="center"/>
                </w:tcPr>
                <w:p w14:paraId="565B0E8F">
                  <w:pPr>
                    <w:widowControl/>
                    <w:autoSpaceDE/>
                    <w:autoSpaceDN/>
                    <w:adjustRightInd w:val="0"/>
                    <w:snapToGrid w:val="0"/>
                    <w:jc w:val="center"/>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生活、工业、农业</w:t>
                  </w:r>
                </w:p>
              </w:tc>
              <w:tc>
                <w:tcPr>
                  <w:tcW w:w="382" w:type="pct"/>
                  <w:vAlign w:val="center"/>
                </w:tcPr>
                <w:p w14:paraId="7E4A6008">
                  <w:pPr>
                    <w:widowControl/>
                    <w:autoSpaceDE/>
                    <w:autoSpaceDN/>
                    <w:adjustRightInd w:val="0"/>
                    <w:snapToGrid w:val="0"/>
                    <w:jc w:val="center"/>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w:t>
                  </w:r>
                </w:p>
              </w:tc>
              <w:tc>
                <w:tcPr>
                  <w:tcW w:w="571" w:type="pct"/>
                  <w:vAlign w:val="center"/>
                </w:tcPr>
                <w:p w14:paraId="06531C2E">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东侧</w:t>
                  </w:r>
                </w:p>
              </w:tc>
              <w:tc>
                <w:tcPr>
                  <w:tcW w:w="714" w:type="pct"/>
                  <w:vAlign w:val="center"/>
                </w:tcPr>
                <w:p w14:paraId="3D6CBB32">
                  <w:pPr>
                    <w:widowControl/>
                    <w:autoSpaceDE/>
                    <w:autoSpaceDN/>
                    <w:adjustRightInd w:val="0"/>
                    <w:snapToGrid w:val="0"/>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39</w:t>
                  </w:r>
                </w:p>
              </w:tc>
              <w:tc>
                <w:tcPr>
                  <w:tcW w:w="1294" w:type="pct"/>
                  <w:vAlign w:val="center"/>
                </w:tcPr>
                <w:p w14:paraId="0F5646A2">
                  <w:pPr>
                    <w:widowControl/>
                    <w:autoSpaceDE/>
                    <w:autoSpaceDN/>
                    <w:adjustRightInd w:val="0"/>
                    <w:snapToGrid w:val="0"/>
                    <w:jc w:val="center"/>
                    <w:rPr>
                      <w:rFonts w:ascii="Times New Roman" w:hAnsi="Times New Roman"/>
                      <w:color w:val="000000" w:themeColor="text1"/>
                      <w:sz w:val="21"/>
                      <w:szCs w:val="21"/>
                      <w:lang w:val="en-US"/>
                    </w:rPr>
                  </w:pPr>
                  <w:r>
                    <w:rPr>
                      <w:rFonts w:ascii="Times New Roman" w:hAnsi="Times New Roman"/>
                      <w:color w:val="000000" w:themeColor="text1"/>
                      <w:sz w:val="21"/>
                      <w:szCs w:val="21"/>
                      <w:lang w:val="en-US"/>
                    </w:rPr>
                    <w:t>《地表水环境质量标准》GB3838-2002</w:t>
                  </w:r>
                  <w:r>
                    <w:rPr>
                      <w:rFonts w:hint="eastAsia" w:ascii="Times New Roman" w:hAnsi="Times New Roman"/>
                      <w:color w:val="000000" w:themeColor="text1"/>
                      <w:sz w:val="21"/>
                      <w:szCs w:val="21"/>
                      <w:lang w:val="en-US"/>
                    </w:rPr>
                    <w:t xml:space="preserve"> Ⅲ</w:t>
                  </w:r>
                  <w:r>
                    <w:rPr>
                      <w:rFonts w:ascii="Times New Roman" w:hAnsi="Times New Roman"/>
                      <w:color w:val="000000" w:themeColor="text1"/>
                      <w:sz w:val="21"/>
                      <w:szCs w:val="21"/>
                      <w:lang w:val="en-US"/>
                    </w:rPr>
                    <w:t>类</w:t>
                  </w:r>
                </w:p>
              </w:tc>
            </w:tr>
          </w:tbl>
          <w:p w14:paraId="6A5CF834">
            <w:pPr>
              <w:rPr>
                <w:rFonts w:ascii="Times New Roman" w:hAnsi="Times New Roman"/>
                <w:color w:val="000000" w:themeColor="text1"/>
              </w:rPr>
            </w:pPr>
          </w:p>
        </w:tc>
      </w:tr>
      <w:tr w14:paraId="54657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6" w:hRule="atLeast"/>
        </w:trPr>
        <w:tc>
          <w:tcPr>
            <w:tcW w:w="286" w:type="pct"/>
            <w:tcBorders>
              <w:top w:val="single" w:color="000000" w:sz="4" w:space="0"/>
              <w:bottom w:val="single" w:color="000000" w:sz="4" w:space="0"/>
              <w:right w:val="single" w:color="000000" w:sz="4" w:space="0"/>
            </w:tcBorders>
            <w:vAlign w:val="center"/>
          </w:tcPr>
          <w:p w14:paraId="33D178AC">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污染物排放控制标准</w:t>
            </w:r>
          </w:p>
        </w:tc>
        <w:tc>
          <w:tcPr>
            <w:tcW w:w="4713" w:type="pct"/>
            <w:tcBorders>
              <w:top w:val="single" w:color="000000" w:sz="4" w:space="0"/>
              <w:left w:val="single" w:color="000000" w:sz="4" w:space="0"/>
              <w:bottom w:val="single" w:color="000000" w:sz="4" w:space="0"/>
            </w:tcBorders>
          </w:tcPr>
          <w:p w14:paraId="060F1E67">
            <w:pPr>
              <w:spacing w:line="360" w:lineRule="auto"/>
              <w:ind w:firstLine="482" w:firstLineChars="200"/>
              <w:rPr>
                <w:rFonts w:ascii="Times New Roman" w:hAnsi="Times New Roman" w:cs="Times New Roman"/>
                <w:b/>
                <w:bCs/>
                <w:color w:val="000000" w:themeColor="text1"/>
                <w:sz w:val="24"/>
                <w:szCs w:val="24"/>
              </w:rPr>
            </w:pPr>
            <w:bookmarkStart w:id="12" w:name="_Toc465261535"/>
            <w:r>
              <w:rPr>
                <w:rFonts w:ascii="Times New Roman" w:hAnsi="Times New Roman" w:cs="Times New Roman"/>
                <w:b/>
                <w:bCs/>
                <w:color w:val="000000" w:themeColor="text1"/>
                <w:sz w:val="24"/>
                <w:szCs w:val="24"/>
              </w:rPr>
              <w:t>1、大气污染物排放标准</w:t>
            </w:r>
            <w:bookmarkEnd w:id="12"/>
          </w:p>
          <w:p w14:paraId="0D0E0693">
            <w:pPr>
              <w:autoSpaceDE/>
              <w:autoSpaceDN/>
              <w:adjustRightInd w:val="0"/>
              <w:snapToGrid w:val="0"/>
              <w:spacing w:line="360" w:lineRule="auto"/>
              <w:ind w:firstLine="480"/>
              <w:jc w:val="both"/>
              <w:rPr>
                <w:rFonts w:ascii="Times New Roman" w:hAnsi="Times New Roman" w:cs="Times New Roman" w:eastAsiaTheme="minorEastAsia"/>
                <w:color w:val="000000" w:themeColor="text1"/>
                <w:kern w:val="2"/>
                <w:sz w:val="24"/>
                <w:szCs w:val="24"/>
                <w:lang w:val="en-US" w:bidi="ar-SA"/>
              </w:rPr>
            </w:pPr>
            <w:r>
              <w:rPr>
                <w:rFonts w:ascii="Times New Roman" w:hAnsi="Times New Roman" w:cs="Times New Roman" w:eastAsiaTheme="minorEastAsia"/>
                <w:color w:val="000000" w:themeColor="text1"/>
                <w:kern w:val="2"/>
                <w:sz w:val="24"/>
                <w:szCs w:val="24"/>
                <w:lang w:val="en-US" w:bidi="ar-SA"/>
              </w:rPr>
              <w:t>本项目施工期扬尘排放执行《大气污染物综合排放标准》（GB16297-1996）表2中无组织排放监控浓度限值（≤1.0mg/m</w:t>
            </w:r>
            <w:r>
              <w:rPr>
                <w:rFonts w:ascii="Times New Roman" w:hAnsi="Times New Roman" w:cs="Times New Roman" w:eastAsiaTheme="minorEastAsia"/>
                <w:color w:val="000000" w:themeColor="text1"/>
                <w:kern w:val="2"/>
                <w:sz w:val="24"/>
                <w:szCs w:val="24"/>
                <w:vertAlign w:val="superscript"/>
                <w:lang w:val="en-US" w:bidi="ar-SA"/>
              </w:rPr>
              <w:t>3</w:t>
            </w:r>
            <w:r>
              <w:rPr>
                <w:rFonts w:ascii="Times New Roman" w:hAnsi="Times New Roman" w:cs="Times New Roman" w:eastAsiaTheme="minorEastAsia"/>
                <w:color w:val="000000" w:themeColor="text1"/>
                <w:kern w:val="2"/>
                <w:sz w:val="24"/>
                <w:szCs w:val="24"/>
                <w:lang w:val="en-US" w:bidi="ar-SA"/>
              </w:rPr>
              <w:t>）；运营期污水处理站产生的废气</w:t>
            </w:r>
            <w:r>
              <w:rPr>
                <w:rFonts w:ascii="Times New Roman" w:hAnsi="Times New Roman" w:cs="Times New Roman" w:eastAsiaTheme="minorEastAsia"/>
                <w:color w:val="000000" w:themeColor="text1"/>
                <w:sz w:val="24"/>
                <w:szCs w:val="24"/>
                <w:lang w:val="en-US" w:bidi="ar-SA"/>
              </w:rPr>
              <w:t>排放执行《医疗机构水污染物排放标准》（GB18466－2005）表3中标准值，具体标准值见下表3-4。</w:t>
            </w:r>
          </w:p>
          <w:p w14:paraId="6E1EEEDF">
            <w:pPr>
              <w:autoSpaceDE/>
              <w:autoSpaceDN/>
              <w:spacing w:before="60"/>
              <w:ind w:firstLine="442"/>
              <w:jc w:val="center"/>
              <w:rPr>
                <w:rFonts w:ascii="Times New Roman" w:hAnsi="Times New Roman" w:cs="Times New Roman" w:eastAsiaTheme="minorEastAsia"/>
                <w:b/>
                <w:color w:val="000000" w:themeColor="text1"/>
                <w:kern w:val="2"/>
                <w:sz w:val="24"/>
                <w:szCs w:val="20"/>
                <w:lang w:val="en-US" w:bidi="ar-SA"/>
              </w:rPr>
            </w:pPr>
            <w:r>
              <w:rPr>
                <w:rFonts w:ascii="Times New Roman" w:hAnsi="Times New Roman" w:cs="Times New Roman" w:eastAsiaTheme="minorEastAsia"/>
                <w:b/>
                <w:color w:val="000000" w:themeColor="text1"/>
                <w:kern w:val="2"/>
                <w:sz w:val="24"/>
                <w:szCs w:val="20"/>
                <w:lang w:val="en-US" w:bidi="ar-SA"/>
              </w:rPr>
              <w:t>表3-4污水处理站周边大气污染物最高允许浓度</w:t>
            </w:r>
          </w:p>
          <w:tbl>
            <w:tblPr>
              <w:tblStyle w:val="27"/>
              <w:tblW w:w="4931"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30"/>
              <w:gridCol w:w="4462"/>
              <w:gridCol w:w="3093"/>
            </w:tblGrid>
            <w:tr w14:paraId="0AB316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600" w:type="pct"/>
                  <w:vAlign w:val="center"/>
                </w:tcPr>
                <w:p w14:paraId="33BEC711">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序 号</w:t>
                  </w:r>
                </w:p>
              </w:tc>
              <w:tc>
                <w:tcPr>
                  <w:tcW w:w="2599" w:type="pct"/>
                  <w:vAlign w:val="center"/>
                </w:tcPr>
                <w:p w14:paraId="38E799F0">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控制项目</w:t>
                  </w:r>
                </w:p>
              </w:tc>
              <w:tc>
                <w:tcPr>
                  <w:tcW w:w="1801" w:type="pct"/>
                  <w:vAlign w:val="center"/>
                </w:tcPr>
                <w:p w14:paraId="28095FF6">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标准值</w:t>
                  </w:r>
                </w:p>
              </w:tc>
            </w:tr>
            <w:tr w14:paraId="0C6362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600" w:type="pct"/>
                  <w:vAlign w:val="center"/>
                </w:tcPr>
                <w:p w14:paraId="137A523B">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1</w:t>
                  </w:r>
                </w:p>
              </w:tc>
              <w:tc>
                <w:tcPr>
                  <w:tcW w:w="2599" w:type="pct"/>
                  <w:vAlign w:val="center"/>
                </w:tcPr>
                <w:p w14:paraId="56B15150">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氨（mg/m</w:t>
                  </w:r>
                  <w:r>
                    <w:rPr>
                      <w:rFonts w:ascii="Times New Roman" w:hAnsi="Times New Roman" w:cs="Times New Roman" w:eastAsiaTheme="minorEastAsia"/>
                      <w:color w:val="000000" w:themeColor="text1"/>
                      <w:kern w:val="2"/>
                      <w:vertAlign w:val="superscript"/>
                      <w:lang w:val="en-US" w:bidi="ar-SA"/>
                    </w:rPr>
                    <w:t>3</w:t>
                  </w:r>
                  <w:r>
                    <w:rPr>
                      <w:rFonts w:ascii="Times New Roman" w:hAnsi="Times New Roman" w:cs="Times New Roman" w:eastAsiaTheme="minorEastAsia"/>
                      <w:color w:val="000000" w:themeColor="text1"/>
                      <w:kern w:val="2"/>
                      <w:lang w:val="en-US" w:bidi="ar-SA"/>
                    </w:rPr>
                    <w:t>）</w:t>
                  </w:r>
                </w:p>
              </w:tc>
              <w:tc>
                <w:tcPr>
                  <w:tcW w:w="1801" w:type="pct"/>
                  <w:vAlign w:val="center"/>
                </w:tcPr>
                <w:p w14:paraId="6B894686">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1.0</w:t>
                  </w:r>
                </w:p>
              </w:tc>
            </w:tr>
            <w:tr w14:paraId="7096EB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600" w:type="pct"/>
                  <w:vAlign w:val="center"/>
                </w:tcPr>
                <w:p w14:paraId="5BB5E27E">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2</w:t>
                  </w:r>
                </w:p>
              </w:tc>
              <w:tc>
                <w:tcPr>
                  <w:tcW w:w="2599" w:type="pct"/>
                  <w:vAlign w:val="center"/>
                </w:tcPr>
                <w:p w14:paraId="6BBEDE14">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硫化氢（mg/m</w:t>
                  </w:r>
                  <w:r>
                    <w:rPr>
                      <w:rFonts w:ascii="Times New Roman" w:hAnsi="Times New Roman" w:cs="Times New Roman" w:eastAsiaTheme="minorEastAsia"/>
                      <w:color w:val="000000" w:themeColor="text1"/>
                      <w:kern w:val="2"/>
                      <w:vertAlign w:val="superscript"/>
                      <w:lang w:val="en-US" w:bidi="ar-SA"/>
                    </w:rPr>
                    <w:t>3</w:t>
                  </w:r>
                  <w:r>
                    <w:rPr>
                      <w:rFonts w:ascii="Times New Roman" w:hAnsi="Times New Roman" w:cs="Times New Roman" w:eastAsiaTheme="minorEastAsia"/>
                      <w:color w:val="000000" w:themeColor="text1"/>
                      <w:kern w:val="2"/>
                      <w:lang w:val="en-US" w:bidi="ar-SA"/>
                    </w:rPr>
                    <w:t>）</w:t>
                  </w:r>
                </w:p>
              </w:tc>
              <w:tc>
                <w:tcPr>
                  <w:tcW w:w="1801" w:type="pct"/>
                  <w:vAlign w:val="center"/>
                </w:tcPr>
                <w:p w14:paraId="145A8B19">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0.03</w:t>
                  </w:r>
                </w:p>
              </w:tc>
            </w:tr>
            <w:tr w14:paraId="0CECF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600" w:type="pct"/>
                  <w:vAlign w:val="center"/>
                </w:tcPr>
                <w:p w14:paraId="68E35673">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3</w:t>
                  </w:r>
                </w:p>
              </w:tc>
              <w:tc>
                <w:tcPr>
                  <w:tcW w:w="2599" w:type="pct"/>
                  <w:vAlign w:val="center"/>
                </w:tcPr>
                <w:p w14:paraId="7478599C">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臭气浓度（无量纲）</w:t>
                  </w:r>
                </w:p>
              </w:tc>
              <w:tc>
                <w:tcPr>
                  <w:tcW w:w="1801" w:type="pct"/>
                  <w:vAlign w:val="center"/>
                </w:tcPr>
                <w:p w14:paraId="48129BB9">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10</w:t>
                  </w:r>
                </w:p>
              </w:tc>
            </w:tr>
            <w:tr w14:paraId="2C5A2D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600" w:type="pct"/>
                  <w:vAlign w:val="center"/>
                </w:tcPr>
                <w:p w14:paraId="78F31DA5">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4</w:t>
                  </w:r>
                </w:p>
              </w:tc>
              <w:tc>
                <w:tcPr>
                  <w:tcW w:w="2599" w:type="pct"/>
                  <w:vAlign w:val="center"/>
                </w:tcPr>
                <w:p w14:paraId="21C545FE">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氯气（mg/m</w:t>
                  </w:r>
                  <w:r>
                    <w:rPr>
                      <w:rFonts w:ascii="Times New Roman" w:hAnsi="Times New Roman" w:cs="Times New Roman" w:eastAsiaTheme="minorEastAsia"/>
                      <w:color w:val="000000" w:themeColor="text1"/>
                      <w:kern w:val="2"/>
                      <w:vertAlign w:val="superscript"/>
                      <w:lang w:val="en-US" w:bidi="ar-SA"/>
                    </w:rPr>
                    <w:t>3</w:t>
                  </w:r>
                  <w:r>
                    <w:rPr>
                      <w:rFonts w:ascii="Times New Roman" w:hAnsi="Times New Roman" w:cs="Times New Roman" w:eastAsiaTheme="minorEastAsia"/>
                      <w:color w:val="000000" w:themeColor="text1"/>
                      <w:kern w:val="2"/>
                      <w:lang w:val="en-US" w:bidi="ar-SA"/>
                    </w:rPr>
                    <w:t>）</w:t>
                  </w:r>
                </w:p>
              </w:tc>
              <w:tc>
                <w:tcPr>
                  <w:tcW w:w="1801" w:type="pct"/>
                  <w:vAlign w:val="center"/>
                </w:tcPr>
                <w:p w14:paraId="281AEF47">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0.1</w:t>
                  </w:r>
                </w:p>
              </w:tc>
            </w:tr>
            <w:tr w14:paraId="2A586F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600" w:type="pct"/>
                  <w:vAlign w:val="center"/>
                </w:tcPr>
                <w:p w14:paraId="1A95C4EC">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5</w:t>
                  </w:r>
                </w:p>
              </w:tc>
              <w:tc>
                <w:tcPr>
                  <w:tcW w:w="2599" w:type="pct"/>
                  <w:vAlign w:val="center"/>
                </w:tcPr>
                <w:p w14:paraId="7EB04B20">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甲烷（指处理站内最高体积百分数 %）</w:t>
                  </w:r>
                </w:p>
              </w:tc>
              <w:tc>
                <w:tcPr>
                  <w:tcW w:w="1801" w:type="pct"/>
                  <w:vAlign w:val="center"/>
                </w:tcPr>
                <w:p w14:paraId="4C3F1012">
                  <w:pPr>
                    <w:autoSpaceDE/>
                    <w:autoSpaceDN/>
                    <w:spacing w:line="240" w:lineRule="atLeast"/>
                    <w:jc w:val="center"/>
                    <w:rPr>
                      <w:rFonts w:ascii="Times New Roman" w:hAnsi="Times New Roman" w:cs="Times New Roman" w:eastAsiaTheme="minorEastAsia"/>
                      <w:color w:val="000000" w:themeColor="text1"/>
                      <w:kern w:val="2"/>
                      <w:lang w:val="en-US" w:bidi="ar-SA"/>
                    </w:rPr>
                  </w:pPr>
                  <w:r>
                    <w:rPr>
                      <w:rFonts w:ascii="Times New Roman" w:hAnsi="Times New Roman" w:cs="Times New Roman" w:eastAsiaTheme="minorEastAsia"/>
                      <w:color w:val="000000" w:themeColor="text1"/>
                      <w:kern w:val="2"/>
                      <w:lang w:val="en-US" w:bidi="ar-SA"/>
                    </w:rPr>
                    <w:t>1</w:t>
                  </w:r>
                </w:p>
              </w:tc>
            </w:tr>
          </w:tbl>
          <w:p w14:paraId="1DC2658C">
            <w:pPr>
              <w:autoSpaceDE/>
              <w:autoSpaceDN/>
              <w:adjustRightInd w:val="0"/>
              <w:snapToGrid w:val="0"/>
              <w:spacing w:line="360" w:lineRule="auto"/>
              <w:ind w:left="-11" w:leftChars="-5" w:firstLine="720" w:firstLineChars="300"/>
              <w:jc w:val="both"/>
              <w:rPr>
                <w:rFonts w:ascii="Times New Roman" w:hAnsi="Times New Roman" w:cs="Times New Roman" w:eastAsiaTheme="minorEastAsia"/>
                <w:color w:val="000000" w:themeColor="text1"/>
                <w:sz w:val="24"/>
                <w:szCs w:val="24"/>
                <w:shd w:val="clear" w:color="auto" w:fill="FFFFFF"/>
                <w:lang w:val="en-US" w:bidi="ar-SA"/>
              </w:rPr>
            </w:pPr>
            <w:r>
              <w:rPr>
                <w:rFonts w:ascii="Times New Roman" w:hAnsi="Times New Roman" w:cs="Times New Roman" w:eastAsiaTheme="minorEastAsia"/>
                <w:color w:val="000000" w:themeColor="text1"/>
                <w:sz w:val="24"/>
                <w:szCs w:val="24"/>
                <w:shd w:val="clear" w:color="auto" w:fill="FFFFFF"/>
                <w:lang w:bidi="ar-SA"/>
              </w:rPr>
              <w:t>危险废物暂存间、垃圾暂存装置产生的恶臭气体执行</w:t>
            </w:r>
            <w:r>
              <w:rPr>
                <w:rFonts w:ascii="Times New Roman" w:hAnsi="Times New Roman" w:cs="Times New Roman" w:eastAsiaTheme="minorEastAsia"/>
                <w:color w:val="000000" w:themeColor="text1"/>
                <w:sz w:val="24"/>
                <w:szCs w:val="24"/>
                <w:shd w:val="clear" w:color="auto" w:fill="FFFFFF"/>
                <w:lang w:val="en-US" w:bidi="ar-SA"/>
              </w:rPr>
              <w:t>《恶臭污染物排放标准》（GB14554-93）表1排放限值，见下表3-5</w:t>
            </w:r>
          </w:p>
          <w:p w14:paraId="45BE69D3">
            <w:pPr>
              <w:autoSpaceDE/>
              <w:autoSpaceDN/>
              <w:adjustRightInd w:val="0"/>
              <w:snapToGrid w:val="0"/>
              <w:spacing w:line="360" w:lineRule="auto"/>
              <w:ind w:left="3" w:leftChars="-5" w:hanging="14" w:hangingChars="6"/>
              <w:jc w:val="center"/>
              <w:rPr>
                <w:rFonts w:ascii="Times New Roman" w:hAnsi="Times New Roman" w:cs="Times New Roman" w:eastAsiaTheme="minorEastAsia"/>
                <w:b/>
                <w:bCs/>
                <w:color w:val="000000" w:themeColor="text1"/>
                <w:kern w:val="3"/>
                <w:sz w:val="24"/>
                <w:szCs w:val="21"/>
                <w:lang w:val="en-US" w:bidi="ar-SA"/>
              </w:rPr>
            </w:pPr>
            <w:r>
              <w:rPr>
                <w:rFonts w:ascii="Times New Roman" w:hAnsi="Times New Roman" w:cs="Times New Roman" w:eastAsiaTheme="minorEastAsia"/>
                <w:b/>
                <w:bCs/>
                <w:color w:val="000000" w:themeColor="text1"/>
                <w:kern w:val="3"/>
                <w:sz w:val="24"/>
                <w:szCs w:val="21"/>
                <w:lang w:val="en-US" w:bidi="ar-SA"/>
              </w:rPr>
              <w:t>表3-5恶臭污染物排放标准</w:t>
            </w:r>
          </w:p>
          <w:tbl>
            <w:tblPr>
              <w:tblStyle w:val="27"/>
              <w:tblW w:w="49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2"/>
              <w:gridCol w:w="3961"/>
              <w:gridCol w:w="3132"/>
            </w:tblGrid>
            <w:tr w14:paraId="6ED1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869" w:type="pct"/>
                  <w:vAlign w:val="center"/>
                </w:tcPr>
                <w:p w14:paraId="34EEA5CF">
                  <w:pPr>
                    <w:widowControl/>
                    <w:autoSpaceDE/>
                    <w:autoSpaceDN/>
                    <w:jc w:val="center"/>
                    <w:rPr>
                      <w:rFonts w:ascii="Times New Roman" w:hAnsi="Times New Roman" w:cs="Times New Roman" w:eastAsiaTheme="minorEastAsia"/>
                      <w:color w:val="000000" w:themeColor="text1"/>
                      <w:sz w:val="21"/>
                      <w:szCs w:val="21"/>
                      <w:lang w:val="en-US" w:bidi="ar-SA"/>
                    </w:rPr>
                  </w:pPr>
                  <w:r>
                    <w:rPr>
                      <w:rFonts w:ascii="Times New Roman" w:hAnsi="Times New Roman" w:cs="Times New Roman" w:eastAsiaTheme="minorEastAsia"/>
                      <w:color w:val="000000" w:themeColor="text1"/>
                      <w:sz w:val="21"/>
                      <w:szCs w:val="21"/>
                      <w:lang w:val="en-US" w:bidi="ar-SA"/>
                    </w:rPr>
                    <w:t>污染物</w:t>
                  </w:r>
                </w:p>
              </w:tc>
              <w:tc>
                <w:tcPr>
                  <w:tcW w:w="2307" w:type="pct"/>
                  <w:vAlign w:val="center"/>
                </w:tcPr>
                <w:p w14:paraId="425BCE17">
                  <w:pPr>
                    <w:widowControl/>
                    <w:autoSpaceDE/>
                    <w:autoSpaceDN/>
                    <w:jc w:val="center"/>
                    <w:rPr>
                      <w:rFonts w:ascii="Times New Roman" w:hAnsi="Times New Roman" w:cs="Times New Roman" w:eastAsiaTheme="minorEastAsia"/>
                      <w:color w:val="000000" w:themeColor="text1"/>
                      <w:sz w:val="21"/>
                      <w:szCs w:val="21"/>
                      <w:lang w:val="en-US" w:bidi="ar-SA"/>
                    </w:rPr>
                  </w:pPr>
                  <w:r>
                    <w:rPr>
                      <w:rFonts w:ascii="Times New Roman" w:hAnsi="Times New Roman" w:cs="Times New Roman" w:eastAsiaTheme="minorEastAsia"/>
                      <w:color w:val="000000" w:themeColor="text1"/>
                      <w:sz w:val="21"/>
                      <w:szCs w:val="21"/>
                      <w:lang w:val="en-US" w:bidi="ar-SA"/>
                    </w:rPr>
                    <w:t>单  位</w:t>
                  </w:r>
                </w:p>
              </w:tc>
              <w:tc>
                <w:tcPr>
                  <w:tcW w:w="1824" w:type="pct"/>
                  <w:vAlign w:val="center"/>
                </w:tcPr>
                <w:p w14:paraId="56FE24AB">
                  <w:pPr>
                    <w:widowControl/>
                    <w:autoSpaceDE/>
                    <w:autoSpaceDN/>
                    <w:jc w:val="center"/>
                    <w:rPr>
                      <w:rFonts w:ascii="Times New Roman" w:hAnsi="Times New Roman" w:cs="Times New Roman" w:eastAsiaTheme="minorEastAsia"/>
                      <w:color w:val="000000" w:themeColor="text1"/>
                      <w:sz w:val="21"/>
                      <w:szCs w:val="21"/>
                      <w:lang w:val="en-US" w:bidi="ar-SA"/>
                    </w:rPr>
                  </w:pPr>
                  <w:r>
                    <w:rPr>
                      <w:rFonts w:ascii="Times New Roman" w:hAnsi="Times New Roman" w:cs="Times New Roman" w:eastAsiaTheme="minorEastAsia"/>
                      <w:color w:val="000000" w:themeColor="text1"/>
                      <w:sz w:val="21"/>
                      <w:szCs w:val="21"/>
                      <w:lang w:val="en-US" w:bidi="ar-SA"/>
                    </w:rPr>
                    <w:t>二级新扩改建</w:t>
                  </w:r>
                </w:p>
              </w:tc>
            </w:tr>
            <w:tr w14:paraId="2978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869" w:type="pct"/>
                  <w:vAlign w:val="center"/>
                </w:tcPr>
                <w:p w14:paraId="76FDF685">
                  <w:pPr>
                    <w:widowControl/>
                    <w:autoSpaceDE/>
                    <w:autoSpaceDN/>
                    <w:jc w:val="center"/>
                    <w:rPr>
                      <w:rFonts w:ascii="Times New Roman" w:hAnsi="Times New Roman" w:cs="Times New Roman" w:eastAsiaTheme="minorEastAsia"/>
                      <w:color w:val="000000" w:themeColor="text1"/>
                      <w:sz w:val="21"/>
                      <w:szCs w:val="21"/>
                      <w:lang w:val="en-US" w:bidi="ar-SA"/>
                    </w:rPr>
                  </w:pPr>
                  <w:r>
                    <w:rPr>
                      <w:rFonts w:ascii="Times New Roman" w:hAnsi="Times New Roman" w:cs="Times New Roman" w:eastAsiaTheme="minorEastAsia"/>
                      <w:color w:val="000000" w:themeColor="text1"/>
                      <w:sz w:val="21"/>
                      <w:szCs w:val="21"/>
                      <w:lang w:val="en-US" w:bidi="ar-SA"/>
                    </w:rPr>
                    <w:t>氨</w:t>
                  </w:r>
                </w:p>
              </w:tc>
              <w:tc>
                <w:tcPr>
                  <w:tcW w:w="2307" w:type="pct"/>
                  <w:vAlign w:val="center"/>
                </w:tcPr>
                <w:p w14:paraId="07E74D6C">
                  <w:pPr>
                    <w:widowControl/>
                    <w:autoSpaceDE/>
                    <w:autoSpaceDN/>
                    <w:jc w:val="center"/>
                    <w:rPr>
                      <w:rFonts w:ascii="Times New Roman" w:hAnsi="Times New Roman" w:cs="Times New Roman" w:eastAsiaTheme="minorEastAsia"/>
                      <w:color w:val="000000" w:themeColor="text1"/>
                      <w:sz w:val="21"/>
                      <w:szCs w:val="21"/>
                      <w:lang w:val="en-US" w:bidi="ar-SA"/>
                    </w:rPr>
                  </w:pPr>
                  <w:r>
                    <w:rPr>
                      <w:rFonts w:ascii="Times New Roman" w:hAnsi="Times New Roman" w:cs="Times New Roman" w:eastAsiaTheme="minorEastAsia"/>
                      <w:color w:val="000000" w:themeColor="text1"/>
                      <w:kern w:val="3"/>
                      <w:lang w:val="en-US" w:bidi="ar-SA"/>
                    </w:rPr>
                    <w:t>mg/m</w:t>
                  </w:r>
                  <w:r>
                    <w:rPr>
                      <w:rFonts w:ascii="Times New Roman" w:hAnsi="Times New Roman" w:cs="Times New Roman" w:eastAsiaTheme="minorEastAsia"/>
                      <w:color w:val="000000" w:themeColor="text1"/>
                      <w:kern w:val="3"/>
                      <w:vertAlign w:val="superscript"/>
                      <w:lang w:val="en-US" w:bidi="ar-SA"/>
                    </w:rPr>
                    <w:t>3</w:t>
                  </w:r>
                </w:p>
              </w:tc>
              <w:tc>
                <w:tcPr>
                  <w:tcW w:w="1824" w:type="pct"/>
                  <w:vAlign w:val="center"/>
                </w:tcPr>
                <w:p w14:paraId="4F91DA83">
                  <w:pPr>
                    <w:widowControl/>
                    <w:autoSpaceDE/>
                    <w:autoSpaceDN/>
                    <w:jc w:val="center"/>
                    <w:rPr>
                      <w:rFonts w:ascii="Times New Roman" w:hAnsi="Times New Roman" w:cs="Times New Roman" w:eastAsiaTheme="minorEastAsia"/>
                      <w:color w:val="000000" w:themeColor="text1"/>
                      <w:sz w:val="21"/>
                      <w:szCs w:val="21"/>
                      <w:lang w:val="en-US" w:bidi="ar-SA"/>
                    </w:rPr>
                  </w:pPr>
                  <w:r>
                    <w:rPr>
                      <w:rFonts w:ascii="Times New Roman" w:hAnsi="Times New Roman" w:cs="Times New Roman" w:eastAsiaTheme="minorEastAsia"/>
                      <w:color w:val="000000" w:themeColor="text1"/>
                      <w:sz w:val="21"/>
                      <w:szCs w:val="21"/>
                      <w:lang w:val="en-US" w:bidi="ar-SA"/>
                    </w:rPr>
                    <w:t>1.5</w:t>
                  </w:r>
                </w:p>
              </w:tc>
            </w:tr>
            <w:tr w14:paraId="2A0D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869" w:type="pct"/>
                  <w:vAlign w:val="center"/>
                </w:tcPr>
                <w:p w14:paraId="14F2CE86">
                  <w:pPr>
                    <w:widowControl/>
                    <w:autoSpaceDE/>
                    <w:autoSpaceDN/>
                    <w:jc w:val="center"/>
                    <w:rPr>
                      <w:rFonts w:ascii="Times New Roman" w:hAnsi="Times New Roman" w:cs="Times New Roman" w:eastAsiaTheme="minorEastAsia"/>
                      <w:color w:val="000000" w:themeColor="text1"/>
                      <w:sz w:val="21"/>
                      <w:szCs w:val="21"/>
                      <w:lang w:val="en-US" w:bidi="ar-SA"/>
                    </w:rPr>
                  </w:pPr>
                  <w:r>
                    <w:rPr>
                      <w:rFonts w:ascii="Times New Roman" w:hAnsi="Times New Roman" w:cs="Times New Roman" w:eastAsiaTheme="minorEastAsia"/>
                      <w:color w:val="000000" w:themeColor="text1"/>
                      <w:sz w:val="21"/>
                      <w:szCs w:val="21"/>
                      <w:lang w:val="en-US" w:bidi="ar-SA"/>
                    </w:rPr>
                    <w:t>硫化氢</w:t>
                  </w:r>
                </w:p>
              </w:tc>
              <w:tc>
                <w:tcPr>
                  <w:tcW w:w="2307" w:type="pct"/>
                  <w:vAlign w:val="center"/>
                </w:tcPr>
                <w:p w14:paraId="41E9B2E9">
                  <w:pPr>
                    <w:widowControl/>
                    <w:autoSpaceDE/>
                    <w:autoSpaceDN/>
                    <w:jc w:val="center"/>
                    <w:rPr>
                      <w:rFonts w:ascii="Times New Roman" w:hAnsi="Times New Roman" w:cs="Times New Roman" w:eastAsiaTheme="minorEastAsia"/>
                      <w:color w:val="000000" w:themeColor="text1"/>
                      <w:sz w:val="21"/>
                      <w:szCs w:val="21"/>
                      <w:lang w:val="en-US" w:bidi="ar-SA"/>
                    </w:rPr>
                  </w:pPr>
                  <w:r>
                    <w:rPr>
                      <w:rFonts w:ascii="Times New Roman" w:hAnsi="Times New Roman" w:cs="Times New Roman" w:eastAsiaTheme="minorEastAsia"/>
                      <w:color w:val="000000" w:themeColor="text1"/>
                      <w:kern w:val="3"/>
                      <w:lang w:val="en-US" w:bidi="ar-SA"/>
                    </w:rPr>
                    <w:t>mg/m</w:t>
                  </w:r>
                  <w:r>
                    <w:rPr>
                      <w:rFonts w:ascii="Times New Roman" w:hAnsi="Times New Roman" w:cs="Times New Roman" w:eastAsiaTheme="minorEastAsia"/>
                      <w:color w:val="000000" w:themeColor="text1"/>
                      <w:kern w:val="3"/>
                      <w:vertAlign w:val="superscript"/>
                      <w:lang w:val="en-US" w:bidi="ar-SA"/>
                    </w:rPr>
                    <w:t>3</w:t>
                  </w:r>
                </w:p>
              </w:tc>
              <w:tc>
                <w:tcPr>
                  <w:tcW w:w="1824" w:type="pct"/>
                  <w:vAlign w:val="center"/>
                </w:tcPr>
                <w:p w14:paraId="3D817261">
                  <w:pPr>
                    <w:widowControl/>
                    <w:autoSpaceDE/>
                    <w:autoSpaceDN/>
                    <w:jc w:val="center"/>
                    <w:rPr>
                      <w:rFonts w:ascii="Times New Roman" w:hAnsi="Times New Roman" w:cs="Times New Roman" w:eastAsiaTheme="minorEastAsia"/>
                      <w:color w:val="000000" w:themeColor="text1"/>
                      <w:sz w:val="21"/>
                      <w:szCs w:val="21"/>
                      <w:lang w:val="en-US" w:bidi="ar-SA"/>
                    </w:rPr>
                  </w:pPr>
                  <w:r>
                    <w:rPr>
                      <w:rFonts w:ascii="Times New Roman" w:hAnsi="Times New Roman" w:cs="Times New Roman" w:eastAsiaTheme="minorEastAsia"/>
                      <w:color w:val="000000" w:themeColor="text1"/>
                      <w:sz w:val="21"/>
                      <w:szCs w:val="21"/>
                      <w:lang w:val="en-US" w:bidi="ar-SA"/>
                    </w:rPr>
                    <w:t>0.06</w:t>
                  </w:r>
                </w:p>
              </w:tc>
            </w:tr>
            <w:tr w14:paraId="245F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6" w:hRule="atLeast"/>
                <w:jc w:val="center"/>
              </w:trPr>
              <w:tc>
                <w:tcPr>
                  <w:tcW w:w="869" w:type="pct"/>
                  <w:vAlign w:val="center"/>
                </w:tcPr>
                <w:p w14:paraId="6FD75A8C">
                  <w:pPr>
                    <w:widowControl/>
                    <w:autoSpaceDE/>
                    <w:autoSpaceDN/>
                    <w:jc w:val="center"/>
                    <w:rPr>
                      <w:rFonts w:ascii="Times New Roman" w:hAnsi="Times New Roman" w:cs="Times New Roman" w:eastAsiaTheme="minorEastAsia"/>
                      <w:color w:val="000000" w:themeColor="text1"/>
                      <w:sz w:val="21"/>
                      <w:szCs w:val="21"/>
                      <w:lang w:val="en-US" w:bidi="ar-SA"/>
                    </w:rPr>
                  </w:pPr>
                  <w:r>
                    <w:rPr>
                      <w:rFonts w:ascii="Times New Roman" w:hAnsi="Times New Roman" w:cs="Times New Roman" w:eastAsiaTheme="minorEastAsia"/>
                      <w:color w:val="000000" w:themeColor="text1"/>
                      <w:sz w:val="21"/>
                      <w:szCs w:val="21"/>
                      <w:lang w:val="en-US" w:bidi="ar-SA"/>
                    </w:rPr>
                    <w:t>臭气浓度</w:t>
                  </w:r>
                </w:p>
              </w:tc>
              <w:tc>
                <w:tcPr>
                  <w:tcW w:w="2307" w:type="pct"/>
                  <w:vAlign w:val="center"/>
                </w:tcPr>
                <w:p w14:paraId="33B98E91">
                  <w:pPr>
                    <w:widowControl/>
                    <w:autoSpaceDE/>
                    <w:autoSpaceDN/>
                    <w:jc w:val="center"/>
                    <w:rPr>
                      <w:rFonts w:ascii="Times New Roman" w:hAnsi="Times New Roman" w:cs="Times New Roman" w:eastAsiaTheme="minorEastAsia"/>
                      <w:color w:val="000000" w:themeColor="text1"/>
                      <w:sz w:val="21"/>
                      <w:szCs w:val="21"/>
                      <w:lang w:val="en-US" w:bidi="ar-SA"/>
                    </w:rPr>
                  </w:pPr>
                  <w:r>
                    <w:rPr>
                      <w:rFonts w:ascii="Times New Roman" w:hAnsi="Times New Roman" w:cs="Times New Roman" w:eastAsiaTheme="minorEastAsia"/>
                      <w:color w:val="000000" w:themeColor="text1"/>
                      <w:sz w:val="21"/>
                      <w:szCs w:val="21"/>
                      <w:lang w:val="en-US" w:bidi="ar-SA"/>
                    </w:rPr>
                    <w:t>无量纲</w:t>
                  </w:r>
                </w:p>
              </w:tc>
              <w:tc>
                <w:tcPr>
                  <w:tcW w:w="1824" w:type="pct"/>
                  <w:vAlign w:val="center"/>
                </w:tcPr>
                <w:p w14:paraId="709F251E">
                  <w:pPr>
                    <w:widowControl/>
                    <w:autoSpaceDE/>
                    <w:autoSpaceDN/>
                    <w:jc w:val="center"/>
                    <w:rPr>
                      <w:rFonts w:ascii="Times New Roman" w:hAnsi="Times New Roman" w:cs="Times New Roman" w:eastAsiaTheme="minorEastAsia"/>
                      <w:color w:val="000000" w:themeColor="text1"/>
                      <w:sz w:val="21"/>
                      <w:szCs w:val="21"/>
                      <w:lang w:val="en-US" w:bidi="ar-SA"/>
                    </w:rPr>
                  </w:pPr>
                  <w:r>
                    <w:rPr>
                      <w:rFonts w:ascii="Times New Roman" w:hAnsi="Times New Roman" w:cs="Times New Roman" w:eastAsiaTheme="minorEastAsia"/>
                      <w:color w:val="000000" w:themeColor="text1"/>
                      <w:sz w:val="21"/>
                      <w:szCs w:val="21"/>
                      <w:lang w:val="en-US" w:bidi="ar-SA"/>
                    </w:rPr>
                    <w:t>20</w:t>
                  </w:r>
                </w:p>
              </w:tc>
            </w:tr>
          </w:tbl>
          <w:p w14:paraId="5B8BCBDC">
            <w:pPr>
              <w:autoSpaceDE/>
              <w:autoSpaceDN/>
              <w:adjustRightInd w:val="0"/>
              <w:snapToGrid w:val="0"/>
              <w:spacing w:line="360" w:lineRule="auto"/>
              <w:ind w:left="-11" w:leftChars="-5" w:firstLine="720" w:firstLineChars="300"/>
              <w:jc w:val="both"/>
              <w:rPr>
                <w:rFonts w:ascii="Times New Roman" w:hAnsi="Times New Roman" w:cs="Times New Roman" w:eastAsiaTheme="minorEastAsia"/>
                <w:color w:val="000000" w:themeColor="text1"/>
                <w:sz w:val="24"/>
                <w:szCs w:val="24"/>
                <w:shd w:val="clear" w:color="auto" w:fill="FFFFFF"/>
                <w:lang w:bidi="ar-SA"/>
              </w:rPr>
            </w:pPr>
            <w:r>
              <w:rPr>
                <w:rFonts w:ascii="Times New Roman" w:hAnsi="Times New Roman" w:cs="Times New Roman" w:eastAsiaTheme="minorEastAsia"/>
                <w:color w:val="000000" w:themeColor="text1"/>
                <w:sz w:val="24"/>
                <w:szCs w:val="24"/>
                <w:shd w:val="clear" w:color="auto" w:fill="FFFFFF"/>
                <w:lang w:bidi="ar-SA"/>
              </w:rPr>
              <w:t>项目食堂油烟排放浓度和净化效率应执行《饮食业油烟排放标准（试行）》</w:t>
            </w:r>
            <w:r>
              <w:rPr>
                <w:rFonts w:hint="eastAsia" w:ascii="Times New Roman" w:hAnsi="Times New Roman" w:cs="Times New Roman" w:eastAsiaTheme="minorEastAsia"/>
                <w:color w:val="000000" w:themeColor="text1"/>
                <w:sz w:val="24"/>
                <w:szCs w:val="24"/>
                <w:shd w:val="clear" w:color="auto" w:fill="FFFFFF"/>
                <w:lang w:bidi="ar-SA"/>
              </w:rPr>
              <w:t>（</w:t>
            </w:r>
            <w:r>
              <w:rPr>
                <w:rFonts w:ascii="Times New Roman" w:hAnsi="Times New Roman" w:cs="Times New Roman" w:eastAsiaTheme="minorEastAsia"/>
                <w:color w:val="000000" w:themeColor="text1"/>
                <w:sz w:val="24"/>
                <w:szCs w:val="24"/>
                <w:shd w:val="clear" w:color="auto" w:fill="FFFFFF"/>
                <w:lang w:bidi="ar-SA"/>
              </w:rPr>
              <w:t>GB18483-2001</w:t>
            </w:r>
            <w:r>
              <w:rPr>
                <w:rFonts w:hint="eastAsia" w:ascii="Times New Roman" w:hAnsi="Times New Roman" w:cs="Times New Roman" w:eastAsiaTheme="minorEastAsia"/>
                <w:color w:val="000000" w:themeColor="text1"/>
                <w:sz w:val="24"/>
                <w:szCs w:val="24"/>
                <w:shd w:val="clear" w:color="auto" w:fill="FFFFFF"/>
                <w:lang w:bidi="ar-SA"/>
              </w:rPr>
              <w:t>）</w:t>
            </w:r>
            <w:r>
              <w:rPr>
                <w:rFonts w:ascii="Times New Roman" w:hAnsi="Times New Roman" w:cs="Times New Roman" w:eastAsiaTheme="minorEastAsia"/>
                <w:color w:val="000000" w:themeColor="text1"/>
                <w:sz w:val="24"/>
                <w:szCs w:val="24"/>
                <w:shd w:val="clear" w:color="auto" w:fill="FFFFFF"/>
                <w:lang w:bidi="ar-SA"/>
              </w:rPr>
              <w:t>中的有关标准，详见表</w:t>
            </w:r>
            <w:r>
              <w:rPr>
                <w:rFonts w:hint="eastAsia" w:ascii="Times New Roman" w:hAnsi="Times New Roman" w:cs="Times New Roman" w:eastAsiaTheme="minorEastAsia"/>
                <w:color w:val="000000" w:themeColor="text1"/>
                <w:sz w:val="24"/>
                <w:szCs w:val="24"/>
                <w:shd w:val="clear" w:color="auto" w:fill="FFFFFF"/>
                <w:lang w:bidi="ar-SA"/>
              </w:rPr>
              <w:t>3</w:t>
            </w:r>
            <w:r>
              <w:rPr>
                <w:rFonts w:ascii="Times New Roman" w:hAnsi="Times New Roman" w:cs="Times New Roman" w:eastAsiaTheme="minorEastAsia"/>
                <w:color w:val="000000" w:themeColor="text1"/>
                <w:sz w:val="24"/>
                <w:szCs w:val="24"/>
                <w:shd w:val="clear" w:color="auto" w:fill="FFFFFF"/>
                <w:lang w:bidi="ar-SA"/>
              </w:rPr>
              <w:t>-</w:t>
            </w:r>
            <w:r>
              <w:rPr>
                <w:rFonts w:hint="eastAsia" w:ascii="Times New Roman" w:hAnsi="Times New Roman" w:cs="Times New Roman" w:eastAsiaTheme="minorEastAsia"/>
                <w:color w:val="000000" w:themeColor="text1"/>
                <w:sz w:val="24"/>
                <w:szCs w:val="24"/>
                <w:shd w:val="clear" w:color="auto" w:fill="FFFFFF"/>
                <w:lang w:val="en-US" w:eastAsia="zh-CN" w:bidi="ar-SA"/>
              </w:rPr>
              <w:t>6</w:t>
            </w:r>
            <w:r>
              <w:rPr>
                <w:rFonts w:ascii="Times New Roman" w:hAnsi="Times New Roman" w:cs="Times New Roman" w:eastAsiaTheme="minorEastAsia"/>
                <w:color w:val="000000" w:themeColor="text1"/>
                <w:sz w:val="24"/>
                <w:szCs w:val="24"/>
                <w:shd w:val="clear" w:color="auto" w:fill="FFFFFF"/>
                <w:lang w:bidi="ar-SA"/>
              </w:rPr>
              <w:t>。</w:t>
            </w:r>
          </w:p>
          <w:p w14:paraId="1D18A4C5">
            <w:pPr>
              <w:autoSpaceDE/>
              <w:autoSpaceDN/>
              <w:adjustRightInd w:val="0"/>
              <w:snapToGrid w:val="0"/>
              <w:spacing w:line="360" w:lineRule="auto"/>
              <w:ind w:left="-11" w:leftChars="-5" w:firstLine="723" w:firstLineChars="300"/>
              <w:jc w:val="both"/>
              <w:rPr>
                <w:rFonts w:ascii="Times New Roman" w:hAnsi="Times New Roman" w:cs="Times New Roman" w:eastAsiaTheme="minorEastAsia"/>
                <w:color w:val="000000" w:themeColor="text1"/>
                <w:sz w:val="24"/>
                <w:szCs w:val="24"/>
                <w:shd w:val="clear" w:color="auto" w:fill="FFFFFF"/>
                <w:lang w:bidi="ar-SA"/>
              </w:rPr>
            </w:pPr>
            <w:r>
              <w:rPr>
                <w:rFonts w:ascii="Times New Roman" w:hAnsi="Times New Roman" w:cs="Times New Roman" w:eastAsiaTheme="minorEastAsia"/>
                <w:b/>
                <w:bCs/>
                <w:color w:val="000000" w:themeColor="text1"/>
                <w:sz w:val="24"/>
                <w:szCs w:val="24"/>
                <w:shd w:val="clear" w:color="auto" w:fill="FFFFFF"/>
                <w:lang w:bidi="ar-SA"/>
              </w:rPr>
              <w:t>表</w:t>
            </w:r>
            <w:r>
              <w:rPr>
                <w:rFonts w:hint="eastAsia" w:ascii="Times New Roman" w:hAnsi="Times New Roman" w:cs="Times New Roman" w:eastAsiaTheme="minorEastAsia"/>
                <w:b/>
                <w:bCs/>
                <w:color w:val="000000" w:themeColor="text1"/>
                <w:sz w:val="24"/>
                <w:szCs w:val="24"/>
                <w:shd w:val="clear" w:color="auto" w:fill="FFFFFF"/>
                <w:lang w:bidi="ar-SA"/>
              </w:rPr>
              <w:t>3</w:t>
            </w:r>
            <w:r>
              <w:rPr>
                <w:rFonts w:ascii="Times New Roman" w:hAnsi="Times New Roman" w:cs="Times New Roman" w:eastAsiaTheme="minorEastAsia"/>
                <w:b/>
                <w:bCs/>
                <w:color w:val="000000" w:themeColor="text1"/>
                <w:sz w:val="24"/>
                <w:szCs w:val="24"/>
                <w:shd w:val="clear" w:color="auto" w:fill="FFFFFF"/>
                <w:lang w:bidi="ar-SA"/>
              </w:rPr>
              <w:t>-</w:t>
            </w:r>
            <w:r>
              <w:rPr>
                <w:rFonts w:hint="eastAsia" w:ascii="Times New Roman" w:hAnsi="Times New Roman" w:cs="Times New Roman" w:eastAsiaTheme="minorEastAsia"/>
                <w:b/>
                <w:bCs/>
                <w:color w:val="000000" w:themeColor="text1"/>
                <w:sz w:val="24"/>
                <w:szCs w:val="24"/>
                <w:shd w:val="clear" w:color="auto" w:fill="FFFFFF"/>
                <w:lang w:val="en-US" w:eastAsia="zh-CN" w:bidi="ar-SA"/>
              </w:rPr>
              <w:t>6</w:t>
            </w:r>
            <w:r>
              <w:rPr>
                <w:rFonts w:hint="eastAsia" w:ascii="Times New Roman" w:hAnsi="Times New Roman" w:cs="Times New Roman" w:eastAsiaTheme="minorEastAsia"/>
                <w:b/>
                <w:bCs/>
                <w:color w:val="000000" w:themeColor="text1"/>
                <w:sz w:val="24"/>
                <w:szCs w:val="24"/>
                <w:shd w:val="clear" w:color="auto" w:fill="FFFFFF"/>
                <w:lang w:bidi="ar-SA"/>
              </w:rPr>
              <w:t xml:space="preserve"> </w:t>
            </w:r>
            <w:r>
              <w:rPr>
                <w:rFonts w:ascii="Times New Roman" w:hAnsi="Times New Roman" w:cs="Times New Roman" w:eastAsiaTheme="minorEastAsia"/>
                <w:b/>
                <w:bCs/>
                <w:color w:val="000000" w:themeColor="text1"/>
                <w:sz w:val="24"/>
                <w:szCs w:val="24"/>
                <w:shd w:val="clear" w:color="auto" w:fill="FFFFFF"/>
                <w:lang w:bidi="ar-SA"/>
              </w:rPr>
              <w:t>饮食业单位的油烟最高允许排放浓度和油烟净化设施最低去除效率</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0"/>
              <w:gridCol w:w="1782"/>
              <w:gridCol w:w="1756"/>
              <w:gridCol w:w="1072"/>
            </w:tblGrid>
            <w:tr w14:paraId="419A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30" w:type="dxa"/>
                  <w:tcBorders>
                    <w:top w:val="single" w:color="auto" w:sz="4" w:space="0"/>
                    <w:left w:val="single" w:color="auto" w:sz="4" w:space="0"/>
                    <w:bottom w:val="single" w:color="auto" w:sz="4" w:space="0"/>
                    <w:right w:val="single" w:color="auto" w:sz="4" w:space="0"/>
                  </w:tcBorders>
                  <w:vAlign w:val="center"/>
                </w:tcPr>
                <w:p w14:paraId="5575D7FB">
                  <w:pPr>
                    <w:adjustRightInd/>
                    <w:snapToGrid/>
                    <w:spacing w:after="0"/>
                    <w:jc w:val="center"/>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饮食业单位规模</w:t>
                  </w:r>
                </w:p>
              </w:tc>
              <w:tc>
                <w:tcPr>
                  <w:tcW w:w="1782" w:type="dxa"/>
                  <w:tcBorders>
                    <w:top w:val="single" w:color="auto" w:sz="4" w:space="0"/>
                    <w:left w:val="nil"/>
                    <w:bottom w:val="single" w:color="auto" w:sz="4" w:space="0"/>
                    <w:right w:val="single" w:color="auto" w:sz="4" w:space="0"/>
                  </w:tcBorders>
                  <w:vAlign w:val="center"/>
                </w:tcPr>
                <w:p w14:paraId="24EB9DCA">
                  <w:pPr>
                    <w:adjustRightInd/>
                    <w:snapToGrid/>
                    <w:spacing w:after="0"/>
                    <w:jc w:val="center"/>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小  型</w:t>
                  </w:r>
                </w:p>
              </w:tc>
              <w:tc>
                <w:tcPr>
                  <w:tcW w:w="1756" w:type="dxa"/>
                  <w:tcBorders>
                    <w:top w:val="single" w:color="auto" w:sz="4" w:space="0"/>
                    <w:left w:val="nil"/>
                    <w:bottom w:val="single" w:color="auto" w:sz="4" w:space="0"/>
                    <w:right w:val="single" w:color="auto" w:sz="4" w:space="0"/>
                  </w:tcBorders>
                  <w:vAlign w:val="center"/>
                </w:tcPr>
                <w:p w14:paraId="7E110D8B">
                  <w:pPr>
                    <w:adjustRightInd/>
                    <w:snapToGrid/>
                    <w:spacing w:after="0"/>
                    <w:jc w:val="center"/>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中  型</w:t>
                  </w:r>
                </w:p>
              </w:tc>
              <w:tc>
                <w:tcPr>
                  <w:tcW w:w="1070" w:type="dxa"/>
                  <w:tcBorders>
                    <w:top w:val="single" w:color="auto" w:sz="4" w:space="0"/>
                    <w:left w:val="nil"/>
                    <w:bottom w:val="single" w:color="auto" w:sz="4" w:space="0"/>
                    <w:right w:val="single" w:color="auto" w:sz="4" w:space="0"/>
                  </w:tcBorders>
                  <w:vAlign w:val="center"/>
                </w:tcPr>
                <w:p w14:paraId="6F41926B">
                  <w:pPr>
                    <w:adjustRightInd/>
                    <w:snapToGrid/>
                    <w:spacing w:after="0"/>
                    <w:jc w:val="center"/>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大  型</w:t>
                  </w:r>
                </w:p>
              </w:tc>
            </w:tr>
            <w:tr w14:paraId="4C6F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30" w:type="dxa"/>
                  <w:tcBorders>
                    <w:top w:val="single" w:color="auto" w:sz="4" w:space="0"/>
                    <w:left w:val="single" w:color="auto" w:sz="4" w:space="0"/>
                    <w:bottom w:val="single" w:color="auto" w:sz="4" w:space="0"/>
                    <w:right w:val="single" w:color="auto" w:sz="4" w:space="0"/>
                  </w:tcBorders>
                  <w:vAlign w:val="center"/>
                </w:tcPr>
                <w:p w14:paraId="70D0C458">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基准灶头数</w:t>
                  </w:r>
                </w:p>
              </w:tc>
              <w:tc>
                <w:tcPr>
                  <w:tcW w:w="1782" w:type="dxa"/>
                  <w:tcBorders>
                    <w:top w:val="single" w:color="auto" w:sz="4" w:space="0"/>
                    <w:left w:val="nil"/>
                    <w:bottom w:val="single" w:color="auto" w:sz="4" w:space="0"/>
                    <w:right w:val="single" w:color="auto" w:sz="4" w:space="0"/>
                  </w:tcBorders>
                  <w:vAlign w:val="center"/>
                </w:tcPr>
                <w:p w14:paraId="14094887">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≥1，&lt;3</w:t>
                  </w:r>
                </w:p>
              </w:tc>
              <w:tc>
                <w:tcPr>
                  <w:tcW w:w="1756" w:type="dxa"/>
                  <w:tcBorders>
                    <w:top w:val="single" w:color="auto" w:sz="4" w:space="0"/>
                    <w:left w:val="nil"/>
                    <w:bottom w:val="single" w:color="auto" w:sz="4" w:space="0"/>
                    <w:right w:val="single" w:color="auto" w:sz="4" w:space="0"/>
                  </w:tcBorders>
                  <w:vAlign w:val="center"/>
                </w:tcPr>
                <w:p w14:paraId="43300D87">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≥3，&lt;6</w:t>
                  </w:r>
                </w:p>
              </w:tc>
              <w:tc>
                <w:tcPr>
                  <w:tcW w:w="1070" w:type="dxa"/>
                  <w:tcBorders>
                    <w:top w:val="single" w:color="auto" w:sz="4" w:space="0"/>
                    <w:left w:val="nil"/>
                    <w:bottom w:val="single" w:color="auto" w:sz="4" w:space="0"/>
                    <w:right w:val="single" w:color="auto" w:sz="4" w:space="0"/>
                  </w:tcBorders>
                  <w:vAlign w:val="center"/>
                </w:tcPr>
                <w:p w14:paraId="2583CD82">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w:t>
                  </w:r>
                </w:p>
              </w:tc>
            </w:tr>
            <w:tr w14:paraId="0242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30" w:type="dxa"/>
                  <w:tcBorders>
                    <w:top w:val="single" w:color="auto" w:sz="4" w:space="0"/>
                    <w:left w:val="single" w:color="auto" w:sz="4" w:space="0"/>
                    <w:bottom w:val="single" w:color="auto" w:sz="4" w:space="0"/>
                    <w:right w:val="single" w:color="auto" w:sz="4" w:space="0"/>
                  </w:tcBorders>
                  <w:vAlign w:val="center"/>
                </w:tcPr>
                <w:p w14:paraId="778EFBDD">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对应灶头总功率（108J/h）</w:t>
                  </w:r>
                </w:p>
              </w:tc>
              <w:tc>
                <w:tcPr>
                  <w:tcW w:w="1782" w:type="dxa"/>
                  <w:tcBorders>
                    <w:top w:val="single" w:color="auto" w:sz="4" w:space="0"/>
                    <w:left w:val="nil"/>
                    <w:bottom w:val="single" w:color="auto" w:sz="4" w:space="0"/>
                    <w:right w:val="single" w:color="auto" w:sz="4" w:space="0"/>
                  </w:tcBorders>
                  <w:vAlign w:val="center"/>
                </w:tcPr>
                <w:p w14:paraId="43614000">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≥1.67，&lt;5.00</w:t>
                  </w:r>
                </w:p>
              </w:tc>
              <w:tc>
                <w:tcPr>
                  <w:tcW w:w="1756" w:type="dxa"/>
                  <w:tcBorders>
                    <w:top w:val="single" w:color="auto" w:sz="4" w:space="0"/>
                    <w:left w:val="nil"/>
                    <w:bottom w:val="single" w:color="auto" w:sz="4" w:space="0"/>
                    <w:right w:val="single" w:color="auto" w:sz="4" w:space="0"/>
                  </w:tcBorders>
                  <w:vAlign w:val="center"/>
                </w:tcPr>
                <w:p w14:paraId="04E11D71">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≥5.00，&lt;10</w:t>
                  </w:r>
                </w:p>
              </w:tc>
              <w:tc>
                <w:tcPr>
                  <w:tcW w:w="1070" w:type="dxa"/>
                  <w:tcBorders>
                    <w:top w:val="single" w:color="auto" w:sz="4" w:space="0"/>
                    <w:left w:val="nil"/>
                    <w:bottom w:val="single" w:color="auto" w:sz="4" w:space="0"/>
                    <w:right w:val="single" w:color="auto" w:sz="4" w:space="0"/>
                  </w:tcBorders>
                  <w:vAlign w:val="center"/>
                </w:tcPr>
                <w:p w14:paraId="4B331892">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≥10</w:t>
                  </w:r>
                </w:p>
              </w:tc>
            </w:tr>
            <w:tr w14:paraId="6342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30" w:type="dxa"/>
                  <w:tcBorders>
                    <w:top w:val="single" w:color="auto" w:sz="4" w:space="0"/>
                    <w:left w:val="single" w:color="auto" w:sz="4" w:space="0"/>
                    <w:bottom w:val="single" w:color="auto" w:sz="4" w:space="0"/>
                    <w:right w:val="single" w:color="auto" w:sz="4" w:space="0"/>
                  </w:tcBorders>
                  <w:vAlign w:val="center"/>
                </w:tcPr>
                <w:p w14:paraId="4946BE88">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对应排气罩灶面总投影面积（m</w:t>
                  </w:r>
                  <w:r>
                    <w:rPr>
                      <w:rFonts w:hint="default" w:ascii="Times New Roman" w:hAnsi="Times New Roman" w:cs="Times New Roman"/>
                      <w:color w:val="000000" w:themeColor="text1"/>
                      <w:sz w:val="21"/>
                      <w:szCs w:val="21"/>
                      <w:vertAlign w:val="superscript"/>
                    </w:rPr>
                    <w:t>2</w:t>
                  </w:r>
                  <w:r>
                    <w:rPr>
                      <w:rFonts w:hint="default" w:ascii="Times New Roman" w:hAnsi="Times New Roman" w:cs="Times New Roman"/>
                      <w:color w:val="000000" w:themeColor="text1"/>
                      <w:sz w:val="21"/>
                      <w:szCs w:val="21"/>
                    </w:rPr>
                    <w:t>）</w:t>
                  </w:r>
                </w:p>
              </w:tc>
              <w:tc>
                <w:tcPr>
                  <w:tcW w:w="1782" w:type="dxa"/>
                  <w:tcBorders>
                    <w:top w:val="single" w:color="auto" w:sz="4" w:space="0"/>
                    <w:left w:val="nil"/>
                    <w:bottom w:val="single" w:color="auto" w:sz="4" w:space="0"/>
                    <w:right w:val="single" w:color="auto" w:sz="4" w:space="0"/>
                  </w:tcBorders>
                  <w:vAlign w:val="center"/>
                </w:tcPr>
                <w:p w14:paraId="3A0849F1">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≥1.1，&lt;3.3</w:t>
                  </w:r>
                </w:p>
              </w:tc>
              <w:tc>
                <w:tcPr>
                  <w:tcW w:w="1756" w:type="dxa"/>
                  <w:tcBorders>
                    <w:top w:val="single" w:color="auto" w:sz="4" w:space="0"/>
                    <w:left w:val="nil"/>
                    <w:bottom w:val="single" w:color="auto" w:sz="4" w:space="0"/>
                    <w:right w:val="single" w:color="auto" w:sz="4" w:space="0"/>
                  </w:tcBorders>
                  <w:vAlign w:val="center"/>
                </w:tcPr>
                <w:p w14:paraId="6B09678F">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≥3.3，&lt;6.6</w:t>
                  </w:r>
                </w:p>
              </w:tc>
              <w:tc>
                <w:tcPr>
                  <w:tcW w:w="1070" w:type="dxa"/>
                  <w:tcBorders>
                    <w:top w:val="single" w:color="auto" w:sz="4" w:space="0"/>
                    <w:left w:val="nil"/>
                    <w:bottom w:val="single" w:color="auto" w:sz="4" w:space="0"/>
                    <w:right w:val="single" w:color="auto" w:sz="4" w:space="0"/>
                  </w:tcBorders>
                  <w:vAlign w:val="center"/>
                </w:tcPr>
                <w:p w14:paraId="62D6BDF3">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≥6.6</w:t>
                  </w:r>
                </w:p>
              </w:tc>
            </w:tr>
            <w:tr w14:paraId="3D68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3930" w:type="dxa"/>
                  <w:tcBorders>
                    <w:top w:val="single" w:color="auto" w:sz="4" w:space="0"/>
                    <w:left w:val="single" w:color="auto" w:sz="4" w:space="0"/>
                    <w:bottom w:val="single" w:color="auto" w:sz="4" w:space="0"/>
                    <w:right w:val="single" w:color="auto" w:sz="4" w:space="0"/>
                  </w:tcBorders>
                  <w:vAlign w:val="center"/>
                </w:tcPr>
                <w:p w14:paraId="7817B12E">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油烟最高允许排放浓度（mg/m</w:t>
                  </w:r>
                  <w:r>
                    <w:rPr>
                      <w:rFonts w:hint="default" w:ascii="Times New Roman" w:hAnsi="Times New Roman" w:cs="Times New Roman"/>
                      <w:color w:val="000000" w:themeColor="text1"/>
                      <w:sz w:val="21"/>
                      <w:szCs w:val="21"/>
                      <w:vertAlign w:val="superscript"/>
                    </w:rPr>
                    <w:t>3</w:t>
                  </w:r>
                  <w:r>
                    <w:rPr>
                      <w:rFonts w:hint="default" w:ascii="Times New Roman" w:hAnsi="Times New Roman" w:cs="Times New Roman"/>
                      <w:color w:val="000000" w:themeColor="text1"/>
                      <w:sz w:val="21"/>
                      <w:szCs w:val="21"/>
                    </w:rPr>
                    <w:t>）</w:t>
                  </w:r>
                </w:p>
              </w:tc>
              <w:tc>
                <w:tcPr>
                  <w:tcW w:w="4610" w:type="dxa"/>
                  <w:gridSpan w:val="3"/>
                  <w:tcBorders>
                    <w:top w:val="single" w:color="auto" w:sz="4" w:space="0"/>
                    <w:left w:val="nil"/>
                    <w:bottom w:val="single" w:color="auto" w:sz="4" w:space="0"/>
                    <w:right w:val="single" w:color="auto" w:sz="4" w:space="0"/>
                  </w:tcBorders>
                  <w:vAlign w:val="center"/>
                </w:tcPr>
                <w:p w14:paraId="3FF537C2">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2.0</w:t>
                  </w:r>
                </w:p>
              </w:tc>
            </w:tr>
            <w:tr w14:paraId="40E4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930" w:type="dxa"/>
                  <w:tcBorders>
                    <w:top w:val="single" w:color="auto" w:sz="4" w:space="0"/>
                    <w:left w:val="single" w:color="auto" w:sz="4" w:space="0"/>
                    <w:bottom w:val="single" w:color="auto" w:sz="4" w:space="0"/>
                    <w:right w:val="single" w:color="auto" w:sz="4" w:space="0"/>
                  </w:tcBorders>
                  <w:vAlign w:val="center"/>
                </w:tcPr>
                <w:p w14:paraId="7C3FA2F0">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净化设施最低去除率（%）</w:t>
                  </w:r>
                </w:p>
              </w:tc>
              <w:tc>
                <w:tcPr>
                  <w:tcW w:w="1782" w:type="dxa"/>
                  <w:tcBorders>
                    <w:top w:val="single" w:color="auto" w:sz="4" w:space="0"/>
                    <w:left w:val="nil"/>
                    <w:bottom w:val="single" w:color="auto" w:sz="4" w:space="0"/>
                    <w:right w:val="single" w:color="auto" w:sz="4" w:space="0"/>
                  </w:tcBorders>
                  <w:vAlign w:val="center"/>
                </w:tcPr>
                <w:p w14:paraId="305ADEE1">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60</w:t>
                  </w:r>
                </w:p>
              </w:tc>
              <w:tc>
                <w:tcPr>
                  <w:tcW w:w="1756" w:type="dxa"/>
                  <w:tcBorders>
                    <w:top w:val="single" w:color="auto" w:sz="4" w:space="0"/>
                    <w:left w:val="nil"/>
                    <w:bottom w:val="single" w:color="auto" w:sz="4" w:space="0"/>
                    <w:right w:val="single" w:color="auto" w:sz="4" w:space="0"/>
                  </w:tcBorders>
                  <w:vAlign w:val="center"/>
                </w:tcPr>
                <w:p w14:paraId="292523CC">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75</w:t>
                  </w:r>
                </w:p>
              </w:tc>
              <w:tc>
                <w:tcPr>
                  <w:tcW w:w="1070" w:type="dxa"/>
                  <w:tcBorders>
                    <w:top w:val="single" w:color="auto" w:sz="4" w:space="0"/>
                    <w:left w:val="nil"/>
                    <w:bottom w:val="single" w:color="auto" w:sz="4" w:space="0"/>
                    <w:right w:val="single" w:color="auto" w:sz="4" w:space="0"/>
                  </w:tcBorders>
                  <w:vAlign w:val="center"/>
                </w:tcPr>
                <w:p w14:paraId="10DB1C95">
                  <w:pPr>
                    <w:adjustRightInd/>
                    <w:snapToGrid/>
                    <w:spacing w:after="0"/>
                    <w:jc w:val="cente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t>85</w:t>
                  </w:r>
                </w:p>
              </w:tc>
            </w:tr>
          </w:tbl>
          <w:p w14:paraId="0DDE9A8A">
            <w:pPr>
              <w:spacing w:line="360" w:lineRule="auto"/>
              <w:ind w:firstLine="482" w:firstLineChars="200"/>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2、废水排放标准：</w:t>
            </w:r>
          </w:p>
          <w:p w14:paraId="2FDB6152">
            <w:pPr>
              <w:autoSpaceDE/>
              <w:autoSpaceDN/>
              <w:spacing w:line="360" w:lineRule="auto"/>
              <w:ind w:firstLine="482"/>
              <w:jc w:val="both"/>
              <w:rPr>
                <w:rFonts w:ascii="Times New Roman" w:hAnsi="Times New Roman"/>
                <w:color w:val="000000" w:themeColor="text1"/>
                <w:lang w:val="en-US"/>
              </w:rPr>
            </w:pPr>
            <w:r>
              <w:rPr>
                <w:rFonts w:hint="eastAsia" w:ascii="Times New Roman" w:hAnsi="Times New Roman" w:cs="Times New Roman"/>
                <w:color w:val="000000" w:themeColor="text1"/>
                <w:sz w:val="24"/>
                <w:lang w:val="en-US"/>
              </w:rPr>
              <w:t>本</w:t>
            </w:r>
            <w:r>
              <w:rPr>
                <w:rFonts w:ascii="Times New Roman" w:hAnsi="Times New Roman" w:cs="Times New Roman"/>
                <w:color w:val="000000" w:themeColor="text1"/>
                <w:sz w:val="24"/>
              </w:rPr>
              <w:t>项目建成后属于</w:t>
            </w:r>
            <w:r>
              <w:rPr>
                <w:rFonts w:hint="eastAsia" w:ascii="Times New Roman" w:hAnsi="Times New Roman" w:cs="Times New Roman"/>
                <w:color w:val="000000" w:themeColor="text1"/>
                <w:sz w:val="24"/>
                <w:lang w:val="en-US"/>
              </w:rPr>
              <w:t>永福县人民医院</w:t>
            </w:r>
            <w:r>
              <w:rPr>
                <w:rFonts w:ascii="Times New Roman" w:hAnsi="Times New Roman" w:cs="Times New Roman"/>
                <w:color w:val="000000" w:themeColor="text1"/>
                <w:sz w:val="24"/>
              </w:rPr>
              <w:t>的一部分，</w:t>
            </w:r>
            <w:r>
              <w:rPr>
                <w:rFonts w:hint="eastAsia" w:ascii="Times New Roman" w:hAnsi="Times New Roman" w:cs="Times New Roman"/>
                <w:color w:val="000000" w:themeColor="text1"/>
                <w:sz w:val="24"/>
              </w:rPr>
              <w:t>项目建成后人民医院</w:t>
            </w:r>
            <w:r>
              <w:rPr>
                <w:rFonts w:ascii="Times New Roman" w:hAnsi="Times New Roman" w:cs="Times New Roman"/>
                <w:color w:val="000000" w:themeColor="text1"/>
                <w:sz w:val="24"/>
              </w:rPr>
              <w:t>属于带传染病区的综合医院。</w:t>
            </w:r>
            <w:r>
              <w:rPr>
                <w:rFonts w:hint="eastAsia" w:ascii="Times New Roman" w:hAnsi="Times New Roman" w:cs="Times New Roman"/>
                <w:snapToGrid w:val="0"/>
                <w:color w:val="000000" w:themeColor="text1"/>
                <w:sz w:val="24"/>
                <w:szCs w:val="24"/>
                <w:lang w:val="en-US"/>
              </w:rPr>
              <w:t>根据</w:t>
            </w:r>
            <w:r>
              <w:rPr>
                <w:rFonts w:ascii="Times New Roman" w:hAnsi="Times New Roman" w:cs="Times New Roman"/>
                <w:snapToGrid w:val="0"/>
                <w:color w:val="000000" w:themeColor="text1"/>
                <w:sz w:val="24"/>
                <w:szCs w:val="24"/>
              </w:rPr>
              <w:t>《医疗机构水污染物排放标准》（GB18466-2005）</w:t>
            </w:r>
            <w:r>
              <w:rPr>
                <w:rFonts w:hint="eastAsia" w:ascii="Times New Roman" w:hAnsi="Times New Roman" w:cs="Times New Roman"/>
                <w:snapToGrid w:val="0"/>
                <w:color w:val="000000" w:themeColor="text1"/>
                <w:sz w:val="24"/>
                <w:szCs w:val="24"/>
                <w:lang w:val="en-US"/>
              </w:rPr>
              <w:t>4.1.5</w:t>
            </w:r>
            <w:r>
              <w:rPr>
                <w:rFonts w:ascii="Times New Roman" w:hAnsi="Times New Roman" w:cs="Times New Roman"/>
                <w:snapToGrid w:val="0"/>
                <w:color w:val="000000" w:themeColor="text1"/>
                <w:sz w:val="24"/>
                <w:szCs w:val="24"/>
              </w:rPr>
              <w:t>规定</w:t>
            </w:r>
            <w:r>
              <w:rPr>
                <w:rFonts w:hint="eastAsia" w:ascii="Times New Roman" w:hAnsi="Times New Roman" w:cs="Times New Roman"/>
                <w:snapToGrid w:val="0"/>
                <w:color w:val="000000" w:themeColor="text1"/>
                <w:sz w:val="24"/>
                <w:szCs w:val="24"/>
              </w:rPr>
              <w:t>，</w:t>
            </w:r>
            <w:r>
              <w:rPr>
                <w:rFonts w:hint="eastAsia" w:ascii="Times New Roman" w:hAnsi="Times New Roman" w:cs="Times New Roman"/>
                <w:snapToGrid w:val="0"/>
                <w:color w:val="000000" w:themeColor="text1"/>
                <w:sz w:val="24"/>
                <w:szCs w:val="24"/>
                <w:lang w:val="en-US"/>
              </w:rPr>
              <w:t>带传染病房的综合医疗机构，应将传染病房污水与非传染病房污水分开。传染病房的污水、粪便经过消毒后方可与其他污水合并处理。本</w:t>
            </w:r>
            <w:r>
              <w:rPr>
                <w:rFonts w:ascii="Times New Roman" w:hAnsi="Times New Roman" w:cs="Times New Roman"/>
                <w:bCs/>
                <w:color w:val="000000" w:themeColor="text1"/>
                <w:sz w:val="24"/>
                <w:szCs w:val="24"/>
                <w:lang w:val="en-US" w:bidi="ar-SA"/>
              </w:rPr>
              <w:t>项目运营期废水主要是</w:t>
            </w:r>
            <w:r>
              <w:rPr>
                <w:rFonts w:hint="eastAsia" w:ascii="Times New Roman" w:hAnsi="Times New Roman" w:cs="Times New Roman"/>
                <w:bCs/>
                <w:color w:val="000000" w:themeColor="text1"/>
                <w:sz w:val="24"/>
                <w:szCs w:val="24"/>
                <w:lang w:val="en-US" w:bidi="ar-SA"/>
              </w:rPr>
              <w:t>业务综合楼、传染病楼的</w:t>
            </w:r>
            <w:r>
              <w:rPr>
                <w:rFonts w:ascii="Times New Roman" w:hAnsi="Times New Roman" w:cs="Times New Roman"/>
                <w:color w:val="000000" w:themeColor="text1"/>
                <w:kern w:val="2"/>
                <w:sz w:val="24"/>
                <w:szCs w:val="24"/>
                <w:lang w:val="en-US" w:bidi="ar-SA"/>
              </w:rPr>
              <w:t>生活污水和医疗废水</w:t>
            </w:r>
            <w:r>
              <w:rPr>
                <w:rFonts w:hint="eastAsia" w:ascii="Times New Roman" w:hAnsi="Times New Roman" w:cs="Times New Roman"/>
                <w:color w:val="000000" w:themeColor="text1"/>
                <w:kern w:val="2"/>
                <w:sz w:val="24"/>
                <w:szCs w:val="24"/>
                <w:lang w:val="en-US" w:bidi="ar-SA"/>
              </w:rPr>
              <w:t>，</w:t>
            </w:r>
            <w:r>
              <w:rPr>
                <w:rFonts w:hint="eastAsia" w:ascii="Times New Roman" w:hAnsi="Times New Roman" w:cs="Times New Roman"/>
                <w:bCs/>
                <w:color w:val="000000" w:themeColor="text1"/>
                <w:sz w:val="24"/>
                <w:szCs w:val="24"/>
                <w:lang w:val="en-US" w:bidi="ar-SA"/>
              </w:rPr>
              <w:t>传染病楼的</w:t>
            </w:r>
            <w:r>
              <w:rPr>
                <w:rFonts w:ascii="Times New Roman" w:hAnsi="Times New Roman" w:cs="Times New Roman"/>
                <w:color w:val="000000" w:themeColor="text1"/>
                <w:kern w:val="2"/>
                <w:sz w:val="24"/>
                <w:szCs w:val="24"/>
                <w:lang w:val="en-US" w:bidi="ar-SA"/>
              </w:rPr>
              <w:t>生活污水和医疗废水</w:t>
            </w:r>
            <w:r>
              <w:rPr>
                <w:rFonts w:hint="eastAsia" w:ascii="Times New Roman" w:hAnsi="Times New Roman" w:cs="Times New Roman"/>
                <w:color w:val="000000" w:themeColor="text1"/>
                <w:kern w:val="2"/>
                <w:sz w:val="24"/>
                <w:szCs w:val="24"/>
                <w:lang w:val="en-US" w:bidi="ar-SA"/>
              </w:rPr>
              <w:t>经传染病预处理设施（加氯消毒+脱氯工艺）处理后与</w:t>
            </w:r>
            <w:r>
              <w:rPr>
                <w:rFonts w:hint="eastAsia" w:ascii="Times New Roman" w:hAnsi="Times New Roman" w:cs="Times New Roman"/>
                <w:bCs/>
                <w:color w:val="000000" w:themeColor="text1"/>
                <w:sz w:val="24"/>
                <w:szCs w:val="24"/>
                <w:lang w:val="en-US" w:bidi="ar-SA"/>
              </w:rPr>
              <w:t>业务综合楼</w:t>
            </w:r>
            <w:r>
              <w:rPr>
                <w:rFonts w:ascii="Times New Roman" w:hAnsi="Times New Roman" w:cs="Times New Roman"/>
                <w:color w:val="000000" w:themeColor="text1"/>
                <w:kern w:val="2"/>
                <w:sz w:val="24"/>
                <w:szCs w:val="24"/>
                <w:lang w:val="en-US" w:bidi="ar-SA"/>
              </w:rPr>
              <w:t>生活污水和医疗废水</w:t>
            </w:r>
            <w:r>
              <w:rPr>
                <w:rFonts w:hint="eastAsia" w:ascii="Times New Roman" w:hAnsi="Times New Roman" w:cs="Times New Roman"/>
                <w:color w:val="000000" w:themeColor="text1"/>
                <w:kern w:val="2"/>
                <w:sz w:val="24"/>
                <w:szCs w:val="24"/>
                <w:lang w:val="en-US" w:bidi="ar-SA"/>
              </w:rPr>
              <w:t>一起排入综合污水处理站“格栅池→调节池→厌氧滤池→接触氧化池→二沉池→消毒池→脱氯池→排放工艺”处理，综合污水处理站废水达到《医疗机构水污染物排放标准》（</w:t>
            </w:r>
            <w:r>
              <w:rPr>
                <w:rFonts w:ascii="Times New Roman" w:hAnsi="Times New Roman" w:cs="Times New Roman"/>
                <w:color w:val="000000" w:themeColor="text1"/>
                <w:kern w:val="2"/>
                <w:sz w:val="24"/>
                <w:szCs w:val="24"/>
                <w:lang w:val="en-US" w:bidi="ar-SA"/>
              </w:rPr>
              <w:t>GB18466-2005）表</w:t>
            </w:r>
            <w:r>
              <w:rPr>
                <w:rFonts w:hint="eastAsia" w:ascii="Times New Roman" w:hAnsi="Times New Roman" w:cs="Times New Roman"/>
                <w:color w:val="000000" w:themeColor="text1"/>
                <w:kern w:val="2"/>
                <w:sz w:val="24"/>
                <w:szCs w:val="24"/>
                <w:lang w:val="en-US" w:bidi="ar-SA"/>
              </w:rPr>
              <w:t>2</w:t>
            </w:r>
            <w:r>
              <w:rPr>
                <w:rFonts w:ascii="Times New Roman" w:hAnsi="Times New Roman" w:cs="Times New Roman"/>
                <w:color w:val="000000" w:themeColor="text1"/>
                <w:kern w:val="2"/>
                <w:sz w:val="24"/>
                <w:szCs w:val="24"/>
                <w:lang w:val="en-US" w:bidi="ar-SA"/>
              </w:rPr>
              <w:t xml:space="preserve"> 中</w:t>
            </w:r>
            <w:r>
              <w:rPr>
                <w:rFonts w:hint="eastAsia" w:ascii="Times New Roman" w:hAnsi="Times New Roman" w:cs="Times New Roman"/>
                <w:color w:val="000000" w:themeColor="text1"/>
                <w:kern w:val="2"/>
                <w:sz w:val="24"/>
                <w:szCs w:val="24"/>
                <w:lang w:val="en-US" w:bidi="ar-SA"/>
              </w:rPr>
              <w:t>的预处理</w:t>
            </w:r>
            <w:r>
              <w:rPr>
                <w:rFonts w:ascii="Times New Roman" w:hAnsi="Times New Roman" w:cs="Times New Roman"/>
                <w:color w:val="000000" w:themeColor="text1"/>
                <w:kern w:val="2"/>
                <w:sz w:val="24"/>
                <w:szCs w:val="24"/>
                <w:lang w:val="en-US" w:bidi="ar-SA"/>
              </w:rPr>
              <w:t>标准后</w:t>
            </w:r>
            <w:r>
              <w:rPr>
                <w:rFonts w:hint="eastAsia" w:ascii="Times New Roman" w:hAnsi="Times New Roman" w:cs="Times New Roman"/>
                <w:color w:val="000000" w:themeColor="text1"/>
                <w:kern w:val="2"/>
                <w:sz w:val="24"/>
                <w:szCs w:val="24"/>
                <w:lang w:val="en-US" w:bidi="ar-SA"/>
              </w:rPr>
              <w:t>排入永福县益源污水处理厂；</w:t>
            </w:r>
            <w:r>
              <w:rPr>
                <w:rFonts w:hint="eastAsia" w:ascii="Times New Roman" w:hAnsi="Times New Roman"/>
                <w:color w:val="000000" w:themeColor="text1"/>
                <w:sz w:val="24"/>
                <w:lang w:val="en-US"/>
              </w:rPr>
              <w:t>医院食堂废水经原隔油池+化粪池处理达到《污水综合排放标准》（GB 8978-1996）表4三级标准后</w:t>
            </w:r>
            <w:r>
              <w:rPr>
                <w:rFonts w:ascii="Times New Roman" w:hAnsi="Times New Roman"/>
                <w:color w:val="000000" w:themeColor="text1"/>
                <w:sz w:val="24"/>
              </w:rPr>
              <w:t>排入</w:t>
            </w:r>
            <w:r>
              <w:rPr>
                <w:rFonts w:hint="eastAsia" w:ascii="Times New Roman" w:hAnsi="Times New Roman"/>
                <w:color w:val="000000" w:themeColor="text1"/>
                <w:sz w:val="24"/>
              </w:rPr>
              <w:t>永福县益源污水处理厂</w:t>
            </w:r>
            <w:r>
              <w:rPr>
                <w:rFonts w:hint="eastAsia" w:ascii="Times New Roman" w:hAnsi="Times New Roman" w:cs="Times New Roman"/>
                <w:color w:val="000000" w:themeColor="text1"/>
                <w:kern w:val="2"/>
                <w:sz w:val="24"/>
                <w:szCs w:val="24"/>
                <w:lang w:val="en-US" w:bidi="ar-SA"/>
              </w:rPr>
              <w:t>，本项目</w:t>
            </w:r>
            <w:r>
              <w:rPr>
                <w:rFonts w:hint="eastAsia" w:ascii="Times New Roman" w:hAnsi="Times New Roman"/>
                <w:color w:val="000000" w:themeColor="text1"/>
                <w:sz w:val="24"/>
              </w:rPr>
              <w:t>综合污水处理站</w:t>
            </w:r>
            <w:r>
              <w:rPr>
                <w:rFonts w:hint="eastAsia" w:ascii="Times New Roman" w:hAnsi="Times New Roman" w:cs="Times New Roman"/>
                <w:color w:val="000000" w:themeColor="text1"/>
                <w:kern w:val="2"/>
                <w:sz w:val="24"/>
                <w:szCs w:val="24"/>
                <w:lang w:val="en-US" w:bidi="ar-SA"/>
              </w:rPr>
              <w:t>出水</w:t>
            </w:r>
            <w:r>
              <w:rPr>
                <w:rFonts w:ascii="Times New Roman" w:hAnsi="Times New Roman" w:cs="Times New Roman"/>
                <w:color w:val="000000" w:themeColor="text1"/>
                <w:sz w:val="24"/>
                <w:szCs w:val="24"/>
                <w:lang w:val="en-US" w:bidi="ar-SA"/>
              </w:rPr>
              <w:t>具体标准值见表</w:t>
            </w:r>
            <w:r>
              <w:rPr>
                <w:rFonts w:hint="eastAsia" w:ascii="Times New Roman" w:hAnsi="Times New Roman" w:cs="Times New Roman"/>
                <w:color w:val="000000" w:themeColor="text1"/>
                <w:sz w:val="24"/>
                <w:szCs w:val="24"/>
                <w:lang w:val="en-US" w:bidi="ar-SA"/>
              </w:rPr>
              <w:t>3</w:t>
            </w:r>
            <w:r>
              <w:rPr>
                <w:rFonts w:ascii="Times New Roman" w:hAnsi="Times New Roman" w:cs="Times New Roman"/>
                <w:color w:val="000000" w:themeColor="text1"/>
                <w:sz w:val="24"/>
                <w:szCs w:val="24"/>
                <w:lang w:val="en-US" w:bidi="ar-SA"/>
              </w:rPr>
              <w:t>-</w:t>
            </w:r>
            <w:r>
              <w:rPr>
                <w:rFonts w:hint="eastAsia" w:ascii="Times New Roman" w:hAnsi="Times New Roman" w:cs="Times New Roman"/>
                <w:color w:val="000000" w:themeColor="text1"/>
                <w:sz w:val="24"/>
                <w:szCs w:val="24"/>
                <w:lang w:val="en-US" w:eastAsia="zh-CN" w:bidi="ar-SA"/>
              </w:rPr>
              <w:t>7</w:t>
            </w:r>
            <w:r>
              <w:rPr>
                <w:rFonts w:hint="eastAsia" w:ascii="Times New Roman" w:hAnsi="Times New Roman" w:cs="Times New Roman"/>
                <w:color w:val="000000" w:themeColor="text1"/>
                <w:sz w:val="24"/>
                <w:szCs w:val="24"/>
                <w:lang w:val="en-US" w:bidi="ar-SA"/>
              </w:rPr>
              <w:t>、食堂废水出水</w:t>
            </w:r>
            <w:r>
              <w:rPr>
                <w:rFonts w:ascii="Times New Roman" w:hAnsi="Times New Roman" w:cs="Times New Roman"/>
                <w:color w:val="000000" w:themeColor="text1"/>
                <w:sz w:val="24"/>
                <w:szCs w:val="24"/>
                <w:lang w:val="en-US" w:bidi="ar-SA"/>
              </w:rPr>
              <w:t>具体标准值见表</w:t>
            </w:r>
            <w:r>
              <w:rPr>
                <w:rFonts w:hint="eastAsia" w:ascii="Times New Roman" w:hAnsi="Times New Roman" w:cs="Times New Roman"/>
                <w:color w:val="000000" w:themeColor="text1"/>
                <w:sz w:val="24"/>
                <w:szCs w:val="24"/>
                <w:lang w:val="en-US" w:bidi="ar-SA"/>
              </w:rPr>
              <w:t>3</w:t>
            </w:r>
            <w:r>
              <w:rPr>
                <w:rFonts w:ascii="Times New Roman" w:hAnsi="Times New Roman" w:cs="Times New Roman"/>
                <w:color w:val="000000" w:themeColor="text1"/>
                <w:sz w:val="24"/>
                <w:szCs w:val="24"/>
                <w:lang w:val="en-US" w:bidi="ar-SA"/>
              </w:rPr>
              <w:t>-</w:t>
            </w:r>
            <w:r>
              <w:rPr>
                <w:rFonts w:hint="eastAsia" w:ascii="Times New Roman" w:hAnsi="Times New Roman" w:cs="Times New Roman"/>
                <w:color w:val="000000" w:themeColor="text1"/>
                <w:sz w:val="24"/>
                <w:szCs w:val="24"/>
                <w:lang w:val="en-US" w:eastAsia="zh-CN" w:bidi="ar-SA"/>
              </w:rPr>
              <w:t>8</w:t>
            </w:r>
            <w:r>
              <w:rPr>
                <w:rFonts w:ascii="Times New Roman" w:hAnsi="Times New Roman" w:cs="Times New Roman"/>
                <w:color w:val="000000" w:themeColor="text1"/>
                <w:sz w:val="24"/>
                <w:szCs w:val="24"/>
                <w:lang w:val="en-US" w:bidi="ar-SA"/>
              </w:rPr>
              <w:t>。</w:t>
            </w:r>
          </w:p>
          <w:p w14:paraId="0E3161AE">
            <w:pPr>
              <w:autoSpaceDE/>
              <w:autoSpaceDN/>
              <w:adjustRightInd w:val="0"/>
              <w:snapToGrid w:val="0"/>
              <w:ind w:firstLine="241" w:firstLineChars="100"/>
              <w:jc w:val="both"/>
              <w:rPr>
                <w:rFonts w:ascii="Times New Roman" w:hAnsi="Times New Roman" w:cs="Times New Roman"/>
                <w:b/>
                <w:bCs/>
                <w:color w:val="000000" w:themeColor="text1"/>
                <w:kern w:val="3"/>
                <w:sz w:val="24"/>
                <w:szCs w:val="21"/>
                <w:lang w:val="en-US" w:bidi="ar-SA"/>
              </w:rPr>
            </w:pPr>
            <w:r>
              <w:rPr>
                <w:rFonts w:ascii="Times New Roman" w:hAnsi="Times New Roman" w:cs="Times New Roman"/>
                <w:b/>
                <w:bCs/>
                <w:color w:val="000000" w:themeColor="text1"/>
                <w:kern w:val="3"/>
                <w:sz w:val="24"/>
                <w:szCs w:val="21"/>
                <w:lang w:val="en-US" w:bidi="ar-SA"/>
              </w:rPr>
              <w:t>表</w:t>
            </w:r>
            <w:r>
              <w:rPr>
                <w:rFonts w:hint="eastAsia" w:ascii="Times New Roman" w:hAnsi="Times New Roman" w:cs="Times New Roman"/>
                <w:b/>
                <w:bCs/>
                <w:color w:val="000000" w:themeColor="text1"/>
                <w:kern w:val="3"/>
                <w:sz w:val="24"/>
                <w:szCs w:val="21"/>
                <w:lang w:val="en-US" w:bidi="ar-SA"/>
              </w:rPr>
              <w:t>3</w:t>
            </w:r>
            <w:r>
              <w:rPr>
                <w:rFonts w:ascii="Times New Roman" w:hAnsi="Times New Roman" w:cs="Times New Roman"/>
                <w:b/>
                <w:bCs/>
                <w:color w:val="000000" w:themeColor="text1"/>
                <w:kern w:val="3"/>
                <w:sz w:val="24"/>
                <w:szCs w:val="21"/>
                <w:lang w:val="en-US" w:bidi="ar-SA"/>
              </w:rPr>
              <w:t>-</w:t>
            </w:r>
            <w:r>
              <w:rPr>
                <w:rFonts w:hint="eastAsia" w:ascii="Times New Roman" w:hAnsi="Times New Roman" w:cs="Times New Roman"/>
                <w:b/>
                <w:bCs/>
                <w:color w:val="000000" w:themeColor="text1"/>
                <w:kern w:val="3"/>
                <w:sz w:val="24"/>
                <w:szCs w:val="21"/>
                <w:lang w:val="en-US" w:eastAsia="zh-CN" w:bidi="ar-SA"/>
              </w:rPr>
              <w:t>7</w:t>
            </w:r>
            <w:r>
              <w:rPr>
                <w:rFonts w:ascii="Times New Roman" w:hAnsi="Times New Roman" w:cs="Times New Roman"/>
                <w:b/>
                <w:bCs/>
                <w:color w:val="000000" w:themeColor="text1"/>
                <w:kern w:val="3"/>
                <w:sz w:val="24"/>
                <w:szCs w:val="21"/>
                <w:lang w:val="en-US" w:bidi="ar-SA"/>
              </w:rPr>
              <w:t>《医疗机构水污染物排放标准》（GB18466-2005）排放限值（日均值）</w:t>
            </w:r>
          </w:p>
          <w:tbl>
            <w:tblPr>
              <w:tblStyle w:val="27"/>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5262"/>
              <w:gridCol w:w="2435"/>
            </w:tblGrid>
            <w:tr w14:paraId="6DF0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177D105A">
                  <w:pPr>
                    <w:adjustRightInd w:val="0"/>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序号</w:t>
                  </w:r>
                </w:p>
              </w:tc>
              <w:tc>
                <w:tcPr>
                  <w:tcW w:w="3032" w:type="pct"/>
                  <w:vAlign w:val="center"/>
                </w:tcPr>
                <w:p w14:paraId="33E912C1">
                  <w:pPr>
                    <w:adjustRightInd w:val="0"/>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控制项目</w:t>
                  </w:r>
                </w:p>
              </w:tc>
              <w:tc>
                <w:tcPr>
                  <w:tcW w:w="1403" w:type="pct"/>
                </w:tcPr>
                <w:p w14:paraId="0F814996">
                  <w:pPr>
                    <w:adjustRightInd w:val="0"/>
                    <w:jc w:val="center"/>
                    <w:rPr>
                      <w:rFonts w:ascii="Times New Roman" w:hAnsi="Times New Roman" w:cs="Times New Roman"/>
                      <w:b/>
                      <w:bCs/>
                      <w:color w:val="000000" w:themeColor="text1"/>
                      <w:sz w:val="21"/>
                      <w:szCs w:val="21"/>
                      <w:lang w:val="en-US" w:bidi="ar-SA"/>
                    </w:rPr>
                  </w:pPr>
                  <w:r>
                    <w:rPr>
                      <w:rFonts w:hint="eastAsia" w:ascii="Times New Roman" w:hAnsi="Times New Roman" w:cs="Times New Roman"/>
                      <w:b/>
                      <w:bCs/>
                      <w:color w:val="000000" w:themeColor="text1"/>
                      <w:sz w:val="21"/>
                      <w:szCs w:val="21"/>
                      <w:lang w:val="en-US" w:bidi="ar-SA"/>
                    </w:rPr>
                    <w:t>表2</w:t>
                  </w:r>
                  <w:r>
                    <w:rPr>
                      <w:rFonts w:ascii="Times New Roman" w:hAnsi="Times New Roman" w:cs="Times New Roman"/>
                      <w:b/>
                      <w:bCs/>
                      <w:color w:val="000000" w:themeColor="text1"/>
                      <w:sz w:val="21"/>
                      <w:szCs w:val="21"/>
                      <w:lang w:val="en-US" w:bidi="ar-SA"/>
                    </w:rPr>
                    <w:t>预处理标准</w:t>
                  </w:r>
                </w:p>
              </w:tc>
            </w:tr>
            <w:tr w14:paraId="70AD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480E4EBF">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w:t>
                  </w:r>
                </w:p>
              </w:tc>
              <w:tc>
                <w:tcPr>
                  <w:tcW w:w="3032" w:type="pct"/>
                  <w:vAlign w:val="center"/>
                </w:tcPr>
                <w:p w14:paraId="67EFCA21">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粪大肠菌群数（MPN/L）</w:t>
                  </w:r>
                </w:p>
              </w:tc>
              <w:tc>
                <w:tcPr>
                  <w:tcW w:w="1403" w:type="pct"/>
                </w:tcPr>
                <w:p w14:paraId="752A3E89">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5000</w:t>
                  </w:r>
                </w:p>
              </w:tc>
            </w:tr>
            <w:tr w14:paraId="4BCF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5C4A4A05">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2</w:t>
                  </w:r>
                </w:p>
              </w:tc>
              <w:tc>
                <w:tcPr>
                  <w:tcW w:w="3032" w:type="pct"/>
                  <w:vAlign w:val="center"/>
                </w:tcPr>
                <w:p w14:paraId="29067DE8">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肠道致病菌</w:t>
                  </w:r>
                </w:p>
              </w:tc>
              <w:tc>
                <w:tcPr>
                  <w:tcW w:w="1403" w:type="pct"/>
                </w:tcPr>
                <w:p w14:paraId="7918E9D2">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w:t>
                  </w:r>
                </w:p>
              </w:tc>
            </w:tr>
            <w:tr w14:paraId="7FF0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62524C0A">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3</w:t>
                  </w:r>
                </w:p>
              </w:tc>
              <w:tc>
                <w:tcPr>
                  <w:tcW w:w="3032" w:type="pct"/>
                  <w:vAlign w:val="center"/>
                </w:tcPr>
                <w:p w14:paraId="0A3BF7CC">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肠道病毒</w:t>
                  </w:r>
                </w:p>
              </w:tc>
              <w:tc>
                <w:tcPr>
                  <w:tcW w:w="1403" w:type="pct"/>
                </w:tcPr>
                <w:p w14:paraId="399E109F">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w:t>
                  </w:r>
                </w:p>
              </w:tc>
            </w:tr>
            <w:tr w14:paraId="7261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564" w:type="pct"/>
                  <w:vAlign w:val="center"/>
                </w:tcPr>
                <w:p w14:paraId="694DE826">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4</w:t>
                  </w:r>
                </w:p>
              </w:tc>
              <w:tc>
                <w:tcPr>
                  <w:tcW w:w="3032" w:type="pct"/>
                  <w:vAlign w:val="center"/>
                </w:tcPr>
                <w:p w14:paraId="6CCFE89F">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PH</w:t>
                  </w:r>
                </w:p>
              </w:tc>
              <w:tc>
                <w:tcPr>
                  <w:tcW w:w="1403" w:type="pct"/>
                </w:tcPr>
                <w:p w14:paraId="7F1C0E66">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6-9</w:t>
                  </w:r>
                </w:p>
              </w:tc>
            </w:tr>
            <w:tr w14:paraId="0E07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64" w:type="pct"/>
                  <w:vAlign w:val="center"/>
                </w:tcPr>
                <w:p w14:paraId="1C11BE6B">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5</w:t>
                  </w:r>
                </w:p>
              </w:tc>
              <w:tc>
                <w:tcPr>
                  <w:tcW w:w="3032" w:type="pct"/>
                  <w:vAlign w:val="center"/>
                </w:tcPr>
                <w:p w14:paraId="6FC2BE73">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化学需氧量（COD）浓度（mg/L）</w:t>
                  </w:r>
                </w:p>
                <w:p w14:paraId="1D1128BB">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最高允许排放负荷[g/（床位﹒d]</w:t>
                  </w:r>
                </w:p>
              </w:tc>
              <w:tc>
                <w:tcPr>
                  <w:tcW w:w="1403" w:type="pct"/>
                </w:tcPr>
                <w:p w14:paraId="36545797">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250</w:t>
                  </w:r>
                </w:p>
                <w:p w14:paraId="5CB10489">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250</w:t>
                  </w:r>
                </w:p>
              </w:tc>
            </w:tr>
            <w:tr w14:paraId="5023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64" w:type="pct"/>
                  <w:vAlign w:val="center"/>
                </w:tcPr>
                <w:p w14:paraId="5EB446AB">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6</w:t>
                  </w:r>
                </w:p>
              </w:tc>
              <w:tc>
                <w:tcPr>
                  <w:tcW w:w="3032" w:type="pct"/>
                  <w:vAlign w:val="center"/>
                </w:tcPr>
                <w:p w14:paraId="4507F9A5">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生化需氧量（BOD）浓度（mg/L）</w:t>
                  </w:r>
                </w:p>
                <w:p w14:paraId="5E00FB84">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最高允许排放负荷[g/（床位﹒d]</w:t>
                  </w:r>
                </w:p>
              </w:tc>
              <w:tc>
                <w:tcPr>
                  <w:tcW w:w="1403" w:type="pct"/>
                </w:tcPr>
                <w:p w14:paraId="66BDE937">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100</w:t>
                  </w:r>
                </w:p>
                <w:p w14:paraId="1EA8E343">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100</w:t>
                  </w:r>
                </w:p>
              </w:tc>
            </w:tr>
            <w:tr w14:paraId="68C2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64" w:type="pct"/>
                  <w:vAlign w:val="center"/>
                </w:tcPr>
                <w:p w14:paraId="718009AA">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7</w:t>
                  </w:r>
                </w:p>
              </w:tc>
              <w:tc>
                <w:tcPr>
                  <w:tcW w:w="3032" w:type="pct"/>
                  <w:vAlign w:val="center"/>
                </w:tcPr>
                <w:p w14:paraId="57FFB3B8">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悬浮物（SS）浓度（mg/L）</w:t>
                  </w:r>
                </w:p>
                <w:p w14:paraId="079E8884">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最高允许排放负荷[g/（床位﹒d]</w:t>
                  </w:r>
                </w:p>
              </w:tc>
              <w:tc>
                <w:tcPr>
                  <w:tcW w:w="1403" w:type="pct"/>
                </w:tcPr>
                <w:p w14:paraId="67E7EE4B">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60</w:t>
                  </w:r>
                </w:p>
                <w:p w14:paraId="47AD91E1">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60</w:t>
                  </w:r>
                </w:p>
              </w:tc>
            </w:tr>
            <w:tr w14:paraId="4128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01460A27">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8</w:t>
                  </w:r>
                </w:p>
              </w:tc>
              <w:tc>
                <w:tcPr>
                  <w:tcW w:w="3032" w:type="pct"/>
                  <w:vAlign w:val="center"/>
                </w:tcPr>
                <w:p w14:paraId="77003A01">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氨氮（mg/L）</w:t>
                  </w:r>
                </w:p>
              </w:tc>
              <w:tc>
                <w:tcPr>
                  <w:tcW w:w="1403" w:type="pct"/>
                </w:tcPr>
                <w:p w14:paraId="5EBE2F46">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w:t>
                  </w:r>
                </w:p>
              </w:tc>
            </w:tr>
            <w:tr w14:paraId="7A68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49C3453C">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9</w:t>
                  </w:r>
                </w:p>
              </w:tc>
              <w:tc>
                <w:tcPr>
                  <w:tcW w:w="3032" w:type="pct"/>
                  <w:vAlign w:val="center"/>
                </w:tcPr>
                <w:p w14:paraId="6343E257">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动植物油（mg/L）</w:t>
                  </w:r>
                </w:p>
              </w:tc>
              <w:tc>
                <w:tcPr>
                  <w:tcW w:w="1403" w:type="pct"/>
                </w:tcPr>
                <w:p w14:paraId="3E4F11C0">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20</w:t>
                  </w:r>
                </w:p>
              </w:tc>
            </w:tr>
            <w:tr w14:paraId="6859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218ECDC1">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10</w:t>
                  </w:r>
                </w:p>
              </w:tc>
              <w:tc>
                <w:tcPr>
                  <w:tcW w:w="3032" w:type="pct"/>
                  <w:vAlign w:val="center"/>
                </w:tcPr>
                <w:p w14:paraId="7E7825C6">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石油类（mg/L）</w:t>
                  </w:r>
                </w:p>
              </w:tc>
              <w:tc>
                <w:tcPr>
                  <w:tcW w:w="1403" w:type="pct"/>
                </w:tcPr>
                <w:p w14:paraId="624E13C4">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20</w:t>
                  </w:r>
                </w:p>
              </w:tc>
            </w:tr>
            <w:tr w14:paraId="5F80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3EAD91FA">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11</w:t>
                  </w:r>
                </w:p>
              </w:tc>
              <w:tc>
                <w:tcPr>
                  <w:tcW w:w="3032" w:type="pct"/>
                  <w:vAlign w:val="center"/>
                </w:tcPr>
                <w:p w14:paraId="23C607B4">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阴离子表面活性剂（mg/L）</w:t>
                  </w:r>
                </w:p>
              </w:tc>
              <w:tc>
                <w:tcPr>
                  <w:tcW w:w="1403" w:type="pct"/>
                </w:tcPr>
                <w:p w14:paraId="7F223CBC">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10</w:t>
                  </w:r>
                </w:p>
              </w:tc>
            </w:tr>
            <w:tr w14:paraId="6D3D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6F743325">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12</w:t>
                  </w:r>
                </w:p>
              </w:tc>
              <w:tc>
                <w:tcPr>
                  <w:tcW w:w="3032" w:type="pct"/>
                  <w:vAlign w:val="center"/>
                </w:tcPr>
                <w:p w14:paraId="57DAFFFC">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色度（稀释倍数）</w:t>
                  </w:r>
                </w:p>
              </w:tc>
              <w:tc>
                <w:tcPr>
                  <w:tcW w:w="1403" w:type="pct"/>
                </w:tcPr>
                <w:p w14:paraId="079B55F8">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w:t>
                  </w:r>
                </w:p>
              </w:tc>
            </w:tr>
            <w:tr w14:paraId="32FD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7557521D">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13</w:t>
                  </w:r>
                </w:p>
              </w:tc>
              <w:tc>
                <w:tcPr>
                  <w:tcW w:w="3032" w:type="pct"/>
                  <w:vAlign w:val="center"/>
                </w:tcPr>
                <w:p w14:paraId="31F61002">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挥发酚（mg/L）</w:t>
                  </w:r>
                </w:p>
              </w:tc>
              <w:tc>
                <w:tcPr>
                  <w:tcW w:w="1403" w:type="pct"/>
                </w:tcPr>
                <w:p w14:paraId="47D0DEBD">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1.0</w:t>
                  </w:r>
                </w:p>
              </w:tc>
            </w:tr>
            <w:tr w14:paraId="4769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4EA6A87D">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14</w:t>
                  </w:r>
                </w:p>
              </w:tc>
              <w:tc>
                <w:tcPr>
                  <w:tcW w:w="3032" w:type="pct"/>
                  <w:vAlign w:val="center"/>
                </w:tcPr>
                <w:p w14:paraId="6A9AB3F3">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总氰化物（mg/L）</w:t>
                  </w:r>
                </w:p>
              </w:tc>
              <w:tc>
                <w:tcPr>
                  <w:tcW w:w="1403" w:type="pct"/>
                </w:tcPr>
                <w:p w14:paraId="4BF66ABC">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0.5</w:t>
                  </w:r>
                </w:p>
              </w:tc>
            </w:tr>
            <w:tr w14:paraId="147F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391F3B4A">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15</w:t>
                  </w:r>
                </w:p>
              </w:tc>
              <w:tc>
                <w:tcPr>
                  <w:tcW w:w="3032" w:type="pct"/>
                  <w:vAlign w:val="center"/>
                </w:tcPr>
                <w:p w14:paraId="7E3258C0">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总汞（mg/L）</w:t>
                  </w:r>
                </w:p>
              </w:tc>
              <w:tc>
                <w:tcPr>
                  <w:tcW w:w="1403" w:type="pct"/>
                  <w:vAlign w:val="center"/>
                </w:tcPr>
                <w:p w14:paraId="6C83B9E7">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0.05</w:t>
                  </w:r>
                </w:p>
              </w:tc>
            </w:tr>
            <w:tr w14:paraId="6705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06B65F4E">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16</w:t>
                  </w:r>
                </w:p>
              </w:tc>
              <w:tc>
                <w:tcPr>
                  <w:tcW w:w="3032" w:type="pct"/>
                  <w:vAlign w:val="center"/>
                </w:tcPr>
                <w:p w14:paraId="1D72F02E">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总镉（mg/L）</w:t>
                  </w:r>
                </w:p>
              </w:tc>
              <w:tc>
                <w:tcPr>
                  <w:tcW w:w="1403" w:type="pct"/>
                  <w:vAlign w:val="center"/>
                </w:tcPr>
                <w:p w14:paraId="5D74DB11">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0.1</w:t>
                  </w:r>
                </w:p>
              </w:tc>
            </w:tr>
            <w:tr w14:paraId="2AC6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47716702">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17</w:t>
                  </w:r>
                </w:p>
              </w:tc>
              <w:tc>
                <w:tcPr>
                  <w:tcW w:w="3032" w:type="pct"/>
                  <w:vAlign w:val="center"/>
                </w:tcPr>
                <w:p w14:paraId="648997A2">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总铬（mg/L）</w:t>
                  </w:r>
                </w:p>
              </w:tc>
              <w:tc>
                <w:tcPr>
                  <w:tcW w:w="1403" w:type="pct"/>
                  <w:vAlign w:val="center"/>
                </w:tcPr>
                <w:p w14:paraId="0D8B0EE0">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1.5</w:t>
                  </w:r>
                </w:p>
              </w:tc>
            </w:tr>
            <w:tr w14:paraId="616D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183EBBDC">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18</w:t>
                  </w:r>
                </w:p>
              </w:tc>
              <w:tc>
                <w:tcPr>
                  <w:tcW w:w="3032" w:type="pct"/>
                  <w:vAlign w:val="center"/>
                </w:tcPr>
                <w:p w14:paraId="39B9A1F7">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六价铬（mg/L）</w:t>
                  </w:r>
                </w:p>
              </w:tc>
              <w:tc>
                <w:tcPr>
                  <w:tcW w:w="1403" w:type="pct"/>
                  <w:vAlign w:val="center"/>
                </w:tcPr>
                <w:p w14:paraId="21875FAB">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0.5</w:t>
                  </w:r>
                </w:p>
              </w:tc>
            </w:tr>
            <w:tr w14:paraId="2A93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4E9A9412">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19</w:t>
                  </w:r>
                </w:p>
              </w:tc>
              <w:tc>
                <w:tcPr>
                  <w:tcW w:w="3032" w:type="pct"/>
                  <w:vAlign w:val="center"/>
                </w:tcPr>
                <w:p w14:paraId="1B2F5E3E">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总砷（mg/L）</w:t>
                  </w:r>
                </w:p>
              </w:tc>
              <w:tc>
                <w:tcPr>
                  <w:tcW w:w="1403" w:type="pct"/>
                  <w:vAlign w:val="center"/>
                </w:tcPr>
                <w:p w14:paraId="033F32FD">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0.5</w:t>
                  </w:r>
                </w:p>
              </w:tc>
            </w:tr>
            <w:tr w14:paraId="0395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02FE8B03">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20</w:t>
                  </w:r>
                </w:p>
              </w:tc>
              <w:tc>
                <w:tcPr>
                  <w:tcW w:w="3032" w:type="pct"/>
                  <w:vAlign w:val="center"/>
                </w:tcPr>
                <w:p w14:paraId="7A27AF27">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总铅（mg/L）</w:t>
                  </w:r>
                </w:p>
              </w:tc>
              <w:tc>
                <w:tcPr>
                  <w:tcW w:w="1403" w:type="pct"/>
                  <w:vAlign w:val="center"/>
                </w:tcPr>
                <w:p w14:paraId="5F776CCB">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1.0</w:t>
                  </w:r>
                </w:p>
              </w:tc>
            </w:tr>
            <w:tr w14:paraId="6470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1E6D318E">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21</w:t>
                  </w:r>
                </w:p>
              </w:tc>
              <w:tc>
                <w:tcPr>
                  <w:tcW w:w="3032" w:type="pct"/>
                  <w:vAlign w:val="center"/>
                </w:tcPr>
                <w:p w14:paraId="5E12E6A2">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总银（mg/L）</w:t>
                  </w:r>
                </w:p>
              </w:tc>
              <w:tc>
                <w:tcPr>
                  <w:tcW w:w="1403" w:type="pct"/>
                  <w:vAlign w:val="center"/>
                </w:tcPr>
                <w:p w14:paraId="1626AAB9">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0.5</w:t>
                  </w:r>
                </w:p>
              </w:tc>
            </w:tr>
            <w:tr w14:paraId="7797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3FA776A4">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22</w:t>
                  </w:r>
                </w:p>
              </w:tc>
              <w:tc>
                <w:tcPr>
                  <w:tcW w:w="3032" w:type="pct"/>
                  <w:vAlign w:val="center"/>
                </w:tcPr>
                <w:p w14:paraId="167F5250">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总α（Bq/L）</w:t>
                  </w:r>
                </w:p>
              </w:tc>
              <w:tc>
                <w:tcPr>
                  <w:tcW w:w="1403" w:type="pct"/>
                  <w:vAlign w:val="center"/>
                </w:tcPr>
                <w:p w14:paraId="2D858DA5">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w:t>
                  </w:r>
                </w:p>
              </w:tc>
            </w:tr>
            <w:tr w14:paraId="7994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4" w:type="pct"/>
                  <w:vAlign w:val="center"/>
                </w:tcPr>
                <w:p w14:paraId="16331F59">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23</w:t>
                  </w:r>
                </w:p>
              </w:tc>
              <w:tc>
                <w:tcPr>
                  <w:tcW w:w="3032" w:type="pct"/>
                  <w:vAlign w:val="center"/>
                </w:tcPr>
                <w:p w14:paraId="42465400">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总β（Bq/L）</w:t>
                  </w:r>
                </w:p>
              </w:tc>
              <w:tc>
                <w:tcPr>
                  <w:tcW w:w="1403" w:type="pct"/>
                  <w:vAlign w:val="center"/>
                </w:tcPr>
                <w:p w14:paraId="1F116675">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10</w:t>
                  </w:r>
                </w:p>
              </w:tc>
            </w:tr>
            <w:tr w14:paraId="466B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4" w:type="pct"/>
                  <w:vAlign w:val="center"/>
                </w:tcPr>
                <w:p w14:paraId="4CC9871C">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24</w:t>
                  </w:r>
                </w:p>
              </w:tc>
              <w:tc>
                <w:tcPr>
                  <w:tcW w:w="3032" w:type="pct"/>
                  <w:vAlign w:val="center"/>
                </w:tcPr>
                <w:p w14:paraId="6A51101E">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总余氯（mg/L）</w:t>
                  </w:r>
                </w:p>
              </w:tc>
              <w:tc>
                <w:tcPr>
                  <w:tcW w:w="1403" w:type="pct"/>
                  <w:vAlign w:val="center"/>
                </w:tcPr>
                <w:p w14:paraId="42E42BA9">
                  <w:pPr>
                    <w:adjustRightInd w:val="0"/>
                    <w:jc w:val="center"/>
                    <w:rPr>
                      <w:rFonts w:ascii="Times New Roman" w:hAnsi="Times New Roman" w:cs="Times New Roman"/>
                      <w:color w:val="000000" w:themeColor="text1"/>
                      <w:sz w:val="21"/>
                      <w:szCs w:val="21"/>
                      <w:lang w:val="en-US" w:bidi="ar-SA"/>
                    </w:rPr>
                  </w:pPr>
                  <w:r>
                    <w:rPr>
                      <w:rFonts w:ascii="Times New Roman" w:hAnsi="Times New Roman" w:cs="Times New Roman"/>
                      <w:color w:val="000000" w:themeColor="text1"/>
                      <w:sz w:val="21"/>
                      <w:szCs w:val="21"/>
                      <w:lang w:val="en-US" w:bidi="ar-SA"/>
                    </w:rPr>
                    <w:t>-</w:t>
                  </w:r>
                </w:p>
              </w:tc>
            </w:tr>
          </w:tbl>
          <w:p w14:paraId="2FC93401">
            <w:pPr>
              <w:autoSpaceDE/>
              <w:autoSpaceDN/>
              <w:adjustRightInd w:val="0"/>
              <w:snapToGrid w:val="0"/>
              <w:spacing w:line="360" w:lineRule="auto"/>
              <w:ind w:firstLine="482"/>
              <w:jc w:val="both"/>
              <w:rPr>
                <w:rFonts w:ascii="Times New Roman" w:hAnsi="Times New Roman" w:cs="Times New Roman"/>
                <w:color w:val="000000" w:themeColor="text1"/>
                <w:kern w:val="2"/>
                <w:sz w:val="24"/>
                <w:szCs w:val="24"/>
                <w:lang w:val="en-US" w:bidi="ar-SA"/>
              </w:rPr>
            </w:pPr>
            <w:r>
              <w:rPr>
                <w:rFonts w:ascii="Times New Roman" w:hAnsi="Times New Roman" w:cs="Times New Roman"/>
                <w:bCs/>
                <w:color w:val="000000" w:themeColor="text1"/>
                <w:kern w:val="2"/>
                <w:sz w:val="21"/>
                <w:szCs w:val="21"/>
                <w:lang w:val="en-US" w:bidi="ar-SA"/>
              </w:rPr>
              <w:t>*注：本项目采用含氯消毒剂，排放执行预处理标准，故消毒的工艺控制要求为：消毒接触池接触时间≥1h，接触池出口总余氯2~8mg/L</w:t>
            </w:r>
            <w:r>
              <w:rPr>
                <w:rFonts w:hint="eastAsia" w:ascii="Times New Roman" w:hAnsi="Times New Roman" w:cs="Times New Roman"/>
                <w:bCs/>
                <w:color w:val="000000" w:themeColor="text1"/>
                <w:kern w:val="2"/>
                <w:sz w:val="24"/>
                <w:szCs w:val="24"/>
                <w:lang w:val="en-US" w:bidi="ar-SA"/>
              </w:rPr>
              <w:t>。</w:t>
            </w:r>
          </w:p>
          <w:p w14:paraId="54DCE733">
            <w:pPr>
              <w:widowControl/>
              <w:spacing w:line="360" w:lineRule="auto"/>
              <w:ind w:firstLine="482" w:firstLineChars="200"/>
              <w:jc w:val="center"/>
              <w:rPr>
                <w:rFonts w:ascii="Times New Roman" w:hAnsi="Times New Roman" w:cs="Times New Roman"/>
                <w:b/>
                <w:bCs/>
                <w:color w:val="000000" w:themeColor="text1"/>
                <w:sz w:val="24"/>
                <w:szCs w:val="32"/>
                <w:lang w:val="en-US"/>
              </w:rPr>
            </w:pPr>
            <w:r>
              <w:rPr>
                <w:rFonts w:hint="eastAsia" w:ascii="Times New Roman" w:hAnsi="Times New Roman" w:cs="Times New Roman"/>
                <w:b/>
                <w:bCs/>
                <w:color w:val="000000" w:themeColor="text1"/>
                <w:sz w:val="24"/>
                <w:szCs w:val="32"/>
                <w:lang w:val="en-US"/>
              </w:rPr>
              <w:t>表3-</w:t>
            </w:r>
            <w:r>
              <w:rPr>
                <w:rFonts w:hint="eastAsia" w:ascii="Times New Roman" w:hAnsi="Times New Roman" w:cs="Times New Roman"/>
                <w:b/>
                <w:bCs/>
                <w:color w:val="000000" w:themeColor="text1"/>
                <w:sz w:val="24"/>
                <w:szCs w:val="32"/>
                <w:lang w:val="en-US" w:eastAsia="zh-CN"/>
              </w:rPr>
              <w:t>8</w:t>
            </w:r>
            <w:r>
              <w:rPr>
                <w:rFonts w:hint="eastAsia" w:ascii="Times New Roman" w:hAnsi="Times New Roman" w:cs="Times New Roman"/>
                <w:b/>
                <w:bCs/>
                <w:color w:val="000000" w:themeColor="text1"/>
                <w:sz w:val="24"/>
                <w:szCs w:val="32"/>
                <w:lang w:val="en-US"/>
              </w:rPr>
              <w:t>《污水综合排放标准》（GB 8978-1996）</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202"/>
              <w:gridCol w:w="1202"/>
              <w:gridCol w:w="1202"/>
              <w:gridCol w:w="1202"/>
              <w:gridCol w:w="1202"/>
              <w:gridCol w:w="1203"/>
            </w:tblGrid>
            <w:tr w14:paraId="1E1A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02" w:type="dxa"/>
                  <w:tcBorders>
                    <w:top w:val="single" w:color="auto" w:sz="4" w:space="0"/>
                    <w:left w:val="single" w:color="auto" w:sz="4" w:space="0"/>
                    <w:bottom w:val="single" w:color="auto" w:sz="4" w:space="0"/>
                    <w:right w:val="single" w:color="auto" w:sz="4" w:space="0"/>
                  </w:tcBorders>
                  <w:vAlign w:val="center"/>
                </w:tcPr>
                <w:p w14:paraId="399E6B64">
                  <w:pPr>
                    <w:spacing w:before="100" w:beforeAutospacing="1"/>
                    <w:jc w:val="center"/>
                    <w:rPr>
                      <w:rFonts w:ascii="Times New Roman" w:hAnsi="Times New Roman" w:cs="Times New Roman"/>
                      <w:b/>
                      <w:bCs/>
                      <w:color w:val="000000" w:themeColor="text1"/>
                      <w:sz w:val="21"/>
                      <w:szCs w:val="21"/>
                      <w:lang w:val="en-US"/>
                    </w:rPr>
                  </w:pPr>
                  <w:r>
                    <w:rPr>
                      <w:rFonts w:ascii="Times New Roman" w:hAnsi="Times New Roman" w:cs="Times New Roman"/>
                      <w:b/>
                      <w:bCs/>
                      <w:color w:val="000000" w:themeColor="text1"/>
                      <w:sz w:val="21"/>
                      <w:szCs w:val="21"/>
                    </w:rPr>
                    <w:t>标准</w:t>
                  </w:r>
                </w:p>
              </w:tc>
              <w:tc>
                <w:tcPr>
                  <w:tcW w:w="1202" w:type="dxa"/>
                  <w:tcBorders>
                    <w:top w:val="single" w:color="auto" w:sz="4" w:space="0"/>
                    <w:left w:val="nil"/>
                    <w:bottom w:val="single" w:color="auto" w:sz="4" w:space="0"/>
                    <w:right w:val="single" w:color="auto" w:sz="4" w:space="0"/>
                  </w:tcBorders>
                  <w:vAlign w:val="center"/>
                </w:tcPr>
                <w:p w14:paraId="0D8AA955">
                  <w:pPr>
                    <w:spacing w:before="100" w:beforeAutospacing="1"/>
                    <w:jc w:val="center"/>
                    <w:rPr>
                      <w:rFonts w:ascii="Times New Roman" w:hAnsi="Times New Roman" w:cs="Times New Roman"/>
                      <w:b/>
                      <w:bCs/>
                      <w:color w:val="000000" w:themeColor="text1"/>
                      <w:sz w:val="21"/>
                      <w:szCs w:val="21"/>
                      <w:lang w:val="en-US"/>
                    </w:rPr>
                  </w:pPr>
                  <w:r>
                    <w:rPr>
                      <w:rFonts w:ascii="Times New Roman" w:hAnsi="Times New Roman" w:cs="Times New Roman"/>
                      <w:b/>
                      <w:bCs/>
                      <w:color w:val="000000" w:themeColor="text1"/>
                      <w:sz w:val="21"/>
                      <w:szCs w:val="21"/>
                      <w:lang w:val="en-US"/>
                    </w:rPr>
                    <w:t>pH</w:t>
                  </w:r>
                  <w:r>
                    <w:rPr>
                      <w:rFonts w:ascii="Times New Roman" w:hAnsi="Times New Roman" w:cs="Times New Roman"/>
                      <w:b/>
                      <w:bCs/>
                      <w:color w:val="000000" w:themeColor="text1"/>
                      <w:sz w:val="21"/>
                      <w:szCs w:val="21"/>
                    </w:rPr>
                    <w:t>值</w:t>
                  </w:r>
                </w:p>
              </w:tc>
              <w:tc>
                <w:tcPr>
                  <w:tcW w:w="1202" w:type="dxa"/>
                  <w:tcBorders>
                    <w:top w:val="single" w:color="auto" w:sz="4" w:space="0"/>
                    <w:left w:val="nil"/>
                    <w:bottom w:val="single" w:color="auto" w:sz="4" w:space="0"/>
                    <w:right w:val="single" w:color="auto" w:sz="4" w:space="0"/>
                  </w:tcBorders>
                  <w:vAlign w:val="center"/>
                </w:tcPr>
                <w:p w14:paraId="1B8ED8BB">
                  <w:pPr>
                    <w:spacing w:before="100" w:beforeAutospacing="1"/>
                    <w:jc w:val="center"/>
                    <w:rPr>
                      <w:rFonts w:ascii="Times New Roman" w:hAnsi="Times New Roman" w:cs="Times New Roman"/>
                      <w:b/>
                      <w:bCs/>
                      <w:color w:val="000000" w:themeColor="text1"/>
                      <w:sz w:val="21"/>
                      <w:szCs w:val="21"/>
                      <w:lang w:val="en-US"/>
                    </w:rPr>
                  </w:pPr>
                  <w:r>
                    <w:rPr>
                      <w:rFonts w:ascii="Times New Roman" w:hAnsi="Times New Roman" w:cs="Times New Roman"/>
                      <w:b/>
                      <w:bCs/>
                      <w:color w:val="000000" w:themeColor="text1"/>
                      <w:sz w:val="21"/>
                      <w:szCs w:val="21"/>
                      <w:lang w:val="en-US"/>
                    </w:rPr>
                    <w:t>COD</w:t>
                  </w:r>
                  <w:r>
                    <w:rPr>
                      <w:rFonts w:ascii="Times New Roman" w:hAnsi="Times New Roman" w:cs="Times New Roman"/>
                      <w:b/>
                      <w:bCs/>
                      <w:color w:val="000000" w:themeColor="text1"/>
                      <w:sz w:val="21"/>
                      <w:szCs w:val="21"/>
                      <w:vertAlign w:val="subscript"/>
                      <w:lang w:val="en-US"/>
                    </w:rPr>
                    <w:t>Cr</w:t>
                  </w:r>
                </w:p>
              </w:tc>
              <w:tc>
                <w:tcPr>
                  <w:tcW w:w="1202" w:type="dxa"/>
                  <w:tcBorders>
                    <w:top w:val="single" w:color="auto" w:sz="4" w:space="0"/>
                    <w:left w:val="nil"/>
                    <w:bottom w:val="single" w:color="auto" w:sz="4" w:space="0"/>
                    <w:right w:val="single" w:color="auto" w:sz="4" w:space="0"/>
                  </w:tcBorders>
                  <w:vAlign w:val="center"/>
                </w:tcPr>
                <w:p w14:paraId="521D2FE9">
                  <w:pPr>
                    <w:spacing w:before="100" w:beforeAutospacing="1"/>
                    <w:jc w:val="center"/>
                    <w:rPr>
                      <w:rFonts w:ascii="Times New Roman" w:hAnsi="Times New Roman" w:cs="Times New Roman"/>
                      <w:b/>
                      <w:bCs/>
                      <w:color w:val="000000" w:themeColor="text1"/>
                      <w:sz w:val="21"/>
                      <w:szCs w:val="21"/>
                      <w:lang w:val="en-US"/>
                    </w:rPr>
                  </w:pPr>
                  <w:r>
                    <w:rPr>
                      <w:rFonts w:ascii="Times New Roman" w:hAnsi="Times New Roman" w:cs="Times New Roman"/>
                      <w:b/>
                      <w:bCs/>
                      <w:color w:val="000000" w:themeColor="text1"/>
                      <w:sz w:val="21"/>
                      <w:szCs w:val="21"/>
                      <w:lang w:val="en-US"/>
                    </w:rPr>
                    <w:t>BOD</w:t>
                  </w:r>
                  <w:r>
                    <w:rPr>
                      <w:rFonts w:ascii="Times New Roman" w:hAnsi="Times New Roman" w:cs="Times New Roman"/>
                      <w:b/>
                      <w:bCs/>
                      <w:color w:val="000000" w:themeColor="text1"/>
                      <w:sz w:val="21"/>
                      <w:szCs w:val="21"/>
                      <w:vertAlign w:val="subscript"/>
                      <w:lang w:val="en-US"/>
                    </w:rPr>
                    <w:t>5</w:t>
                  </w:r>
                </w:p>
              </w:tc>
              <w:tc>
                <w:tcPr>
                  <w:tcW w:w="1202" w:type="dxa"/>
                  <w:tcBorders>
                    <w:top w:val="single" w:color="auto" w:sz="4" w:space="0"/>
                    <w:left w:val="nil"/>
                    <w:bottom w:val="single" w:color="auto" w:sz="4" w:space="0"/>
                    <w:right w:val="single" w:color="auto" w:sz="4" w:space="0"/>
                  </w:tcBorders>
                  <w:vAlign w:val="center"/>
                </w:tcPr>
                <w:p w14:paraId="44C3DD67">
                  <w:pPr>
                    <w:spacing w:before="100" w:beforeAutospacing="1"/>
                    <w:jc w:val="center"/>
                    <w:rPr>
                      <w:rFonts w:ascii="Times New Roman" w:hAnsi="Times New Roman" w:cs="Times New Roman"/>
                      <w:b/>
                      <w:bCs/>
                      <w:color w:val="000000" w:themeColor="text1"/>
                      <w:sz w:val="21"/>
                      <w:szCs w:val="21"/>
                      <w:lang w:val="en-US"/>
                    </w:rPr>
                  </w:pPr>
                  <w:r>
                    <w:rPr>
                      <w:rFonts w:ascii="Times New Roman" w:hAnsi="Times New Roman" w:cs="Times New Roman"/>
                      <w:b/>
                      <w:bCs/>
                      <w:color w:val="000000" w:themeColor="text1"/>
                      <w:sz w:val="21"/>
                      <w:szCs w:val="21"/>
                      <w:lang w:val="en-US"/>
                    </w:rPr>
                    <w:t>SS</w:t>
                  </w:r>
                </w:p>
              </w:tc>
              <w:tc>
                <w:tcPr>
                  <w:tcW w:w="1202" w:type="dxa"/>
                  <w:tcBorders>
                    <w:top w:val="single" w:color="auto" w:sz="4" w:space="0"/>
                    <w:left w:val="nil"/>
                    <w:bottom w:val="single" w:color="auto" w:sz="4" w:space="0"/>
                    <w:right w:val="single" w:color="auto" w:sz="4" w:space="0"/>
                  </w:tcBorders>
                  <w:vAlign w:val="center"/>
                </w:tcPr>
                <w:p w14:paraId="29119781">
                  <w:pPr>
                    <w:spacing w:before="100" w:beforeAutospacing="1"/>
                    <w:jc w:val="center"/>
                    <w:rPr>
                      <w:rFonts w:ascii="Times New Roman" w:hAnsi="Times New Roman" w:cs="Times New Roman"/>
                      <w:b/>
                      <w:bCs/>
                      <w:color w:val="000000" w:themeColor="text1"/>
                      <w:sz w:val="21"/>
                      <w:szCs w:val="21"/>
                      <w:lang w:val="en-US"/>
                    </w:rPr>
                  </w:pPr>
                  <w:r>
                    <w:rPr>
                      <w:rFonts w:ascii="Times New Roman" w:hAnsi="Times New Roman" w:cs="Times New Roman"/>
                      <w:b/>
                      <w:bCs/>
                      <w:color w:val="000000" w:themeColor="text1"/>
                      <w:sz w:val="21"/>
                      <w:szCs w:val="21"/>
                    </w:rPr>
                    <w:t>动植物油</w:t>
                  </w:r>
                </w:p>
              </w:tc>
              <w:tc>
                <w:tcPr>
                  <w:tcW w:w="1203" w:type="dxa"/>
                  <w:tcBorders>
                    <w:top w:val="single" w:color="auto" w:sz="4" w:space="0"/>
                    <w:left w:val="single" w:color="auto" w:sz="4" w:space="0"/>
                    <w:bottom w:val="single" w:color="auto" w:sz="4" w:space="0"/>
                    <w:right w:val="single" w:color="auto" w:sz="4" w:space="0"/>
                  </w:tcBorders>
                  <w:vAlign w:val="center"/>
                </w:tcPr>
                <w:p w14:paraId="22EDF699">
                  <w:pPr>
                    <w:spacing w:before="100" w:beforeAutospacing="1"/>
                    <w:jc w:val="center"/>
                    <w:rPr>
                      <w:rFonts w:ascii="Times New Roman" w:hAnsi="Times New Roman" w:cs="Times New Roman"/>
                      <w:b/>
                      <w:bCs/>
                      <w:color w:val="000000" w:themeColor="text1"/>
                      <w:sz w:val="21"/>
                      <w:szCs w:val="21"/>
                      <w:lang w:val="en-US"/>
                    </w:rPr>
                  </w:pPr>
                  <w:r>
                    <w:rPr>
                      <w:rFonts w:ascii="Times New Roman" w:hAnsi="Times New Roman" w:cs="Times New Roman"/>
                      <w:b/>
                      <w:bCs/>
                      <w:color w:val="000000" w:themeColor="text1"/>
                      <w:sz w:val="21"/>
                      <w:szCs w:val="21"/>
                    </w:rPr>
                    <w:t>氨氮</w:t>
                  </w:r>
                </w:p>
              </w:tc>
            </w:tr>
            <w:tr w14:paraId="1FE7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02" w:type="dxa"/>
                  <w:tcBorders>
                    <w:top w:val="single" w:color="auto" w:sz="4" w:space="0"/>
                    <w:left w:val="single" w:color="auto" w:sz="4" w:space="0"/>
                    <w:bottom w:val="single" w:color="auto" w:sz="4" w:space="0"/>
                    <w:right w:val="single" w:color="auto" w:sz="4" w:space="0"/>
                  </w:tcBorders>
                  <w:vAlign w:val="center"/>
                </w:tcPr>
                <w:p w14:paraId="690C9515">
                  <w:pPr>
                    <w:spacing w:before="100" w:beforeAutospacing="1"/>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rPr>
                    <w:t>三级</w:t>
                  </w:r>
                </w:p>
              </w:tc>
              <w:tc>
                <w:tcPr>
                  <w:tcW w:w="1202" w:type="dxa"/>
                  <w:tcBorders>
                    <w:top w:val="single" w:color="auto" w:sz="4" w:space="0"/>
                    <w:left w:val="nil"/>
                    <w:bottom w:val="single" w:color="auto" w:sz="4" w:space="0"/>
                    <w:right w:val="single" w:color="auto" w:sz="4" w:space="0"/>
                  </w:tcBorders>
                  <w:vAlign w:val="center"/>
                </w:tcPr>
                <w:p w14:paraId="22C0286A">
                  <w:pPr>
                    <w:spacing w:before="100" w:beforeAutospacing="1"/>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6</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en-US"/>
                    </w:rPr>
                    <w:t>9</w:t>
                  </w:r>
                </w:p>
              </w:tc>
              <w:tc>
                <w:tcPr>
                  <w:tcW w:w="1202" w:type="dxa"/>
                  <w:tcBorders>
                    <w:top w:val="single" w:color="auto" w:sz="4" w:space="0"/>
                    <w:left w:val="nil"/>
                    <w:bottom w:val="single" w:color="auto" w:sz="4" w:space="0"/>
                    <w:right w:val="single" w:color="auto" w:sz="4" w:space="0"/>
                  </w:tcBorders>
                  <w:vAlign w:val="center"/>
                </w:tcPr>
                <w:p w14:paraId="40DB1F8F">
                  <w:pPr>
                    <w:spacing w:before="100" w:beforeAutospacing="1"/>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500mg/L</w:t>
                  </w:r>
                </w:p>
              </w:tc>
              <w:tc>
                <w:tcPr>
                  <w:tcW w:w="1202" w:type="dxa"/>
                  <w:tcBorders>
                    <w:top w:val="single" w:color="auto" w:sz="4" w:space="0"/>
                    <w:left w:val="nil"/>
                    <w:bottom w:val="single" w:color="auto" w:sz="4" w:space="0"/>
                    <w:right w:val="single" w:color="auto" w:sz="4" w:space="0"/>
                  </w:tcBorders>
                  <w:vAlign w:val="center"/>
                </w:tcPr>
                <w:p w14:paraId="31567B81">
                  <w:pPr>
                    <w:spacing w:before="100" w:beforeAutospacing="1"/>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300mg/L</w:t>
                  </w:r>
                </w:p>
              </w:tc>
              <w:tc>
                <w:tcPr>
                  <w:tcW w:w="1202" w:type="dxa"/>
                  <w:tcBorders>
                    <w:top w:val="single" w:color="auto" w:sz="4" w:space="0"/>
                    <w:left w:val="nil"/>
                    <w:bottom w:val="single" w:color="auto" w:sz="4" w:space="0"/>
                    <w:right w:val="single" w:color="auto" w:sz="4" w:space="0"/>
                  </w:tcBorders>
                  <w:vAlign w:val="center"/>
                </w:tcPr>
                <w:p w14:paraId="5DCCD370">
                  <w:pPr>
                    <w:spacing w:before="100" w:beforeAutospacing="1"/>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400mg/L</w:t>
                  </w:r>
                </w:p>
              </w:tc>
              <w:tc>
                <w:tcPr>
                  <w:tcW w:w="1202" w:type="dxa"/>
                  <w:tcBorders>
                    <w:top w:val="single" w:color="auto" w:sz="4" w:space="0"/>
                    <w:left w:val="nil"/>
                    <w:bottom w:val="single" w:color="auto" w:sz="4" w:space="0"/>
                    <w:right w:val="single" w:color="auto" w:sz="4" w:space="0"/>
                  </w:tcBorders>
                  <w:vAlign w:val="center"/>
                </w:tcPr>
                <w:p w14:paraId="15D845C8">
                  <w:pPr>
                    <w:spacing w:before="100" w:beforeAutospacing="1"/>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100mg/L</w:t>
                  </w:r>
                </w:p>
              </w:tc>
              <w:tc>
                <w:tcPr>
                  <w:tcW w:w="1203" w:type="dxa"/>
                  <w:tcBorders>
                    <w:top w:val="single" w:color="auto" w:sz="4" w:space="0"/>
                    <w:left w:val="single" w:color="auto" w:sz="4" w:space="0"/>
                    <w:bottom w:val="single" w:color="auto" w:sz="4" w:space="0"/>
                    <w:right w:val="single" w:color="auto" w:sz="4" w:space="0"/>
                  </w:tcBorders>
                  <w:vAlign w:val="center"/>
                </w:tcPr>
                <w:p w14:paraId="24F9D82F">
                  <w:pPr>
                    <w:spacing w:before="100" w:beforeAutospacing="1"/>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w:t>
                  </w:r>
                </w:p>
              </w:tc>
            </w:tr>
          </w:tbl>
          <w:p w14:paraId="4C739676">
            <w:pPr>
              <w:widowControl/>
              <w:spacing w:line="360" w:lineRule="auto"/>
              <w:ind w:firstLine="482" w:firstLineChars="200"/>
              <w:jc w:val="both"/>
              <w:rPr>
                <w:rFonts w:ascii="Times New Roman" w:hAnsi="Times New Roman" w:cs="Times New Roman"/>
                <w:b/>
                <w:bCs/>
                <w:color w:val="000000" w:themeColor="text1"/>
                <w:sz w:val="24"/>
                <w:szCs w:val="32"/>
                <w:lang w:val="en-US"/>
              </w:rPr>
            </w:pPr>
            <w:r>
              <w:rPr>
                <w:rFonts w:ascii="Times New Roman" w:hAnsi="Times New Roman" w:cs="Times New Roman"/>
                <w:b/>
                <w:bCs/>
                <w:color w:val="000000" w:themeColor="text1"/>
                <w:sz w:val="24"/>
                <w:szCs w:val="32"/>
                <w:lang w:val="en-US"/>
              </w:rPr>
              <w:t>3</w:t>
            </w:r>
            <w:r>
              <w:rPr>
                <w:rFonts w:ascii="Times New Roman" w:hAnsi="Times New Roman" w:cs="Times New Roman"/>
                <w:b/>
                <w:bCs/>
                <w:color w:val="000000" w:themeColor="text1"/>
                <w:sz w:val="24"/>
                <w:szCs w:val="32"/>
              </w:rPr>
              <w:t>、噪声排放标准</w:t>
            </w:r>
            <w:r>
              <w:rPr>
                <w:rFonts w:ascii="Times New Roman" w:hAnsi="Times New Roman" w:cs="Times New Roman"/>
                <w:b/>
                <w:bCs/>
                <w:color w:val="000000" w:themeColor="text1"/>
                <w:sz w:val="24"/>
                <w:szCs w:val="32"/>
                <w:lang w:val="en-US"/>
              </w:rPr>
              <w:t>：</w:t>
            </w:r>
          </w:p>
          <w:p w14:paraId="096019AB">
            <w:pPr>
              <w:widowControl/>
              <w:spacing w:line="360" w:lineRule="auto"/>
              <w:ind w:firstLine="480" w:firstLineChars="200"/>
              <w:jc w:val="both"/>
              <w:rPr>
                <w:rFonts w:ascii="Times New Roman" w:hAnsi="Times New Roman" w:cs="Times New Roman"/>
                <w:color w:val="000000" w:themeColor="text1"/>
                <w:sz w:val="24"/>
              </w:rPr>
            </w:pPr>
            <w:r>
              <w:rPr>
                <w:rFonts w:ascii="Times New Roman" w:hAnsi="Times New Roman" w:cs="Times New Roman"/>
                <w:color w:val="000000" w:themeColor="text1"/>
                <w:sz w:val="24"/>
              </w:rPr>
              <w:t>项目施工期噪声排放执行《建筑施工场界环境噪声排放标准》（GB12523-2011）限值，具体见表</w:t>
            </w:r>
            <w:r>
              <w:rPr>
                <w:rFonts w:ascii="Times New Roman" w:hAnsi="Times New Roman" w:cs="Times New Roman"/>
                <w:color w:val="000000" w:themeColor="text1"/>
                <w:sz w:val="24"/>
                <w:lang w:val="en-US"/>
              </w:rPr>
              <w:t>3</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9</w:t>
            </w:r>
            <w:r>
              <w:rPr>
                <w:rFonts w:ascii="Times New Roman" w:hAnsi="Times New Roman" w:cs="Times New Roman"/>
                <w:color w:val="000000" w:themeColor="text1"/>
                <w:sz w:val="24"/>
              </w:rPr>
              <w:t>。</w:t>
            </w:r>
          </w:p>
          <w:p w14:paraId="46C55EB5">
            <w:pPr>
              <w:widowControl/>
              <w:adjustRightInd w:val="0"/>
              <w:snapToGrid w:val="0"/>
              <w:ind w:firstLine="482"/>
              <w:jc w:val="center"/>
              <w:rPr>
                <w:rFonts w:ascii="Times New Roman" w:hAnsi="Times New Roman" w:cs="Times New Roman"/>
                <w:b/>
                <w:bCs/>
                <w:color w:val="000000" w:themeColor="text1"/>
                <w:sz w:val="24"/>
                <w:szCs w:val="21"/>
              </w:rPr>
            </w:pPr>
            <w:r>
              <w:rPr>
                <w:rFonts w:ascii="Times New Roman" w:hAnsi="Times New Roman" w:cs="Times New Roman"/>
                <w:b/>
                <w:bCs/>
                <w:color w:val="000000" w:themeColor="text1"/>
                <w:sz w:val="24"/>
              </w:rPr>
              <w:t>表</w:t>
            </w:r>
            <w:r>
              <w:rPr>
                <w:rFonts w:ascii="Times New Roman" w:hAnsi="Times New Roman" w:cs="Times New Roman"/>
                <w:b/>
                <w:bCs/>
                <w:color w:val="000000" w:themeColor="text1"/>
                <w:sz w:val="24"/>
                <w:lang w:val="en-US"/>
              </w:rPr>
              <w:t>3</w:t>
            </w:r>
            <w:r>
              <w:rPr>
                <w:rFonts w:ascii="Times New Roman" w:hAnsi="Times New Roman" w:cs="Times New Roman"/>
                <w:b/>
                <w:bCs/>
                <w:color w:val="000000" w:themeColor="text1"/>
                <w:sz w:val="24"/>
              </w:rPr>
              <w:t>-</w:t>
            </w:r>
            <w:r>
              <w:rPr>
                <w:rFonts w:hint="eastAsia" w:ascii="Times New Roman" w:hAnsi="Times New Roman" w:cs="Times New Roman"/>
                <w:b/>
                <w:bCs/>
                <w:color w:val="000000" w:themeColor="text1"/>
                <w:sz w:val="24"/>
                <w:lang w:val="en-US" w:eastAsia="zh-CN"/>
              </w:rPr>
              <w:t>9</w:t>
            </w:r>
            <w:r>
              <w:rPr>
                <w:rFonts w:ascii="Times New Roman" w:hAnsi="Times New Roman" w:cs="Times New Roman"/>
                <w:b/>
                <w:bCs/>
                <w:color w:val="000000" w:themeColor="text1"/>
                <w:sz w:val="24"/>
              </w:rPr>
              <w:t>施工期场界噪声排放限值表</w:t>
            </w:r>
            <w:r>
              <w:rPr>
                <w:rFonts w:ascii="Times New Roman" w:hAnsi="Times New Roman" w:cs="Times New Roman"/>
                <w:b/>
                <w:bCs/>
                <w:color w:val="000000" w:themeColor="text1"/>
                <w:sz w:val="24"/>
                <w:szCs w:val="21"/>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41"/>
              <w:gridCol w:w="2215"/>
              <w:gridCol w:w="2343"/>
            </w:tblGrid>
            <w:tr w14:paraId="2145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941" w:type="dxa"/>
                  <w:vAlign w:val="center"/>
                </w:tcPr>
                <w:p w14:paraId="1CCF1854">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标准名称及代号</w:t>
                  </w:r>
                </w:p>
              </w:tc>
              <w:tc>
                <w:tcPr>
                  <w:tcW w:w="2215" w:type="dxa"/>
                  <w:vAlign w:val="center"/>
                </w:tcPr>
                <w:p w14:paraId="4FE5086F">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取值时间</w:t>
                  </w:r>
                </w:p>
              </w:tc>
              <w:tc>
                <w:tcPr>
                  <w:tcW w:w="2343" w:type="dxa"/>
                  <w:vAlign w:val="center"/>
                </w:tcPr>
                <w:p w14:paraId="208173D3">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标准值</w:t>
                  </w:r>
                </w:p>
              </w:tc>
            </w:tr>
            <w:tr w14:paraId="54C0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941" w:type="dxa"/>
                  <w:vMerge w:val="restart"/>
                  <w:vAlign w:val="center"/>
                </w:tcPr>
                <w:p w14:paraId="7731A6FF">
                  <w:pPr>
                    <w:widowControl/>
                    <w:snapToGrid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《建筑施工场界环境噪声排放标准》(GB12523-2011)</w:t>
                  </w:r>
                </w:p>
              </w:tc>
              <w:tc>
                <w:tcPr>
                  <w:tcW w:w="2215" w:type="dxa"/>
                  <w:vAlign w:val="center"/>
                </w:tcPr>
                <w:p w14:paraId="46E07ACC">
                  <w:pPr>
                    <w:widowControl/>
                    <w:snapToGrid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昼间</w:t>
                  </w:r>
                </w:p>
              </w:tc>
              <w:tc>
                <w:tcPr>
                  <w:tcW w:w="2343" w:type="dxa"/>
                  <w:vAlign w:val="center"/>
                </w:tcPr>
                <w:p w14:paraId="2CD3CF2F">
                  <w:pPr>
                    <w:widowControl/>
                    <w:snapToGrid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70</w:t>
                  </w:r>
                </w:p>
              </w:tc>
            </w:tr>
            <w:tr w14:paraId="36EB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941" w:type="dxa"/>
                  <w:vMerge w:val="continue"/>
                  <w:vAlign w:val="center"/>
                </w:tcPr>
                <w:p w14:paraId="65E13A84">
                  <w:pPr>
                    <w:widowControl/>
                    <w:snapToGrid w:val="0"/>
                    <w:jc w:val="center"/>
                    <w:rPr>
                      <w:rFonts w:ascii="Times New Roman" w:hAnsi="Times New Roman" w:cs="Times New Roman"/>
                      <w:color w:val="000000" w:themeColor="text1"/>
                      <w:sz w:val="21"/>
                      <w:szCs w:val="21"/>
                    </w:rPr>
                  </w:pPr>
                </w:p>
              </w:tc>
              <w:tc>
                <w:tcPr>
                  <w:tcW w:w="2215" w:type="dxa"/>
                  <w:vAlign w:val="center"/>
                </w:tcPr>
                <w:p w14:paraId="0C8ED7FC">
                  <w:pPr>
                    <w:widowControl/>
                    <w:snapToGrid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夜间</w:t>
                  </w:r>
                </w:p>
              </w:tc>
              <w:tc>
                <w:tcPr>
                  <w:tcW w:w="2343" w:type="dxa"/>
                  <w:vAlign w:val="center"/>
                </w:tcPr>
                <w:p w14:paraId="5F00A5F4">
                  <w:pPr>
                    <w:widowControl/>
                    <w:snapToGrid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55</w:t>
                  </w:r>
                </w:p>
              </w:tc>
            </w:tr>
          </w:tbl>
          <w:p w14:paraId="7EB9A87F">
            <w:pPr>
              <w:widowControl/>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1"/>
                <w:szCs w:val="21"/>
              </w:rPr>
              <w:t>注：单位Leq（dB）（A）</w:t>
            </w:r>
          </w:p>
          <w:p w14:paraId="33821BA7">
            <w:pPr>
              <w:widowControl/>
              <w:spacing w:line="360" w:lineRule="auto"/>
              <w:ind w:firstLine="480" w:firstLineChars="200"/>
              <w:jc w:val="both"/>
              <w:rPr>
                <w:rFonts w:ascii="Times New Roman" w:hAnsi="Times New Roman" w:cs="Times New Roman"/>
                <w:b/>
                <w:color w:val="000000" w:themeColor="text1"/>
                <w:sz w:val="24"/>
                <w:szCs w:val="21"/>
              </w:rPr>
            </w:pPr>
            <w:r>
              <w:rPr>
                <w:rFonts w:hint="eastAsia" w:ascii="Times New Roman" w:hAnsi="Times New Roman" w:cs="Times New Roman"/>
                <w:color w:val="000000" w:themeColor="text1"/>
                <w:sz w:val="24"/>
                <w:szCs w:val="24"/>
              </w:rPr>
              <w:t>项目运营后，考虑整个医院对外环境的噪声影响，</w:t>
            </w:r>
            <w:r>
              <w:rPr>
                <w:rFonts w:ascii="Times New Roman" w:hAnsi="Times New Roman" w:cs="Times New Roman"/>
                <w:color w:val="000000" w:themeColor="text1"/>
                <w:sz w:val="24"/>
              </w:rPr>
              <w:t>运营期</w:t>
            </w:r>
            <w:r>
              <w:rPr>
                <w:rFonts w:hint="eastAsia" w:ascii="Times New Roman" w:hAnsi="Times New Roman" w:cs="Times New Roman"/>
                <w:color w:val="000000" w:themeColor="text1"/>
                <w:sz w:val="24"/>
              </w:rPr>
              <w:t>整个医院厂界</w:t>
            </w:r>
            <w:r>
              <w:rPr>
                <w:rFonts w:ascii="Times New Roman" w:hAnsi="Times New Roman" w:cs="Times New Roman"/>
                <w:color w:val="000000" w:themeColor="text1"/>
                <w:sz w:val="24"/>
              </w:rPr>
              <w:t>噪声排放</w:t>
            </w:r>
            <w:r>
              <w:rPr>
                <w:rFonts w:hint="eastAsia" w:ascii="Times New Roman" w:hAnsi="Times New Roman" w:cs="Times New Roman"/>
                <w:color w:val="000000" w:themeColor="text1"/>
                <w:sz w:val="24"/>
                <w:lang w:val="en-US"/>
              </w:rPr>
              <w:t>相应</w:t>
            </w:r>
            <w:r>
              <w:rPr>
                <w:rFonts w:ascii="Times New Roman" w:hAnsi="Times New Roman" w:cs="Times New Roman"/>
                <w:color w:val="000000" w:themeColor="text1"/>
                <w:sz w:val="24"/>
              </w:rPr>
              <w:t>执行《工业企业厂界环境噪声排放标准》（GB12348-2008）</w:t>
            </w:r>
            <w:r>
              <w:rPr>
                <w:rFonts w:hint="eastAsia" w:ascii="Times New Roman" w:hAnsi="Times New Roman" w:cs="Times New Roman"/>
                <w:color w:val="000000" w:themeColor="text1"/>
                <w:sz w:val="24"/>
                <w:lang w:val="en-US"/>
              </w:rPr>
              <w:t>2</w:t>
            </w:r>
            <w:r>
              <w:rPr>
                <w:rFonts w:ascii="Times New Roman" w:hAnsi="Times New Roman" w:cs="Times New Roman"/>
                <w:color w:val="000000" w:themeColor="text1"/>
                <w:sz w:val="24"/>
              </w:rPr>
              <w:t>类</w:t>
            </w:r>
            <w:r>
              <w:rPr>
                <w:rFonts w:hint="eastAsia" w:ascii="Times New Roman" w:hAnsi="Times New Roman" w:cs="Times New Roman"/>
                <w:color w:val="000000" w:themeColor="text1"/>
                <w:sz w:val="24"/>
                <w:lang w:val="en-US"/>
              </w:rPr>
              <w:t>、4类</w:t>
            </w:r>
            <w:r>
              <w:rPr>
                <w:rFonts w:ascii="Times New Roman" w:hAnsi="Times New Roman" w:cs="Times New Roman"/>
                <w:color w:val="000000" w:themeColor="text1"/>
                <w:sz w:val="24"/>
              </w:rPr>
              <w:t>标准</w:t>
            </w:r>
            <w:r>
              <w:rPr>
                <w:rFonts w:hint="eastAsia" w:ascii="Times New Roman" w:hAnsi="Times New Roman" w:cs="Times New Roman"/>
                <w:color w:val="000000" w:themeColor="text1"/>
                <w:sz w:val="24"/>
              </w:rPr>
              <w:t>，</w:t>
            </w:r>
            <w:r>
              <w:rPr>
                <w:rFonts w:ascii="Times New Roman" w:hAnsi="Times New Roman" w:cs="Times New Roman"/>
                <w:color w:val="000000" w:themeColor="text1"/>
                <w:sz w:val="24"/>
              </w:rPr>
              <w:t>具体见表</w:t>
            </w:r>
            <w:r>
              <w:rPr>
                <w:rFonts w:ascii="Times New Roman" w:hAnsi="Times New Roman" w:cs="Times New Roman"/>
                <w:color w:val="000000" w:themeColor="text1"/>
                <w:sz w:val="24"/>
                <w:lang w:val="en-US"/>
              </w:rPr>
              <w:t>3</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10</w:t>
            </w:r>
            <w:r>
              <w:rPr>
                <w:rFonts w:ascii="Times New Roman" w:hAnsi="Times New Roman" w:cs="Times New Roman"/>
                <w:color w:val="000000" w:themeColor="text1"/>
                <w:sz w:val="24"/>
              </w:rPr>
              <w:t>。</w:t>
            </w:r>
          </w:p>
          <w:p w14:paraId="216BB7E7">
            <w:pPr>
              <w:pStyle w:val="44"/>
              <w:rPr>
                <w:rFonts w:ascii="Times New Roman" w:hAnsi="Times New Roman" w:cs="Times New Roman"/>
                <w:color w:val="000000" w:themeColor="text1"/>
                <w:sz w:val="21"/>
              </w:rPr>
            </w:pPr>
            <w:r>
              <w:rPr>
                <w:rFonts w:ascii="Times New Roman" w:hAnsi="Times New Roman" w:cs="Times New Roman"/>
                <w:color w:val="000000" w:themeColor="text1"/>
                <w:szCs w:val="24"/>
              </w:rPr>
              <w:t>表</w:t>
            </w:r>
            <w:r>
              <w:rPr>
                <w:rFonts w:ascii="Times New Roman" w:hAnsi="Times New Roman" w:cs="Times New Roman"/>
                <w:color w:val="000000" w:themeColor="text1"/>
                <w:szCs w:val="24"/>
                <w:lang w:val="en-US"/>
              </w:rPr>
              <w:t>3</w:t>
            </w:r>
            <w:r>
              <w:rPr>
                <w:rFonts w:ascii="Times New Roman" w:hAnsi="Times New Roman" w:cs="Times New Roman"/>
                <w:color w:val="000000" w:themeColor="text1"/>
                <w:szCs w:val="24"/>
              </w:rPr>
              <w:t>-</w:t>
            </w:r>
            <w:r>
              <w:rPr>
                <w:rFonts w:hint="eastAsia" w:ascii="Times New Roman" w:hAnsi="Times New Roman" w:cs="Times New Roman"/>
                <w:color w:val="000000" w:themeColor="text1"/>
                <w:szCs w:val="24"/>
                <w:lang w:val="en-US" w:eastAsia="zh-CN"/>
              </w:rPr>
              <w:t>10</w:t>
            </w:r>
            <w:r>
              <w:rPr>
                <w:rFonts w:ascii="Times New Roman" w:hAnsi="Times New Roman" w:cs="Times New Roman"/>
                <w:color w:val="000000" w:themeColor="text1"/>
                <w:szCs w:val="24"/>
              </w:rPr>
              <w:t>运营期环境噪声标准值表</w:t>
            </w:r>
            <w:r>
              <w:rPr>
                <w:rFonts w:ascii="Times New Roman" w:hAnsi="Times New Roman" w:cs="Times New Roman"/>
                <w:color w:val="000000" w:themeColor="text1"/>
                <w:sz w:val="21"/>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0"/>
              <w:gridCol w:w="2570"/>
              <w:gridCol w:w="2638"/>
            </w:tblGrid>
            <w:tr w14:paraId="047A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140" w:type="dxa"/>
                  <w:vAlign w:val="center"/>
                </w:tcPr>
                <w:p w14:paraId="3C7AD16A">
                  <w:pPr>
                    <w:widowControl/>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标准级别</w:t>
                  </w:r>
                </w:p>
              </w:tc>
              <w:tc>
                <w:tcPr>
                  <w:tcW w:w="2570" w:type="dxa"/>
                  <w:vAlign w:val="center"/>
                </w:tcPr>
                <w:p w14:paraId="4EC0A7B3">
                  <w:pPr>
                    <w:widowControl/>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昼间</w:t>
                  </w:r>
                </w:p>
              </w:tc>
              <w:tc>
                <w:tcPr>
                  <w:tcW w:w="2638" w:type="dxa"/>
                  <w:vAlign w:val="center"/>
                </w:tcPr>
                <w:p w14:paraId="4FEE4FD9">
                  <w:pPr>
                    <w:widowControl/>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夜间</w:t>
                  </w:r>
                </w:p>
              </w:tc>
            </w:tr>
            <w:tr w14:paraId="39B0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140" w:type="dxa"/>
                  <w:vAlign w:val="center"/>
                </w:tcPr>
                <w:p w14:paraId="5C0A2DE0">
                  <w:pPr>
                    <w:widowControl/>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rPr>
                    <w:t>2</w:t>
                  </w:r>
                  <w:r>
                    <w:rPr>
                      <w:rFonts w:ascii="Times New Roman" w:hAnsi="Times New Roman" w:cs="Times New Roman"/>
                      <w:color w:val="000000" w:themeColor="text1"/>
                      <w:sz w:val="21"/>
                      <w:szCs w:val="21"/>
                    </w:rPr>
                    <w:t>类</w:t>
                  </w:r>
                  <w:r>
                    <w:rPr>
                      <w:rFonts w:hint="eastAsia" w:ascii="Times New Roman" w:hAnsi="Times New Roman" w:cs="Times New Roman"/>
                      <w:color w:val="000000" w:themeColor="text1"/>
                      <w:sz w:val="21"/>
                      <w:szCs w:val="21"/>
                    </w:rPr>
                    <w:t>（</w:t>
                  </w:r>
                  <w:r>
                    <w:rPr>
                      <w:rFonts w:hint="eastAsia" w:ascii="Times New Roman" w:hAnsi="Times New Roman" w:cs="Times New Roman"/>
                      <w:color w:val="000000" w:themeColor="text1"/>
                      <w:sz w:val="21"/>
                      <w:szCs w:val="21"/>
                      <w:lang w:val="en-US"/>
                    </w:rPr>
                    <w:t>东、南、北侧</w:t>
                  </w:r>
                  <w:r>
                    <w:rPr>
                      <w:rFonts w:hint="eastAsia" w:ascii="Times New Roman" w:hAnsi="Times New Roman" w:cs="Times New Roman"/>
                      <w:color w:val="000000" w:themeColor="text1"/>
                      <w:sz w:val="21"/>
                      <w:szCs w:val="21"/>
                    </w:rPr>
                    <w:t>）</w:t>
                  </w:r>
                </w:p>
              </w:tc>
              <w:tc>
                <w:tcPr>
                  <w:tcW w:w="2570" w:type="dxa"/>
                  <w:vAlign w:val="center"/>
                </w:tcPr>
                <w:p w14:paraId="0D8EDD3E">
                  <w:pPr>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60</w:t>
                  </w:r>
                </w:p>
              </w:tc>
              <w:tc>
                <w:tcPr>
                  <w:tcW w:w="2638" w:type="dxa"/>
                  <w:vAlign w:val="center"/>
                </w:tcPr>
                <w:p w14:paraId="3CCA5875">
                  <w:pPr>
                    <w:widowControl/>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50</w:t>
                  </w:r>
                </w:p>
              </w:tc>
            </w:tr>
            <w:tr w14:paraId="57D6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140" w:type="dxa"/>
                  <w:vAlign w:val="center"/>
                </w:tcPr>
                <w:p w14:paraId="3E27AC66">
                  <w:pPr>
                    <w:widowControl/>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4类（西侧）</w:t>
                  </w:r>
                </w:p>
              </w:tc>
              <w:tc>
                <w:tcPr>
                  <w:tcW w:w="2570" w:type="dxa"/>
                  <w:vAlign w:val="center"/>
                </w:tcPr>
                <w:p w14:paraId="130D9DD9">
                  <w:pPr>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70</w:t>
                  </w:r>
                </w:p>
              </w:tc>
              <w:tc>
                <w:tcPr>
                  <w:tcW w:w="2638" w:type="dxa"/>
                  <w:vAlign w:val="center"/>
                </w:tcPr>
                <w:p w14:paraId="0C6D4AAD">
                  <w:pPr>
                    <w:widowControl/>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55</w:t>
                  </w:r>
                </w:p>
              </w:tc>
            </w:tr>
          </w:tbl>
          <w:p w14:paraId="5E26DB3C">
            <w:pPr>
              <w:spacing w:line="360" w:lineRule="auto"/>
              <w:jc w:val="both"/>
              <w:rPr>
                <w:rFonts w:ascii="Times New Roman" w:hAnsi="Times New Roman" w:cs="Times New Roman"/>
                <w:b/>
                <w:color w:val="000000" w:themeColor="text1"/>
                <w:sz w:val="21"/>
                <w:szCs w:val="21"/>
                <w:lang w:val="en-US"/>
              </w:rPr>
            </w:pPr>
            <w:r>
              <w:rPr>
                <w:rFonts w:ascii="Times New Roman" w:hAnsi="Times New Roman" w:cs="Times New Roman"/>
                <w:color w:val="000000" w:themeColor="text1"/>
                <w:sz w:val="21"/>
                <w:szCs w:val="21"/>
              </w:rPr>
              <w:t>注：单位Leq（dB）（A）</w:t>
            </w:r>
          </w:p>
          <w:p w14:paraId="13B5637E">
            <w:pPr>
              <w:widowControl/>
              <w:spacing w:line="360" w:lineRule="auto"/>
              <w:ind w:firstLine="482" w:firstLineChars="200"/>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4、固废</w:t>
            </w:r>
          </w:p>
          <w:p w14:paraId="30B69252">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rPr>
              <w:t>一般工业固体废物执行《一般工业固体废物贮存和填埋污染控制标准》（GB18599-2020）</w:t>
            </w:r>
            <w:r>
              <w:rPr>
                <w:rFonts w:ascii="Times New Roman" w:hAnsi="Times New Roman" w:cs="Times New Roman"/>
                <w:color w:val="000000" w:themeColor="text1"/>
                <w:sz w:val="24"/>
              </w:rPr>
              <w:t>。</w:t>
            </w:r>
          </w:p>
          <w:p w14:paraId="67181A72">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（2）危险废物：《危险废物贮存污染控制标准》（GB18597-2023）、《危险废物识别标志设置技术规范》（HJ 1276—2022）中的有关规定</w:t>
            </w:r>
            <w:r>
              <w:rPr>
                <w:rFonts w:hint="eastAsia" w:ascii="Times New Roman" w:hAnsi="Times New Roman" w:cs="Times New Roman"/>
                <w:color w:val="000000" w:themeColor="text1"/>
                <w:sz w:val="24"/>
              </w:rPr>
              <w:t>。</w:t>
            </w:r>
          </w:p>
          <w:p w14:paraId="22BB6C45">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（3）</w:t>
            </w:r>
            <w:r>
              <w:rPr>
                <w:rFonts w:ascii="Segoe UI" w:hAnsi="Segoe UI" w:eastAsia="Segoe UI" w:cs="Segoe UI"/>
                <w:color w:val="000000" w:themeColor="text1"/>
                <w:sz w:val="24"/>
                <w:szCs w:val="24"/>
                <w:shd w:val="clear" w:color="auto" w:fill="FFFFFF"/>
              </w:rPr>
              <w:t>医疗废物按照《医疗废物管理条例》相关要求执行，同时应遵循国家环境保护总局发布的环发</w:t>
            </w:r>
            <w:r>
              <w:rPr>
                <w:rFonts w:ascii="Times New Roman" w:hAnsi="Times New Roman" w:eastAsia="Segoe UI" w:cs="Times New Roman"/>
                <w:color w:val="000000" w:themeColor="text1"/>
                <w:sz w:val="24"/>
                <w:szCs w:val="24"/>
                <w:shd w:val="clear" w:color="auto" w:fill="FFFFFF"/>
              </w:rPr>
              <w:t>〔2003〕206号</w:t>
            </w:r>
            <w:r>
              <w:rPr>
                <w:rFonts w:ascii="Segoe UI" w:hAnsi="Segoe UI" w:eastAsia="Segoe UI" w:cs="Segoe UI"/>
                <w:color w:val="000000" w:themeColor="text1"/>
                <w:sz w:val="24"/>
                <w:szCs w:val="24"/>
                <w:shd w:val="clear" w:color="auto" w:fill="FFFFFF"/>
              </w:rPr>
              <w:t>《医疗废物集中处置技术规范》的相关规定</w:t>
            </w:r>
            <w:r>
              <w:rPr>
                <w:rFonts w:ascii="Times New Roman" w:hAnsi="Times New Roman" w:cs="Times New Roman"/>
                <w:color w:val="000000" w:themeColor="text1"/>
                <w:sz w:val="24"/>
              </w:rPr>
              <w:t>。</w:t>
            </w:r>
          </w:p>
          <w:p w14:paraId="0B355947">
            <w:pPr>
              <w:spacing w:line="360" w:lineRule="auto"/>
              <w:ind w:firstLine="480" w:firstLineChars="200"/>
              <w:jc w:val="both"/>
              <w:rPr>
                <w:rFonts w:ascii="Times New Roman" w:hAnsi="Times New Roman" w:cs="Times New Roman"/>
                <w:color w:val="000000" w:themeColor="text1"/>
                <w:sz w:val="24"/>
              </w:rPr>
            </w:pPr>
            <w:r>
              <w:rPr>
                <w:rFonts w:ascii="Times New Roman" w:hAnsi="Times New Roman" w:cs="Times New Roman"/>
                <w:color w:val="000000" w:themeColor="text1"/>
                <w:sz w:val="24"/>
              </w:rPr>
              <w:t>（4）</w:t>
            </w:r>
            <w:r>
              <w:rPr>
                <w:rFonts w:hint="eastAsia" w:ascii="Times New Roman" w:hAnsi="Times New Roman" w:cs="Times New Roman"/>
                <w:color w:val="000000" w:themeColor="text1"/>
                <w:sz w:val="24"/>
                <w:lang w:val="en-US"/>
              </w:rPr>
              <w:t>本项目传染病预</w:t>
            </w:r>
            <w:r>
              <w:rPr>
                <w:rFonts w:ascii="Times New Roman" w:hAnsi="Times New Roman" w:cs="Times New Roman"/>
                <w:color w:val="000000" w:themeColor="text1"/>
                <w:sz w:val="24"/>
              </w:rPr>
              <w:t>处理设施污泥排放执行《医疗机构水污染物排放标准》（GB18466-2005）表4医疗机构污泥排放标准，其评价标准详见表</w:t>
            </w:r>
            <w:r>
              <w:rPr>
                <w:rFonts w:ascii="Times New Roman" w:hAnsi="Times New Roman" w:cs="Times New Roman"/>
                <w:color w:val="000000" w:themeColor="text1"/>
                <w:sz w:val="24"/>
                <w:lang w:val="en-US"/>
              </w:rPr>
              <w:t>3</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rPr>
              <w:t>1</w:t>
            </w:r>
            <w:r>
              <w:rPr>
                <w:rFonts w:hint="eastAsia" w:ascii="Times New Roman" w:hAnsi="Times New Roman" w:cs="Times New Roman"/>
                <w:color w:val="000000" w:themeColor="text1"/>
                <w:sz w:val="24"/>
                <w:lang w:val="en-US" w:eastAsia="zh-CN"/>
              </w:rPr>
              <w:t>1</w:t>
            </w:r>
            <w:r>
              <w:rPr>
                <w:rFonts w:hint="eastAsia" w:ascii="Times New Roman" w:hAnsi="Times New Roman" w:cs="Times New Roman"/>
                <w:color w:val="000000" w:themeColor="text1"/>
                <w:sz w:val="24"/>
              </w:rPr>
              <w:t>，</w:t>
            </w:r>
            <w:r>
              <w:rPr>
                <w:rFonts w:hint="eastAsia" w:ascii="Times New Roman" w:hAnsi="Times New Roman" w:cs="Times New Roman"/>
                <w:color w:val="000000" w:themeColor="text1"/>
                <w:sz w:val="24"/>
                <w:lang w:val="en-US"/>
              </w:rPr>
              <w:t>本项目医疗</w:t>
            </w:r>
            <w:r>
              <w:rPr>
                <w:rFonts w:ascii="Times New Roman" w:hAnsi="Times New Roman" w:cs="Times New Roman"/>
                <w:color w:val="000000" w:themeColor="text1"/>
                <w:sz w:val="24"/>
              </w:rPr>
              <w:t>废水</w:t>
            </w:r>
            <w:r>
              <w:rPr>
                <w:rFonts w:hint="eastAsia" w:ascii="Times New Roman" w:hAnsi="Times New Roman" w:cs="Times New Roman"/>
                <w:color w:val="000000" w:themeColor="text1"/>
                <w:sz w:val="24"/>
              </w:rPr>
              <w:t>经原项目污水处理站</w:t>
            </w:r>
            <w:r>
              <w:rPr>
                <w:rFonts w:hint="eastAsia" w:ascii="Times New Roman" w:hAnsi="Times New Roman" w:cs="Times New Roman"/>
                <w:color w:val="000000" w:themeColor="text1"/>
                <w:sz w:val="24"/>
                <w:lang w:val="en-US"/>
              </w:rPr>
              <w:t>处理</w:t>
            </w:r>
            <w:r>
              <w:rPr>
                <w:rFonts w:hint="eastAsia" w:ascii="Times New Roman" w:hAnsi="Times New Roman" w:cs="Times New Roman"/>
                <w:color w:val="000000" w:themeColor="text1"/>
                <w:sz w:val="24"/>
              </w:rPr>
              <w:t>后的</w:t>
            </w:r>
            <w:r>
              <w:rPr>
                <w:rFonts w:ascii="Times New Roman" w:hAnsi="Times New Roman" w:cs="Times New Roman"/>
                <w:color w:val="000000" w:themeColor="text1"/>
                <w:sz w:val="24"/>
              </w:rPr>
              <w:t>污泥排放执行《医疗机构水污染物排放标准》（GB18466-2005）表4医疗机构污泥排放标准，其评价标准详见表</w:t>
            </w:r>
            <w:r>
              <w:rPr>
                <w:rFonts w:ascii="Times New Roman" w:hAnsi="Times New Roman" w:cs="Times New Roman"/>
                <w:color w:val="000000" w:themeColor="text1"/>
                <w:sz w:val="24"/>
                <w:lang w:val="en-US"/>
              </w:rPr>
              <w:t>3</w:t>
            </w:r>
            <w:r>
              <w:rPr>
                <w:rFonts w:ascii="Times New Roman" w:hAnsi="Times New Roman" w:cs="Times New Roman"/>
                <w:color w:val="000000" w:themeColor="text1"/>
                <w:sz w:val="24"/>
              </w:rPr>
              <w:t>-</w:t>
            </w:r>
            <w:r>
              <w:rPr>
                <w:rFonts w:ascii="Times New Roman" w:hAnsi="Times New Roman" w:cs="Times New Roman"/>
                <w:color w:val="000000" w:themeColor="text1"/>
                <w:sz w:val="24"/>
                <w:lang w:val="en-US"/>
              </w:rPr>
              <w:t>1</w:t>
            </w:r>
            <w:r>
              <w:rPr>
                <w:rFonts w:hint="eastAsia" w:ascii="Times New Roman" w:hAnsi="Times New Roman" w:cs="Times New Roman"/>
                <w:color w:val="000000" w:themeColor="text1"/>
                <w:sz w:val="24"/>
                <w:lang w:val="en-US" w:eastAsia="zh-CN"/>
              </w:rPr>
              <w:t>2</w:t>
            </w:r>
            <w:r>
              <w:rPr>
                <w:rFonts w:hint="eastAsia" w:ascii="Times New Roman" w:hAnsi="Times New Roman" w:cs="Times New Roman"/>
                <w:color w:val="000000" w:themeColor="text1"/>
                <w:sz w:val="24"/>
                <w:lang w:val="en-US"/>
              </w:rPr>
              <w:t>。</w:t>
            </w:r>
          </w:p>
          <w:p w14:paraId="18AEB3D7">
            <w:pPr>
              <w:jc w:val="center"/>
              <w:rPr>
                <w:rFonts w:ascii="Times New Roman" w:hAnsi="Times New Roman" w:cs="Times New Roman"/>
                <w:color w:val="000000" w:themeColor="text1"/>
                <w:sz w:val="24"/>
              </w:rPr>
            </w:pPr>
            <w:r>
              <w:rPr>
                <w:rFonts w:ascii="Times New Roman" w:hAnsi="Times New Roman" w:cs="Times New Roman"/>
                <w:b/>
                <w:bCs/>
                <w:color w:val="000000" w:themeColor="text1"/>
                <w:sz w:val="24"/>
              </w:rPr>
              <w:t>表</w:t>
            </w:r>
            <w:r>
              <w:rPr>
                <w:rFonts w:ascii="Times New Roman" w:hAnsi="Times New Roman" w:cs="Times New Roman"/>
                <w:b/>
                <w:bCs/>
                <w:color w:val="000000" w:themeColor="text1"/>
                <w:sz w:val="24"/>
                <w:lang w:val="en-US"/>
              </w:rPr>
              <w:t>3</w:t>
            </w:r>
            <w:r>
              <w:rPr>
                <w:rFonts w:ascii="Times New Roman" w:hAnsi="Times New Roman" w:cs="Times New Roman"/>
                <w:b/>
                <w:bCs/>
                <w:color w:val="000000" w:themeColor="text1"/>
                <w:sz w:val="24"/>
              </w:rPr>
              <w:t>-</w:t>
            </w:r>
            <w:r>
              <w:rPr>
                <w:rFonts w:hint="eastAsia" w:ascii="Times New Roman" w:hAnsi="Times New Roman" w:cs="Times New Roman"/>
                <w:b/>
                <w:bCs/>
                <w:color w:val="000000" w:themeColor="text1"/>
                <w:sz w:val="24"/>
                <w:lang w:val="en-US"/>
              </w:rPr>
              <w:t>1</w:t>
            </w:r>
            <w:r>
              <w:rPr>
                <w:rFonts w:hint="eastAsia" w:ascii="Times New Roman" w:hAnsi="Times New Roman" w:cs="Times New Roman"/>
                <w:b/>
                <w:bCs/>
                <w:color w:val="000000" w:themeColor="text1"/>
                <w:sz w:val="24"/>
                <w:lang w:val="en-US" w:eastAsia="zh-CN"/>
              </w:rPr>
              <w:t>1</w:t>
            </w:r>
            <w:r>
              <w:rPr>
                <w:rFonts w:ascii="Times New Roman" w:hAnsi="Times New Roman" w:cs="Times New Roman"/>
                <w:b/>
                <w:bCs/>
                <w:color w:val="000000" w:themeColor="text1"/>
                <w:sz w:val="24"/>
              </w:rPr>
              <w:t>医疗机构污泥控制标准</w:t>
            </w:r>
          </w:p>
          <w:tbl>
            <w:tblPr>
              <w:tblStyle w:val="27"/>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1683"/>
              <w:gridCol w:w="1400"/>
              <w:gridCol w:w="1234"/>
              <w:gridCol w:w="1150"/>
              <w:gridCol w:w="1169"/>
            </w:tblGrid>
            <w:tr w14:paraId="173B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1" w:type="dxa"/>
                  <w:vAlign w:val="center"/>
                </w:tcPr>
                <w:p w14:paraId="0135F7AE">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医疗机构类别</w:t>
                  </w:r>
                </w:p>
              </w:tc>
              <w:tc>
                <w:tcPr>
                  <w:tcW w:w="1683" w:type="dxa"/>
                  <w:vAlign w:val="center"/>
                </w:tcPr>
                <w:p w14:paraId="0E6B8703">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粪大肠菌群数/(MPN/g)</w:t>
                  </w:r>
                </w:p>
              </w:tc>
              <w:tc>
                <w:tcPr>
                  <w:tcW w:w="1400" w:type="dxa"/>
                  <w:vAlign w:val="center"/>
                </w:tcPr>
                <w:p w14:paraId="4E27256E">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肠道致病菌</w:t>
                  </w:r>
                </w:p>
              </w:tc>
              <w:tc>
                <w:tcPr>
                  <w:tcW w:w="1234" w:type="dxa"/>
                  <w:vAlign w:val="center"/>
                </w:tcPr>
                <w:p w14:paraId="4ED3B9CD">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肠道病毒</w:t>
                  </w:r>
                </w:p>
              </w:tc>
              <w:tc>
                <w:tcPr>
                  <w:tcW w:w="1150" w:type="dxa"/>
                  <w:vAlign w:val="center"/>
                </w:tcPr>
                <w:p w14:paraId="2B8BBE8C">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结核杆菌</w:t>
                  </w:r>
                </w:p>
              </w:tc>
              <w:tc>
                <w:tcPr>
                  <w:tcW w:w="1169" w:type="dxa"/>
                  <w:vAlign w:val="center"/>
                </w:tcPr>
                <w:p w14:paraId="2B19C8DE">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蛔虫卵死亡率%</w:t>
                  </w:r>
                </w:p>
              </w:tc>
            </w:tr>
            <w:tr w14:paraId="6BFE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1" w:type="dxa"/>
                  <w:vAlign w:val="center"/>
                </w:tcPr>
                <w:p w14:paraId="68ADF870">
                  <w:pPr>
                    <w:widowControl/>
                    <w:snapToGrid w:val="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传染病</w:t>
                  </w:r>
                  <w:r>
                    <w:rPr>
                      <w:rFonts w:hint="eastAsia" w:ascii="Times New Roman" w:hAnsi="Times New Roman"/>
                      <w:color w:val="000000" w:themeColor="text1"/>
                      <w:sz w:val="21"/>
                      <w:szCs w:val="21"/>
                      <w:lang w:val="en-US"/>
                    </w:rPr>
                    <w:t>医疗机构</w:t>
                  </w:r>
                </w:p>
              </w:tc>
              <w:tc>
                <w:tcPr>
                  <w:tcW w:w="1683" w:type="dxa"/>
                  <w:vAlign w:val="center"/>
                </w:tcPr>
                <w:p w14:paraId="7520C8D6">
                  <w:pPr>
                    <w:widowControl/>
                    <w:snapToGrid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≤100</w:t>
                  </w:r>
                </w:p>
              </w:tc>
              <w:tc>
                <w:tcPr>
                  <w:tcW w:w="1400" w:type="dxa"/>
                  <w:vAlign w:val="center"/>
                </w:tcPr>
                <w:p w14:paraId="05C5A604">
                  <w:pPr>
                    <w:widowControl/>
                    <w:snapToGrid w:val="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不得检出</w:t>
                  </w:r>
                </w:p>
              </w:tc>
              <w:tc>
                <w:tcPr>
                  <w:tcW w:w="1234" w:type="dxa"/>
                  <w:vAlign w:val="center"/>
                </w:tcPr>
                <w:p w14:paraId="0A7EAD11">
                  <w:pPr>
                    <w:widowControl/>
                    <w:snapToGrid w:val="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不得检出</w:t>
                  </w:r>
                </w:p>
              </w:tc>
              <w:tc>
                <w:tcPr>
                  <w:tcW w:w="1150" w:type="dxa"/>
                  <w:vAlign w:val="center"/>
                </w:tcPr>
                <w:p w14:paraId="38C20ED6">
                  <w:pPr>
                    <w:widowControl/>
                    <w:snapToGrid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w:t>
                  </w:r>
                </w:p>
              </w:tc>
              <w:tc>
                <w:tcPr>
                  <w:tcW w:w="1169" w:type="dxa"/>
                  <w:vAlign w:val="center"/>
                </w:tcPr>
                <w:p w14:paraId="07C00149">
                  <w:pPr>
                    <w:widowControl/>
                    <w:snapToGrid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＞95</w:t>
                  </w:r>
                </w:p>
              </w:tc>
            </w:tr>
          </w:tbl>
          <w:p w14:paraId="0AD2244E">
            <w:pPr>
              <w:jc w:val="center"/>
              <w:rPr>
                <w:rFonts w:ascii="Times New Roman" w:hAnsi="Times New Roman" w:cs="Times New Roman"/>
                <w:color w:val="000000" w:themeColor="text1"/>
                <w:sz w:val="24"/>
              </w:rPr>
            </w:pPr>
            <w:r>
              <w:rPr>
                <w:rFonts w:ascii="Times New Roman" w:hAnsi="Times New Roman" w:cs="Times New Roman"/>
                <w:b/>
                <w:bCs/>
                <w:color w:val="000000" w:themeColor="text1"/>
                <w:sz w:val="24"/>
              </w:rPr>
              <w:t>表</w:t>
            </w:r>
            <w:r>
              <w:rPr>
                <w:rFonts w:ascii="Times New Roman" w:hAnsi="Times New Roman" w:cs="Times New Roman"/>
                <w:b/>
                <w:bCs/>
                <w:color w:val="000000" w:themeColor="text1"/>
                <w:sz w:val="24"/>
                <w:lang w:val="en-US"/>
              </w:rPr>
              <w:t>3</w:t>
            </w:r>
            <w:r>
              <w:rPr>
                <w:rFonts w:ascii="Times New Roman" w:hAnsi="Times New Roman" w:cs="Times New Roman"/>
                <w:b/>
                <w:bCs/>
                <w:color w:val="000000" w:themeColor="text1"/>
                <w:sz w:val="24"/>
              </w:rPr>
              <w:t>-1</w:t>
            </w:r>
            <w:r>
              <w:rPr>
                <w:rFonts w:hint="eastAsia" w:ascii="Times New Roman" w:hAnsi="Times New Roman" w:cs="Times New Roman"/>
                <w:b/>
                <w:bCs/>
                <w:color w:val="000000" w:themeColor="text1"/>
                <w:sz w:val="24"/>
                <w:lang w:val="en-US" w:eastAsia="zh-CN"/>
              </w:rPr>
              <w:t>2</w:t>
            </w:r>
            <w:r>
              <w:rPr>
                <w:rFonts w:ascii="Times New Roman" w:hAnsi="Times New Roman" w:cs="Times New Roman"/>
                <w:b/>
                <w:bCs/>
                <w:color w:val="000000" w:themeColor="text1"/>
                <w:sz w:val="24"/>
              </w:rPr>
              <w:t>医疗机构污泥控制标准</w:t>
            </w:r>
          </w:p>
          <w:tbl>
            <w:tblPr>
              <w:tblStyle w:val="27"/>
              <w:tblW w:w="8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675"/>
              <w:gridCol w:w="1393"/>
              <w:gridCol w:w="1228"/>
              <w:gridCol w:w="1144"/>
              <w:gridCol w:w="1163"/>
            </w:tblGrid>
            <w:tr w14:paraId="519C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93" w:type="dxa"/>
                  <w:vAlign w:val="center"/>
                </w:tcPr>
                <w:p w14:paraId="3AC76AC6">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医疗机构类别</w:t>
                  </w:r>
                </w:p>
              </w:tc>
              <w:tc>
                <w:tcPr>
                  <w:tcW w:w="1675" w:type="dxa"/>
                  <w:vAlign w:val="center"/>
                </w:tcPr>
                <w:p w14:paraId="0F580EBE">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粪大肠菌群数/(MPN/g)</w:t>
                  </w:r>
                </w:p>
              </w:tc>
              <w:tc>
                <w:tcPr>
                  <w:tcW w:w="1393" w:type="dxa"/>
                  <w:vAlign w:val="center"/>
                </w:tcPr>
                <w:p w14:paraId="403A3636">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肠道致病菌</w:t>
                  </w:r>
                </w:p>
              </w:tc>
              <w:tc>
                <w:tcPr>
                  <w:tcW w:w="1228" w:type="dxa"/>
                  <w:vAlign w:val="center"/>
                </w:tcPr>
                <w:p w14:paraId="143E8F62">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肠道病毒</w:t>
                  </w:r>
                </w:p>
              </w:tc>
              <w:tc>
                <w:tcPr>
                  <w:tcW w:w="1144" w:type="dxa"/>
                  <w:vAlign w:val="center"/>
                </w:tcPr>
                <w:p w14:paraId="3F0F6D4E">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结核杆菌</w:t>
                  </w:r>
                </w:p>
              </w:tc>
              <w:tc>
                <w:tcPr>
                  <w:tcW w:w="1163" w:type="dxa"/>
                  <w:vAlign w:val="center"/>
                </w:tcPr>
                <w:p w14:paraId="4DE126D9">
                  <w:pPr>
                    <w:widowControl/>
                    <w:snapToGrid w:val="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蛔虫卵死亡率%</w:t>
                  </w:r>
                </w:p>
              </w:tc>
            </w:tr>
            <w:tr w14:paraId="3FA9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93" w:type="dxa"/>
                  <w:vAlign w:val="center"/>
                </w:tcPr>
                <w:p w14:paraId="6D9EA8D9">
                  <w:pPr>
                    <w:widowControl/>
                    <w:snapToGrid w:val="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综合</w:t>
                  </w:r>
                  <w:r>
                    <w:rPr>
                      <w:rFonts w:ascii="Times New Roman" w:hAnsi="Times New Roman" w:cs="Times New Roman"/>
                      <w:color w:val="000000" w:themeColor="text1"/>
                      <w:sz w:val="21"/>
                      <w:szCs w:val="21"/>
                    </w:rPr>
                    <w:t>医疗机构</w:t>
                  </w:r>
                  <w:r>
                    <w:rPr>
                      <w:rFonts w:hint="eastAsia" w:ascii="Times New Roman" w:hAnsi="Times New Roman"/>
                      <w:color w:val="000000" w:themeColor="text1"/>
                      <w:sz w:val="21"/>
                      <w:szCs w:val="21"/>
                      <w:lang w:val="en-US"/>
                    </w:rPr>
                    <w:t>和其他医疗机构</w:t>
                  </w:r>
                </w:p>
              </w:tc>
              <w:tc>
                <w:tcPr>
                  <w:tcW w:w="1675" w:type="dxa"/>
                  <w:vAlign w:val="center"/>
                </w:tcPr>
                <w:p w14:paraId="7AC06D69">
                  <w:pPr>
                    <w:widowControl/>
                    <w:snapToGrid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≤100</w:t>
                  </w:r>
                </w:p>
              </w:tc>
              <w:tc>
                <w:tcPr>
                  <w:tcW w:w="1393" w:type="dxa"/>
                  <w:vAlign w:val="center"/>
                </w:tcPr>
                <w:p w14:paraId="43325A98">
                  <w:pPr>
                    <w:widowControl/>
                    <w:snapToGrid w:val="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rPr>
                    <w:t>—</w:t>
                  </w:r>
                </w:p>
              </w:tc>
              <w:tc>
                <w:tcPr>
                  <w:tcW w:w="1228" w:type="dxa"/>
                  <w:vAlign w:val="center"/>
                </w:tcPr>
                <w:p w14:paraId="7DCA4006">
                  <w:pPr>
                    <w:widowControl/>
                    <w:snapToGrid w:val="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rPr>
                    <w:t>—</w:t>
                  </w:r>
                </w:p>
              </w:tc>
              <w:tc>
                <w:tcPr>
                  <w:tcW w:w="1144" w:type="dxa"/>
                  <w:vAlign w:val="center"/>
                </w:tcPr>
                <w:p w14:paraId="530718F8">
                  <w:pPr>
                    <w:widowControl/>
                    <w:snapToGrid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w:t>
                  </w:r>
                </w:p>
              </w:tc>
              <w:tc>
                <w:tcPr>
                  <w:tcW w:w="1163" w:type="dxa"/>
                  <w:vAlign w:val="center"/>
                </w:tcPr>
                <w:p w14:paraId="5255C66C">
                  <w:pPr>
                    <w:widowControl/>
                    <w:snapToGrid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＞95</w:t>
                  </w:r>
                </w:p>
              </w:tc>
            </w:tr>
          </w:tbl>
          <w:p w14:paraId="77B77737">
            <w:pPr>
              <w:rPr>
                <w:rFonts w:hint="eastAsia"/>
                <w:color w:val="000000" w:themeColor="text1"/>
              </w:rPr>
            </w:pPr>
          </w:p>
        </w:tc>
      </w:tr>
      <w:tr w14:paraId="266C4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8" w:hRule="atLeast"/>
        </w:trPr>
        <w:tc>
          <w:tcPr>
            <w:tcW w:w="286" w:type="pct"/>
            <w:tcBorders>
              <w:top w:val="single" w:color="000000" w:sz="4" w:space="0"/>
              <w:right w:val="single" w:color="000000" w:sz="4" w:space="0"/>
            </w:tcBorders>
            <w:vAlign w:val="center"/>
          </w:tcPr>
          <w:p w14:paraId="5445AD7A">
            <w:pPr>
              <w:pStyle w:val="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总量控制指标</w:t>
            </w:r>
          </w:p>
        </w:tc>
        <w:tc>
          <w:tcPr>
            <w:tcW w:w="4713" w:type="pct"/>
            <w:tcBorders>
              <w:top w:val="single" w:color="000000" w:sz="4" w:space="0"/>
              <w:left w:val="single" w:color="000000" w:sz="4" w:space="0"/>
            </w:tcBorders>
          </w:tcPr>
          <w:p w14:paraId="101D0C2C">
            <w:pPr>
              <w:autoSpaceDE/>
              <w:autoSpaceDN/>
              <w:spacing w:line="360" w:lineRule="auto"/>
              <w:ind w:firstLine="480" w:firstLineChars="200"/>
              <w:jc w:val="both"/>
              <w:rPr>
                <w:rFonts w:ascii="Times New Roman" w:hAnsi="Times New Roman" w:cs="Times New Roman"/>
                <w:b/>
                <w:bCs/>
                <w:color w:val="000000" w:themeColor="text1"/>
                <w:kern w:val="2"/>
                <w:sz w:val="24"/>
                <w:szCs w:val="24"/>
                <w:lang w:val="en-US" w:bidi="ar-SA"/>
              </w:rPr>
            </w:pPr>
            <w:r>
              <w:rPr>
                <w:rFonts w:hint="eastAsia" w:ascii="Times New Roman" w:hAnsi="Times New Roman"/>
                <w:color w:val="000000" w:themeColor="text1"/>
                <w:sz w:val="24"/>
                <w:szCs w:val="24"/>
              </w:rPr>
              <w:t>根据广西壮族自治区生态环境厅《关于印发2021年广西生态环境工作要点的通知》（桂环发〔2021〕2号）得知</w:t>
            </w:r>
            <w:r>
              <w:rPr>
                <w:rFonts w:hint="eastAsia" w:ascii="Times New Roman" w:hAnsi="Times New Roman"/>
                <w:color w:val="000000" w:themeColor="text1"/>
                <w:sz w:val="24"/>
                <w:szCs w:val="24"/>
              </w:rPr>
              <w:t>，全区对化学需氧量（COD）、氨氮、挥发性有机物（VOCs）和氮氧化物（NOx）四项主要污染物实施国家总量控制，统一要求、统一考核。</w:t>
            </w:r>
          </w:p>
          <w:p w14:paraId="4568A836">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本项目大气污染物主要为药</w:t>
            </w:r>
            <w:bookmarkStart w:id="31" w:name="_GoBack"/>
            <w:bookmarkEnd w:id="31"/>
            <w:r>
              <w:rPr>
                <w:rFonts w:ascii="Times New Roman" w:hAnsi="Times New Roman" w:cs="Times New Roman"/>
                <w:color w:val="000000" w:themeColor="text1"/>
                <w:kern w:val="2"/>
                <w:sz w:val="24"/>
                <w:szCs w:val="24"/>
                <w:lang w:val="en-US" w:bidi="ar-SA"/>
              </w:rPr>
              <w:t>物及试剂气味</w:t>
            </w:r>
            <w:r>
              <w:rPr>
                <w:rFonts w:hint="eastAsia"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污水处理站、</w:t>
            </w:r>
            <w:r>
              <w:rPr>
                <w:rFonts w:hint="eastAsia" w:ascii="Times New Roman" w:hAnsi="Times New Roman" w:cs="Times New Roman"/>
                <w:color w:val="000000" w:themeColor="text1"/>
                <w:kern w:val="2"/>
                <w:sz w:val="24"/>
                <w:szCs w:val="24"/>
                <w:lang w:val="en-US" w:bidi="ar-SA"/>
              </w:rPr>
              <w:t>危险</w:t>
            </w:r>
            <w:r>
              <w:rPr>
                <w:rFonts w:ascii="Times New Roman" w:hAnsi="Times New Roman" w:cs="Times New Roman"/>
                <w:color w:val="000000" w:themeColor="text1"/>
                <w:kern w:val="2"/>
                <w:sz w:val="24"/>
                <w:szCs w:val="24"/>
                <w:lang w:val="en-US" w:bidi="ar-SA"/>
              </w:rPr>
              <w:t>废物暂存间和生活垃圾暂存装置产生的恶臭</w:t>
            </w:r>
            <w:r>
              <w:rPr>
                <w:rFonts w:hint="eastAsia" w:ascii="Times New Roman" w:hAnsi="Times New Roman" w:cs="Times New Roman"/>
                <w:color w:val="000000" w:themeColor="text1"/>
                <w:kern w:val="2"/>
                <w:sz w:val="24"/>
                <w:szCs w:val="24"/>
                <w:lang w:val="en-US" w:bidi="ar-SA"/>
              </w:rPr>
              <w:t>、汽车尾气</w:t>
            </w:r>
            <w:r>
              <w:rPr>
                <w:rFonts w:ascii="Times New Roman" w:hAnsi="Times New Roman" w:cs="Times New Roman"/>
                <w:color w:val="000000" w:themeColor="text1"/>
                <w:kern w:val="2"/>
                <w:sz w:val="24"/>
                <w:szCs w:val="24"/>
                <w:lang w:val="en-US" w:bidi="ar-SA"/>
              </w:rPr>
              <w:t>，均为无组织排放，</w:t>
            </w:r>
            <w:r>
              <w:rPr>
                <w:rFonts w:hint="eastAsia" w:ascii="Times New Roman" w:hAnsi="Times New Roman" w:cs="Times New Roman"/>
                <w:color w:val="000000" w:themeColor="text1"/>
                <w:kern w:val="2"/>
                <w:sz w:val="24"/>
                <w:szCs w:val="24"/>
                <w:lang w:val="en-US" w:bidi="ar-SA"/>
              </w:rPr>
              <w:t>且</w:t>
            </w:r>
            <w:r>
              <w:rPr>
                <w:rFonts w:ascii="Times New Roman" w:hAnsi="Times New Roman" w:cs="Times New Roman"/>
                <w:color w:val="000000" w:themeColor="text1"/>
                <w:kern w:val="2"/>
                <w:sz w:val="24"/>
                <w:szCs w:val="24"/>
                <w:lang w:val="en-US" w:bidi="ar-SA"/>
              </w:rPr>
              <w:t>排放量较小，因此建议不申请大气污染物总量控制指标。</w:t>
            </w:r>
          </w:p>
          <w:p w14:paraId="5B09EA3F">
            <w:pPr>
              <w:spacing w:line="360" w:lineRule="auto"/>
              <w:ind w:firstLine="480" w:firstLineChars="200"/>
              <w:rPr>
                <w:rFonts w:ascii="Times New Roman" w:hAnsi="Times New Roman" w:cs="Times New Roman"/>
                <w:color w:val="000000" w:themeColor="text1"/>
                <w:sz w:val="21"/>
                <w:lang w:val="en-US"/>
              </w:rPr>
            </w:pPr>
            <w:r>
              <w:rPr>
                <w:rFonts w:ascii="Times New Roman" w:hAnsi="Times New Roman" w:cs="Times New Roman"/>
                <w:color w:val="000000" w:themeColor="text1"/>
                <w:kern w:val="2"/>
                <w:sz w:val="24"/>
                <w:szCs w:val="24"/>
                <w:lang w:val="en-US" w:bidi="ar-SA"/>
              </w:rPr>
              <w:t>本项目</w:t>
            </w:r>
            <w:r>
              <w:rPr>
                <w:rFonts w:hint="eastAsia" w:ascii="Times New Roman" w:hAnsi="Times New Roman" w:cs="Times New Roman"/>
                <w:bCs/>
                <w:color w:val="000000" w:themeColor="text1"/>
                <w:sz w:val="24"/>
                <w:szCs w:val="24"/>
                <w:lang w:val="en-US" w:bidi="ar-SA"/>
              </w:rPr>
              <w:t>传染病楼综合</w:t>
            </w:r>
            <w:r>
              <w:rPr>
                <w:rFonts w:ascii="Times New Roman" w:hAnsi="Times New Roman" w:cs="Times New Roman"/>
                <w:color w:val="000000" w:themeColor="text1"/>
                <w:kern w:val="2"/>
                <w:sz w:val="24"/>
                <w:szCs w:val="24"/>
                <w:lang w:val="en-US" w:bidi="ar-SA"/>
              </w:rPr>
              <w:t>医疗废水</w:t>
            </w:r>
            <w:r>
              <w:rPr>
                <w:rFonts w:hint="eastAsia" w:ascii="Times New Roman" w:hAnsi="Times New Roman" w:cs="Times New Roman"/>
                <w:color w:val="000000" w:themeColor="text1"/>
                <w:kern w:val="2"/>
                <w:sz w:val="24"/>
                <w:szCs w:val="24"/>
                <w:lang w:val="en-US" w:bidi="ar-SA"/>
              </w:rPr>
              <w:t>经传染病预处理设施处理后与</w:t>
            </w:r>
            <w:r>
              <w:rPr>
                <w:rFonts w:hint="eastAsia" w:ascii="Times New Roman" w:hAnsi="Times New Roman" w:cs="Times New Roman"/>
                <w:bCs/>
                <w:color w:val="000000" w:themeColor="text1"/>
                <w:sz w:val="24"/>
                <w:szCs w:val="24"/>
                <w:lang w:val="en-US" w:bidi="ar-SA"/>
              </w:rPr>
              <w:t>业务综合楼综合</w:t>
            </w:r>
            <w:r>
              <w:rPr>
                <w:rFonts w:ascii="Times New Roman" w:hAnsi="Times New Roman" w:cs="Times New Roman"/>
                <w:color w:val="000000" w:themeColor="text1"/>
                <w:kern w:val="2"/>
                <w:sz w:val="24"/>
                <w:szCs w:val="24"/>
                <w:lang w:val="en-US" w:bidi="ar-SA"/>
              </w:rPr>
              <w:t>医疗废水</w:t>
            </w:r>
            <w:r>
              <w:rPr>
                <w:rFonts w:hint="eastAsia" w:ascii="Times New Roman" w:hAnsi="Times New Roman" w:cs="Times New Roman"/>
                <w:color w:val="000000" w:themeColor="text1"/>
                <w:kern w:val="2"/>
                <w:sz w:val="24"/>
                <w:szCs w:val="24"/>
                <w:lang w:val="en-US" w:bidi="ar-SA"/>
              </w:rPr>
              <w:t>一起排入综合污水处理站处理，处理后废水达到《医疗机构水污染物排放标准》（</w:t>
            </w:r>
            <w:r>
              <w:rPr>
                <w:rFonts w:ascii="Times New Roman" w:hAnsi="Times New Roman" w:cs="Times New Roman"/>
                <w:color w:val="000000" w:themeColor="text1"/>
                <w:kern w:val="2"/>
                <w:sz w:val="24"/>
                <w:szCs w:val="24"/>
                <w:lang w:val="en-US" w:bidi="ar-SA"/>
              </w:rPr>
              <w:t>GB18466-2005）表</w:t>
            </w:r>
            <w:r>
              <w:rPr>
                <w:rFonts w:hint="eastAsia" w:ascii="Times New Roman" w:hAnsi="Times New Roman" w:cs="Times New Roman"/>
                <w:color w:val="000000" w:themeColor="text1"/>
                <w:kern w:val="2"/>
                <w:sz w:val="24"/>
                <w:szCs w:val="24"/>
                <w:lang w:val="en-US" w:bidi="ar-SA"/>
              </w:rPr>
              <w:t>2</w:t>
            </w:r>
            <w:r>
              <w:rPr>
                <w:rFonts w:ascii="Times New Roman" w:hAnsi="Times New Roman" w:cs="Times New Roman"/>
                <w:color w:val="000000" w:themeColor="text1"/>
                <w:kern w:val="2"/>
                <w:sz w:val="24"/>
                <w:szCs w:val="24"/>
                <w:lang w:val="en-US" w:bidi="ar-SA"/>
              </w:rPr>
              <w:t>中</w:t>
            </w:r>
            <w:r>
              <w:rPr>
                <w:rFonts w:hint="eastAsia" w:ascii="Times New Roman" w:hAnsi="Times New Roman" w:cs="Times New Roman"/>
                <w:color w:val="000000" w:themeColor="text1"/>
                <w:kern w:val="2"/>
                <w:sz w:val="24"/>
                <w:szCs w:val="24"/>
                <w:lang w:val="en-US" w:bidi="ar-SA"/>
              </w:rPr>
              <w:t>的预处理</w:t>
            </w:r>
            <w:r>
              <w:rPr>
                <w:rFonts w:ascii="Times New Roman" w:hAnsi="Times New Roman" w:cs="Times New Roman"/>
                <w:color w:val="000000" w:themeColor="text1"/>
                <w:kern w:val="2"/>
                <w:sz w:val="24"/>
                <w:szCs w:val="24"/>
                <w:lang w:val="en-US" w:bidi="ar-SA"/>
              </w:rPr>
              <w:t>标准后</w:t>
            </w:r>
            <w:r>
              <w:rPr>
                <w:rFonts w:hint="eastAsia" w:ascii="Times New Roman" w:hAnsi="Times New Roman" w:cs="Times New Roman"/>
                <w:color w:val="000000" w:themeColor="text1"/>
                <w:kern w:val="2"/>
                <w:sz w:val="24"/>
                <w:szCs w:val="24"/>
                <w:lang w:val="en-US" w:bidi="ar-SA"/>
              </w:rPr>
              <w:t>排入永福县益源污水处理厂；项目</w:t>
            </w:r>
            <w:r>
              <w:rPr>
                <w:rFonts w:hint="eastAsia" w:ascii="Times New Roman" w:hAnsi="Times New Roman"/>
                <w:color w:val="000000" w:themeColor="text1"/>
                <w:sz w:val="24"/>
                <w:lang w:val="en-US"/>
              </w:rPr>
              <w:t>食堂废水经原隔油池+化粪池处理达到《污水综合排放标准》（GB 8978-1996）表4三级标准后</w:t>
            </w:r>
            <w:r>
              <w:rPr>
                <w:rFonts w:ascii="Times New Roman" w:hAnsi="Times New Roman"/>
                <w:color w:val="000000" w:themeColor="text1"/>
                <w:sz w:val="24"/>
              </w:rPr>
              <w:t>排入</w:t>
            </w:r>
            <w:r>
              <w:rPr>
                <w:rFonts w:hint="eastAsia" w:ascii="Times New Roman" w:hAnsi="Times New Roman"/>
                <w:color w:val="000000" w:themeColor="text1"/>
                <w:sz w:val="24"/>
              </w:rPr>
              <w:t>永福县益源污水处理厂</w:t>
            </w:r>
            <w:r>
              <w:rPr>
                <w:rFonts w:ascii="Times New Roman" w:hAnsi="Times New Roman" w:cs="Times New Roman"/>
                <w:color w:val="000000" w:themeColor="text1"/>
                <w:kern w:val="2"/>
                <w:sz w:val="24"/>
                <w:szCs w:val="24"/>
                <w:lang w:val="en-US" w:bidi="ar-SA"/>
              </w:rPr>
              <w:t>，其总量指标可纳入</w:t>
            </w:r>
            <w:r>
              <w:rPr>
                <w:rFonts w:hint="eastAsia" w:ascii="Times New Roman" w:hAnsi="Times New Roman" w:cs="Times New Roman"/>
                <w:color w:val="000000" w:themeColor="text1"/>
                <w:kern w:val="2"/>
                <w:sz w:val="24"/>
                <w:szCs w:val="24"/>
                <w:lang w:val="en-US" w:bidi="ar-SA"/>
              </w:rPr>
              <w:t>永福县益源污水处理厂</w:t>
            </w:r>
            <w:r>
              <w:rPr>
                <w:rFonts w:ascii="Times New Roman" w:hAnsi="Times New Roman" w:cs="Times New Roman"/>
                <w:color w:val="000000" w:themeColor="text1"/>
                <w:kern w:val="2"/>
                <w:sz w:val="24"/>
                <w:szCs w:val="24"/>
                <w:lang w:val="en-US" w:bidi="ar-SA"/>
              </w:rPr>
              <w:t>总量控制指标内</w:t>
            </w:r>
            <w:r>
              <w:rPr>
                <w:rFonts w:ascii="Times New Roman" w:hAnsi="Times New Roman" w:cs="Times New Roman"/>
                <w:bCs/>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故本评价无水污染物总量控制指标建议。</w:t>
            </w:r>
          </w:p>
        </w:tc>
      </w:tr>
    </w:tbl>
    <w:p w14:paraId="2349D2EF">
      <w:pPr>
        <w:ind w:firstLine="420"/>
        <w:jc w:val="right"/>
        <w:rPr>
          <w:rFonts w:ascii="Times New Roman" w:hAnsi="Times New Roman" w:cs="Times New Roman"/>
          <w:sz w:val="21"/>
        </w:rPr>
        <w:sectPr>
          <w:footerReference r:id="rId9" w:type="default"/>
          <w:footerReference r:id="rId10" w:type="even"/>
          <w:pgSz w:w="11910" w:h="16850"/>
          <w:pgMar w:top="1600" w:right="1320" w:bottom="1000" w:left="1340" w:header="0" w:footer="817" w:gutter="0"/>
          <w:cols w:space="720" w:num="1"/>
        </w:sectPr>
      </w:pPr>
    </w:p>
    <w:p w14:paraId="622DE9B9">
      <w:pPr>
        <w:pStyle w:val="2"/>
        <w:ind w:left="0" w:right="0" w:firstLine="602"/>
        <w:rPr>
          <w:rFonts w:ascii="Times New Roman" w:hAnsi="Times New Roman" w:eastAsia="宋体" w:cs="Times New Roman"/>
          <w:b/>
          <w:bCs/>
          <w:sz w:val="30"/>
          <w:szCs w:val="30"/>
        </w:rPr>
      </w:pPr>
      <w:bookmarkStart w:id="13" w:name="_Toc16191"/>
      <w:bookmarkStart w:id="14" w:name="_Toc16103"/>
      <w:bookmarkStart w:id="15" w:name="_Toc20357"/>
      <w:bookmarkStart w:id="16" w:name="_Toc126"/>
      <w:bookmarkStart w:id="17" w:name="_Toc676"/>
      <w:bookmarkStart w:id="18" w:name="_Toc15168"/>
      <w:bookmarkStart w:id="19" w:name="_Toc18169"/>
      <w:r>
        <w:rPr>
          <w:rFonts w:ascii="Times New Roman" w:hAnsi="Times New Roman" w:eastAsia="宋体" w:cs="Times New Roman"/>
          <w:b/>
          <w:bCs/>
          <w:sz w:val="30"/>
          <w:szCs w:val="30"/>
        </w:rPr>
        <w:t>四、主要环境影响和保护措施</w:t>
      </w:r>
      <w:bookmarkEnd w:id="13"/>
      <w:bookmarkEnd w:id="14"/>
      <w:bookmarkEnd w:id="15"/>
      <w:bookmarkEnd w:id="16"/>
    </w:p>
    <w:tbl>
      <w:tblPr>
        <w:tblStyle w:val="27"/>
        <w:tblW w:w="5083"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6"/>
        <w:gridCol w:w="8608"/>
      </w:tblGrid>
      <w:tr w14:paraId="514CD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3" w:hRule="atLeast"/>
        </w:trPr>
        <w:tc>
          <w:tcPr>
            <w:tcW w:w="433" w:type="pct"/>
            <w:tcBorders>
              <w:bottom w:val="single" w:color="000000" w:sz="4" w:space="0"/>
              <w:right w:val="single" w:color="000000" w:sz="4" w:space="0"/>
            </w:tcBorders>
            <w:vAlign w:val="center"/>
          </w:tcPr>
          <w:p w14:paraId="166C4250">
            <w:pPr>
              <w:pStyle w:val="40"/>
              <w:spacing w:before="157" w:line="242" w:lineRule="auto"/>
              <w:ind w:left="160"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施工期环境保护措施</w:t>
            </w:r>
          </w:p>
        </w:tc>
        <w:tc>
          <w:tcPr>
            <w:tcW w:w="4566" w:type="pct"/>
            <w:tcBorders>
              <w:left w:val="single" w:color="000000" w:sz="4" w:space="0"/>
              <w:bottom w:val="single" w:color="000000" w:sz="4" w:space="0"/>
            </w:tcBorders>
          </w:tcPr>
          <w:p w14:paraId="5238C450">
            <w:pPr>
              <w:autoSpaceDE/>
              <w:autoSpaceDN/>
              <w:spacing w:line="360" w:lineRule="auto"/>
              <w:ind w:firstLine="480"/>
              <w:rPr>
                <w:rFonts w:ascii="Times New Roman" w:hAnsi="Times New Roman" w:cs="Times New Roman"/>
                <w:color w:val="000000" w:themeColor="text1"/>
                <w:kern w:val="2"/>
                <w:sz w:val="24"/>
                <w:szCs w:val="24"/>
                <w:u w:val="single"/>
                <w:lang w:val="en-US" w:bidi="ar-SA"/>
              </w:rPr>
            </w:pPr>
            <w:r>
              <w:rPr>
                <w:rFonts w:hint="eastAsia" w:ascii="Times New Roman" w:hAnsi="Times New Roman" w:cs="Times New Roman"/>
                <w:color w:val="000000" w:themeColor="text1"/>
                <w:kern w:val="2"/>
                <w:sz w:val="24"/>
                <w:szCs w:val="24"/>
                <w:u w:val="single"/>
                <w:lang w:val="en-US" w:bidi="ar-SA"/>
              </w:rPr>
              <w:t>医院2008年建设完成传染病楼及配套建设</w:t>
            </w:r>
            <w:r>
              <w:rPr>
                <w:rFonts w:hint="eastAsia" w:ascii="Times New Roman" w:hAnsi="Times New Roman"/>
                <w:color w:val="000000" w:themeColor="text1"/>
                <w:sz w:val="24"/>
                <w:u w:val="single"/>
              </w:rPr>
              <w:t>处理规模为</w:t>
            </w:r>
            <w:r>
              <w:rPr>
                <w:rFonts w:hint="eastAsia" w:ascii="Times New Roman" w:hAnsi="Times New Roman"/>
                <w:color w:val="000000" w:themeColor="text1"/>
                <w:sz w:val="24"/>
                <w:u w:val="single"/>
                <w:lang w:val="en-US"/>
              </w:rPr>
              <w:t>20</w:t>
            </w:r>
            <w:r>
              <w:rPr>
                <w:rFonts w:hint="eastAsia" w:ascii="Times New Roman" w:hAnsi="Times New Roman"/>
                <w:color w:val="000000" w:themeColor="text1"/>
                <w:sz w:val="24"/>
                <w:u w:val="single"/>
              </w:rPr>
              <w:t>m</w:t>
            </w:r>
            <w:r>
              <w:rPr>
                <w:rFonts w:hint="eastAsia" w:ascii="Times New Roman" w:hAnsi="Times New Roman"/>
                <w:color w:val="000000" w:themeColor="text1"/>
                <w:sz w:val="24"/>
                <w:u w:val="single"/>
                <w:vertAlign w:val="superscript"/>
              </w:rPr>
              <w:t>3</w:t>
            </w:r>
            <w:r>
              <w:rPr>
                <w:rFonts w:hint="eastAsia" w:ascii="Times New Roman" w:hAnsi="Times New Roman"/>
                <w:color w:val="000000" w:themeColor="text1"/>
                <w:sz w:val="24"/>
                <w:u w:val="single"/>
              </w:rPr>
              <w:t>/d</w:t>
            </w:r>
            <w:r>
              <w:rPr>
                <w:rFonts w:hint="eastAsia" w:ascii="Times New Roman" w:hAnsi="Times New Roman"/>
                <w:color w:val="000000" w:themeColor="text1"/>
                <w:sz w:val="24"/>
                <w:u w:val="single"/>
                <w:lang w:val="en-US"/>
              </w:rPr>
              <w:t>的</w:t>
            </w:r>
            <w:r>
              <w:rPr>
                <w:rFonts w:hint="eastAsia" w:ascii="Times New Roman" w:hAnsi="Times New Roman" w:cs="Times New Roman"/>
                <w:color w:val="000000" w:themeColor="text1"/>
                <w:kern w:val="2"/>
                <w:sz w:val="24"/>
                <w:szCs w:val="24"/>
                <w:u w:val="single"/>
                <w:lang w:val="en-US" w:bidi="ar-SA"/>
              </w:rPr>
              <w:t>传染病预处理设施，2013年建设完成业务综合楼（原名医技楼），2020年对原综合污水处理站完成改造，本次评价内容在2020年全部建设完成，并投产运营，建设过程会产生噪声、扬尘、固体废弃物、少量污水和废气等污染物，根据建设单位施工验收材料及存档资料，在施工阶段主要采取的环保措施如下：</w:t>
            </w:r>
          </w:p>
          <w:p w14:paraId="66D01551">
            <w:pPr>
              <w:spacing w:line="360" w:lineRule="auto"/>
              <w:ind w:firstLine="480"/>
              <w:rPr>
                <w:rFonts w:hint="eastAsia"/>
                <w:color w:val="000000" w:themeColor="text1"/>
                <w:sz w:val="24"/>
                <w:szCs w:val="24"/>
                <w:u w:val="single"/>
              </w:rPr>
            </w:pPr>
            <w:r>
              <w:rPr>
                <w:rFonts w:hint="eastAsia"/>
                <w:color w:val="000000" w:themeColor="text1"/>
                <w:sz w:val="24"/>
                <w:szCs w:val="24"/>
                <w:u w:val="single"/>
              </w:rPr>
              <w:t>项目施工期采取湿法作业，施工期扬尘对周围环境的影响较小；施工期采用环保型装饰材料，运输及动力设备不使用劣质燃料，废气产生量不大，施工期大气污染物对</w:t>
            </w:r>
            <w:r>
              <w:rPr>
                <w:rFonts w:hint="eastAsia"/>
                <w:color w:val="000000" w:themeColor="text1"/>
                <w:sz w:val="24"/>
                <w:szCs w:val="24"/>
                <w:u w:val="single"/>
                <w:lang w:val="en-US"/>
              </w:rPr>
              <w:t>医院原有项目及</w:t>
            </w:r>
            <w:r>
              <w:rPr>
                <w:rFonts w:hint="eastAsia"/>
                <w:color w:val="000000" w:themeColor="text1"/>
                <w:sz w:val="24"/>
                <w:szCs w:val="24"/>
                <w:u w:val="single"/>
              </w:rPr>
              <w:t>周围环境影响较小。</w:t>
            </w:r>
          </w:p>
          <w:p w14:paraId="57CE9F9D">
            <w:pPr>
              <w:widowControl/>
              <w:autoSpaceDE/>
              <w:autoSpaceDN/>
              <w:spacing w:line="360" w:lineRule="auto"/>
              <w:ind w:firstLine="480" w:firstLineChars="200"/>
              <w:rPr>
                <w:rFonts w:hint="eastAsia"/>
                <w:color w:val="000000" w:themeColor="text1"/>
                <w:sz w:val="24"/>
                <w:szCs w:val="24"/>
                <w:u w:val="single"/>
              </w:rPr>
            </w:pPr>
            <w:r>
              <w:rPr>
                <w:rFonts w:hint="eastAsia"/>
                <w:color w:val="000000" w:themeColor="text1"/>
                <w:sz w:val="24"/>
                <w:szCs w:val="24"/>
                <w:u w:val="single"/>
              </w:rPr>
              <w:t>施工期间生活污水</w:t>
            </w:r>
            <w:r>
              <w:rPr>
                <w:rFonts w:ascii="Times New Roman" w:hAnsi="Times New Roman" w:cs="Times New Roman"/>
                <w:color w:val="000000" w:themeColor="text1"/>
                <w:sz w:val="24"/>
                <w:u w:val="single"/>
                <w:lang w:val="en-US" w:bidi="ar-SA"/>
              </w:rPr>
              <w:t>依托医院原有</w:t>
            </w:r>
            <w:r>
              <w:rPr>
                <w:rFonts w:hint="eastAsia" w:ascii="Times New Roman" w:hAnsi="Times New Roman" w:cs="Times New Roman"/>
                <w:color w:val="000000" w:themeColor="text1"/>
                <w:sz w:val="24"/>
                <w:u w:val="single"/>
                <w:lang w:val="en-US" w:bidi="ar-SA"/>
              </w:rPr>
              <w:t>化粪池对施工人员生活污水进行收集，收集处理后排入市政污水管网</w:t>
            </w:r>
            <w:r>
              <w:rPr>
                <w:rFonts w:hint="eastAsia"/>
                <w:color w:val="000000" w:themeColor="text1"/>
                <w:sz w:val="24"/>
                <w:szCs w:val="24"/>
                <w:u w:val="single"/>
              </w:rPr>
              <w:t>；施工废水经沉淀后回用于施工，不外排，对水环境影响甚微。</w:t>
            </w:r>
          </w:p>
          <w:p w14:paraId="2CCE260C">
            <w:pPr>
              <w:spacing w:line="360" w:lineRule="auto"/>
              <w:ind w:firstLine="480"/>
              <w:rPr>
                <w:rFonts w:hint="eastAsia"/>
                <w:color w:val="000000" w:themeColor="text1"/>
                <w:sz w:val="24"/>
                <w:szCs w:val="24"/>
                <w:u w:val="single"/>
              </w:rPr>
            </w:pPr>
            <w:r>
              <w:rPr>
                <w:rFonts w:hint="eastAsia"/>
                <w:color w:val="000000" w:themeColor="text1"/>
                <w:sz w:val="24"/>
                <w:szCs w:val="24"/>
                <w:u w:val="single"/>
              </w:rPr>
              <w:t>施工期间通过选用低噪声设备、合理安排施工时间等相应的缓减措施，施工期噪声对</w:t>
            </w:r>
            <w:r>
              <w:rPr>
                <w:rFonts w:hint="eastAsia"/>
                <w:color w:val="000000" w:themeColor="text1"/>
                <w:sz w:val="24"/>
                <w:szCs w:val="24"/>
                <w:u w:val="single"/>
                <w:lang w:val="en-US"/>
              </w:rPr>
              <w:t>医院原有项目及</w:t>
            </w:r>
            <w:r>
              <w:rPr>
                <w:rFonts w:hint="eastAsia"/>
                <w:color w:val="000000" w:themeColor="text1"/>
                <w:sz w:val="24"/>
                <w:szCs w:val="24"/>
                <w:u w:val="single"/>
              </w:rPr>
              <w:t>周围环境影响较小。</w:t>
            </w:r>
          </w:p>
          <w:p w14:paraId="7B96764B">
            <w:pPr>
              <w:spacing w:line="360" w:lineRule="auto"/>
              <w:ind w:firstLine="480" w:firstLineChars="200"/>
              <w:rPr>
                <w:rFonts w:hint="eastAsia"/>
                <w:color w:val="000000" w:themeColor="text1"/>
                <w:sz w:val="24"/>
                <w:szCs w:val="24"/>
                <w:u w:val="single"/>
              </w:rPr>
            </w:pPr>
            <w:r>
              <w:rPr>
                <w:rFonts w:hint="eastAsia"/>
                <w:color w:val="000000" w:themeColor="text1"/>
                <w:sz w:val="24"/>
                <w:szCs w:val="24"/>
                <w:u w:val="single"/>
              </w:rPr>
              <w:t>项目施工建筑垃圾收集后送至相关部门指定的建筑垃圾点进行处理；施工期生活垃圾经收集后送至附近垃圾集中收集点，由环卫部门统一处理；本项目土石方主要产生于项目</w:t>
            </w:r>
            <w:r>
              <w:rPr>
                <w:rFonts w:hint="eastAsia"/>
                <w:color w:val="000000" w:themeColor="text1"/>
                <w:sz w:val="24"/>
                <w:szCs w:val="24"/>
                <w:u w:val="single"/>
                <w:lang w:val="en-US"/>
              </w:rPr>
              <w:t>主体工程</w:t>
            </w:r>
            <w:r>
              <w:rPr>
                <w:rFonts w:hint="eastAsia"/>
                <w:color w:val="000000" w:themeColor="text1"/>
                <w:sz w:val="24"/>
                <w:szCs w:val="24"/>
                <w:u w:val="single"/>
              </w:rPr>
              <w:t>、</w:t>
            </w:r>
            <w:r>
              <w:rPr>
                <w:rFonts w:hint="eastAsia"/>
                <w:color w:val="000000" w:themeColor="text1"/>
                <w:sz w:val="24"/>
                <w:szCs w:val="24"/>
                <w:u w:val="single"/>
                <w:lang w:val="en-US"/>
              </w:rPr>
              <w:t>辅助工程及相关环保工程建设</w:t>
            </w:r>
            <w:r>
              <w:rPr>
                <w:rFonts w:hint="eastAsia"/>
                <w:color w:val="000000" w:themeColor="text1"/>
                <w:sz w:val="24"/>
                <w:szCs w:val="24"/>
                <w:u w:val="single"/>
              </w:rPr>
              <w:t>，项目产生的弃土石方由有资质的渣土公司运出处置，本项目不单独设置弃土场。施工期固体废物对对</w:t>
            </w:r>
            <w:r>
              <w:rPr>
                <w:rFonts w:hint="eastAsia"/>
                <w:color w:val="000000" w:themeColor="text1"/>
                <w:sz w:val="24"/>
                <w:szCs w:val="24"/>
                <w:u w:val="single"/>
                <w:lang w:val="en-US"/>
              </w:rPr>
              <w:t>医院原有项目及</w:t>
            </w:r>
            <w:r>
              <w:rPr>
                <w:rFonts w:hint="eastAsia"/>
                <w:color w:val="000000" w:themeColor="text1"/>
                <w:sz w:val="24"/>
                <w:szCs w:val="24"/>
                <w:u w:val="single"/>
              </w:rPr>
              <w:t>周围环境影响较小。</w:t>
            </w:r>
          </w:p>
          <w:p w14:paraId="56451694">
            <w:pPr>
              <w:pStyle w:val="5"/>
              <w:spacing w:line="360" w:lineRule="auto"/>
              <w:ind w:firstLine="480" w:firstLineChars="200"/>
              <w:rPr>
                <w:rFonts w:hint="eastAsia" w:ascii="宋体" w:hAnsi="宋体"/>
                <w:color w:val="000000" w:themeColor="text1"/>
                <w:sz w:val="24"/>
                <w:szCs w:val="24"/>
                <w:u w:val="single"/>
              </w:rPr>
            </w:pPr>
            <w:r>
              <w:rPr>
                <w:rFonts w:hint="eastAsia" w:ascii="宋体" w:hAnsi="宋体"/>
                <w:color w:val="000000" w:themeColor="text1"/>
                <w:sz w:val="24"/>
                <w:szCs w:val="24"/>
                <w:u w:val="single"/>
              </w:rPr>
              <w:t>项目在永福县人民医院内建设，有医院的其他建筑进行阻隔，未在靠近河岸处设置弃土弃渣场、施工便道等临时用地，未向洛清江倾倒废料、建筑垃圾等；合理安排施工时间，严格控制施工范围，减少对施工周边植被的破坏，</w:t>
            </w:r>
            <w:r>
              <w:rPr>
                <w:rFonts w:hint="eastAsia" w:ascii="宋体" w:hAnsi="宋体"/>
                <w:color w:val="000000" w:themeColor="text1"/>
                <w:sz w:val="24"/>
                <w:szCs w:val="24"/>
                <w:u w:val="single"/>
                <w:lang w:val="en-US"/>
              </w:rPr>
              <w:t>对</w:t>
            </w:r>
            <w:r>
              <w:rPr>
                <w:rFonts w:hint="eastAsia" w:ascii="宋体" w:hAnsi="宋体"/>
                <w:color w:val="000000" w:themeColor="text1"/>
                <w:sz w:val="24"/>
                <w:szCs w:val="24"/>
                <w:u w:val="single"/>
              </w:rPr>
              <w:t>洛清江</w:t>
            </w:r>
            <w:r>
              <w:rPr>
                <w:rFonts w:hint="eastAsia"/>
                <w:color w:val="000000" w:themeColor="text1"/>
                <w:sz w:val="24"/>
                <w:szCs w:val="24"/>
                <w:u w:val="single"/>
              </w:rPr>
              <w:t>环境影响较小</w:t>
            </w:r>
            <w:r>
              <w:rPr>
                <w:rFonts w:hint="eastAsia" w:ascii="宋体" w:hAnsi="宋体"/>
                <w:color w:val="000000" w:themeColor="text1"/>
                <w:sz w:val="24"/>
                <w:szCs w:val="24"/>
                <w:u w:val="single"/>
              </w:rPr>
              <w:t>。</w:t>
            </w:r>
          </w:p>
          <w:p w14:paraId="33800502">
            <w:pPr>
              <w:pStyle w:val="5"/>
              <w:spacing w:line="360" w:lineRule="auto"/>
              <w:ind w:firstLine="480" w:firstLineChars="200"/>
              <w:rPr>
                <w:rFonts w:cs="Times New Roman"/>
                <w:color w:val="000000" w:themeColor="text1"/>
                <w:sz w:val="24"/>
                <w:lang w:val="en-US" w:bidi="ar-SA"/>
              </w:rPr>
            </w:pPr>
            <w:r>
              <w:rPr>
                <w:rFonts w:hint="eastAsia"/>
                <w:color w:val="000000" w:themeColor="text1"/>
                <w:sz w:val="24"/>
                <w:szCs w:val="24"/>
                <w:u w:val="single"/>
              </w:rPr>
              <w:t>本项目已经进入营运期，项目施工期产生的各污染物均采取了对应防治措施，并无遗留的施工期环境问题，且施工期没有产生任何环境纠纷，没有收到周边居民的投诉，施工期已结束，施工期影响已经消失。</w:t>
            </w:r>
          </w:p>
        </w:tc>
      </w:tr>
      <w:tr w14:paraId="002C5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4" w:hRule="atLeast"/>
        </w:trPr>
        <w:tc>
          <w:tcPr>
            <w:tcW w:w="433" w:type="pct"/>
            <w:tcBorders>
              <w:top w:val="single" w:color="000000" w:sz="4" w:space="0"/>
              <w:right w:val="single" w:color="000000" w:sz="4" w:space="0"/>
            </w:tcBorders>
            <w:vAlign w:val="center"/>
          </w:tcPr>
          <w:p w14:paraId="0CEE1374">
            <w:pPr>
              <w:pStyle w:val="40"/>
              <w:spacing w:before="1" w:line="242" w:lineRule="auto"/>
              <w:ind w:left="160"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运营期环境影响和保护措施</w:t>
            </w:r>
          </w:p>
        </w:tc>
        <w:tc>
          <w:tcPr>
            <w:tcW w:w="4566" w:type="pct"/>
            <w:tcBorders>
              <w:top w:val="single" w:color="000000" w:sz="4" w:space="0"/>
              <w:left w:val="single" w:color="000000" w:sz="4" w:space="0"/>
            </w:tcBorders>
          </w:tcPr>
          <w:p w14:paraId="246CEE02">
            <w:pPr>
              <w:spacing w:line="360" w:lineRule="auto"/>
              <w:ind w:firstLine="482" w:firstLineChars="200"/>
              <w:rPr>
                <w:rFonts w:ascii="Times New Roman" w:hAnsi="Times New Roman" w:cs="Times New Roman"/>
                <w:color w:val="000000" w:themeColor="text1"/>
                <w:spacing w:val="-4"/>
                <w:sz w:val="24"/>
              </w:rPr>
            </w:pPr>
            <w:r>
              <w:rPr>
                <w:rFonts w:ascii="Times New Roman" w:hAnsi="Times New Roman" w:cs="Times New Roman"/>
                <w:b/>
                <w:bCs/>
                <w:color w:val="000000" w:themeColor="text1"/>
                <w:sz w:val="24"/>
              </w:rPr>
              <w:t>1、废气</w:t>
            </w:r>
          </w:p>
          <w:p w14:paraId="01F3844B">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sz w:val="24"/>
                <w:szCs w:val="24"/>
                <w:lang w:val="en-US" w:bidi="ar-SA"/>
              </w:rPr>
              <w:t>本项目不设锅炉，不设焚化炉</w:t>
            </w:r>
            <w:r>
              <w:rPr>
                <w:rFonts w:hint="eastAsia" w:ascii="Times New Roman" w:hAnsi="Times New Roman" w:cs="Times New Roman"/>
                <w:color w:val="000000" w:themeColor="text1"/>
                <w:sz w:val="24"/>
                <w:szCs w:val="24"/>
                <w:lang w:val="en-US" w:bidi="ar-SA"/>
              </w:rPr>
              <w:t>，</w:t>
            </w:r>
            <w:r>
              <w:rPr>
                <w:rFonts w:ascii="Times New Roman" w:hAnsi="Times New Roman" w:cs="Times New Roman"/>
                <w:color w:val="000000" w:themeColor="text1"/>
                <w:sz w:val="24"/>
                <w:szCs w:val="24"/>
                <w:lang w:val="en-US" w:bidi="ar-SA"/>
              </w:rPr>
              <w:t>项目建成后</w:t>
            </w:r>
            <w:r>
              <w:rPr>
                <w:rFonts w:ascii="Times New Roman" w:hAnsi="Times New Roman" w:cs="Times New Roman"/>
                <w:color w:val="000000" w:themeColor="text1"/>
                <w:kern w:val="2"/>
                <w:sz w:val="24"/>
                <w:szCs w:val="24"/>
                <w:lang w:val="en-US" w:bidi="ar-SA"/>
              </w:rPr>
              <w:t>主要废气为药物及试剂气味</w:t>
            </w:r>
            <w:r>
              <w:rPr>
                <w:rFonts w:hint="eastAsia"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污水处理站、医疗废物暂存间和生活垃圾暂存装置产生的恶臭</w:t>
            </w:r>
            <w:r>
              <w:rPr>
                <w:rFonts w:hint="eastAsia" w:ascii="Times New Roman" w:hAnsi="Times New Roman" w:cs="Times New Roman"/>
                <w:color w:val="000000" w:themeColor="text1"/>
                <w:kern w:val="2"/>
                <w:sz w:val="24"/>
                <w:szCs w:val="24"/>
                <w:lang w:val="en-US" w:bidi="ar-SA"/>
              </w:rPr>
              <w:t>、带菌废气</w:t>
            </w:r>
            <w:r>
              <w:rPr>
                <w:rFonts w:ascii="Times New Roman" w:hAnsi="Times New Roman" w:cs="Times New Roman"/>
                <w:color w:val="000000" w:themeColor="text1"/>
                <w:kern w:val="2"/>
                <w:sz w:val="24"/>
                <w:szCs w:val="24"/>
                <w:lang w:val="en-US" w:bidi="ar-SA"/>
              </w:rPr>
              <w:t>及</w:t>
            </w:r>
            <w:r>
              <w:rPr>
                <w:rFonts w:hint="eastAsia" w:ascii="Times New Roman" w:hAnsi="Times New Roman" w:cs="Times New Roman"/>
                <w:color w:val="000000" w:themeColor="text1"/>
                <w:kern w:val="2"/>
                <w:sz w:val="24"/>
                <w:szCs w:val="24"/>
                <w:lang w:val="en-US" w:bidi="ar-SA"/>
              </w:rPr>
              <w:t>汽车尾气、食堂油烟</w:t>
            </w:r>
            <w:r>
              <w:rPr>
                <w:rFonts w:ascii="Times New Roman" w:hAnsi="Times New Roman" w:cs="Times New Roman"/>
                <w:color w:val="000000" w:themeColor="text1"/>
                <w:kern w:val="2"/>
                <w:sz w:val="24"/>
                <w:szCs w:val="24"/>
                <w:lang w:val="en-US" w:bidi="ar-SA"/>
              </w:rPr>
              <w:t>。</w:t>
            </w:r>
          </w:p>
          <w:p w14:paraId="7626E23F">
            <w:pPr>
              <w:autoSpaceDE/>
              <w:autoSpaceDN/>
              <w:spacing w:line="360" w:lineRule="auto"/>
              <w:ind w:left="440" w:left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w:t>
            </w:r>
            <w:r>
              <w:rPr>
                <w:rFonts w:hint="eastAsia" w:ascii="Times New Roman" w:hAnsi="Times New Roman" w:cs="Times New Roman"/>
                <w:color w:val="000000" w:themeColor="text1"/>
                <w:kern w:val="2"/>
                <w:sz w:val="24"/>
                <w:szCs w:val="24"/>
                <w:lang w:val="en-US" w:bidi="ar-SA"/>
              </w:rPr>
              <w:t>1</w:t>
            </w:r>
            <w:r>
              <w:rPr>
                <w:rFonts w:ascii="Times New Roman" w:hAnsi="Times New Roman" w:cs="Times New Roman"/>
                <w:color w:val="000000" w:themeColor="text1"/>
                <w:kern w:val="2"/>
                <w:sz w:val="24"/>
                <w:szCs w:val="24"/>
                <w:lang w:val="en-US" w:bidi="ar-SA"/>
              </w:rPr>
              <w:t>）药物及试剂气味</w:t>
            </w:r>
          </w:p>
          <w:p w14:paraId="4CC28326">
            <w:pPr>
              <w:autoSpaceDE/>
              <w:autoSpaceDN/>
              <w:spacing w:line="360" w:lineRule="auto"/>
              <w:ind w:firstLine="480" w:firstLineChars="200"/>
              <w:jc w:val="both"/>
              <w:rPr>
                <w:rFonts w:ascii="Times New Roman" w:hAnsi="Times New Roman" w:cs="Times New Roman"/>
                <w:color w:val="000000" w:themeColor="text1"/>
                <w:sz w:val="24"/>
                <w:szCs w:val="24"/>
                <w:lang w:val="en-US" w:bidi="ar-SA"/>
              </w:rPr>
            </w:pPr>
            <w:r>
              <w:rPr>
                <w:rFonts w:hint="eastAsia" w:ascii="Times New Roman" w:hAnsi="Times New Roman" w:cs="Times New Roman"/>
                <w:color w:val="000000" w:themeColor="text1"/>
                <w:sz w:val="24"/>
                <w:szCs w:val="24"/>
                <w:lang w:val="en-US" w:bidi="ar-SA"/>
              </w:rPr>
              <w:t>本</w:t>
            </w:r>
            <w:r>
              <w:rPr>
                <w:rFonts w:ascii="Times New Roman" w:hAnsi="Times New Roman" w:cs="Times New Roman"/>
                <w:color w:val="000000" w:themeColor="text1"/>
                <w:sz w:val="24"/>
                <w:szCs w:val="24"/>
                <w:lang w:val="en-US" w:bidi="ar-SA"/>
              </w:rPr>
              <w:t>项目各种药品及试剂均储藏在专门</w:t>
            </w:r>
            <w:r>
              <w:rPr>
                <w:rFonts w:hint="eastAsia" w:ascii="Times New Roman" w:hAnsi="Times New Roman" w:cs="Times New Roman"/>
                <w:color w:val="000000" w:themeColor="text1"/>
                <w:sz w:val="24"/>
                <w:szCs w:val="24"/>
                <w:lang w:val="en-US" w:bidi="ar-SA"/>
              </w:rPr>
              <w:t>清洁库房</w:t>
            </w:r>
            <w:r>
              <w:rPr>
                <w:rFonts w:ascii="Times New Roman" w:hAnsi="Times New Roman" w:cs="Times New Roman"/>
                <w:color w:val="000000" w:themeColor="text1"/>
                <w:sz w:val="24"/>
                <w:szCs w:val="24"/>
                <w:lang w:val="en-US" w:bidi="ar-SA"/>
              </w:rPr>
              <w:t>内，在诊治及检验各环节中均无废气产生，只有在药液调和、混合工序中挥发微量的药物气味，</w:t>
            </w:r>
            <w:r>
              <w:rPr>
                <w:rFonts w:hint="eastAsia" w:ascii="Times New Roman" w:hAnsi="Times New Roman" w:cs="Times New Roman"/>
                <w:color w:val="000000" w:themeColor="text1"/>
                <w:sz w:val="24"/>
                <w:szCs w:val="24"/>
                <w:lang w:val="en-US" w:bidi="ar-SA"/>
              </w:rPr>
              <w:t>项目</w:t>
            </w:r>
            <w:r>
              <w:rPr>
                <w:rFonts w:hint="eastAsia" w:ascii="Times New Roman" w:hAnsi="Times New Roman"/>
                <w:color w:val="000000" w:themeColor="text1"/>
                <w:sz w:val="24"/>
                <w:szCs w:val="24"/>
                <w:lang w:val="en-US"/>
              </w:rPr>
              <w:t>设置</w:t>
            </w:r>
            <w:r>
              <w:rPr>
                <w:rFonts w:hint="eastAsia" w:ascii="Times New Roman" w:hAnsi="Times New Roman"/>
                <w:color w:val="000000" w:themeColor="text1"/>
                <w:sz w:val="24"/>
                <w:szCs w:val="24"/>
              </w:rPr>
              <w:t>通风排气设施</w:t>
            </w:r>
            <w:r>
              <w:rPr>
                <w:rFonts w:hint="eastAsia" w:ascii="Times New Roman" w:hAnsi="Times New Roman"/>
                <w:color w:val="000000" w:themeColor="text1"/>
              </w:rPr>
              <w:t>，</w:t>
            </w:r>
            <w:r>
              <w:rPr>
                <w:rFonts w:ascii="Times New Roman" w:hAnsi="Times New Roman" w:cs="Times New Roman"/>
                <w:color w:val="000000" w:themeColor="text1"/>
                <w:sz w:val="24"/>
                <w:szCs w:val="24"/>
                <w:lang w:val="en-US" w:bidi="ar-SA"/>
              </w:rPr>
              <w:t>影响基本在医院内，对外环境影响较小</w:t>
            </w:r>
            <w:r>
              <w:rPr>
                <w:rFonts w:hint="eastAsia" w:ascii="Times New Roman" w:hAnsi="Times New Roman" w:cs="Times New Roman"/>
                <w:color w:val="000000" w:themeColor="text1"/>
                <w:sz w:val="24"/>
                <w:szCs w:val="24"/>
                <w:lang w:val="en-US" w:bidi="ar-SA"/>
              </w:rPr>
              <w:t>。</w:t>
            </w:r>
          </w:p>
          <w:p w14:paraId="5D2E27BD">
            <w:pPr>
              <w:autoSpaceDE/>
              <w:autoSpaceDN/>
              <w:spacing w:line="360" w:lineRule="auto"/>
              <w:ind w:left="440" w:left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w:t>
            </w:r>
            <w:r>
              <w:rPr>
                <w:rFonts w:hint="eastAsia" w:ascii="Times New Roman" w:hAnsi="Times New Roman" w:cs="Times New Roman"/>
                <w:color w:val="000000" w:themeColor="text1"/>
                <w:kern w:val="2"/>
                <w:sz w:val="24"/>
                <w:szCs w:val="24"/>
                <w:lang w:val="en-US" w:bidi="ar-SA"/>
              </w:rPr>
              <w:t>2</w:t>
            </w:r>
            <w:r>
              <w:rPr>
                <w:rFonts w:ascii="Times New Roman" w:hAnsi="Times New Roman" w:cs="Times New Roman"/>
                <w:color w:val="000000" w:themeColor="text1"/>
                <w:kern w:val="2"/>
                <w:sz w:val="24"/>
                <w:szCs w:val="24"/>
                <w:lang w:val="en-US" w:bidi="ar-SA"/>
              </w:rPr>
              <w:t>）污水处理站、</w:t>
            </w:r>
            <w:r>
              <w:rPr>
                <w:rFonts w:hint="eastAsia" w:ascii="Times New Roman" w:hAnsi="Times New Roman" w:cs="Times New Roman"/>
                <w:color w:val="000000" w:themeColor="text1"/>
                <w:kern w:val="2"/>
                <w:sz w:val="24"/>
                <w:szCs w:val="24"/>
                <w:lang w:val="en-US" w:bidi="ar-SA"/>
              </w:rPr>
              <w:t>危险</w:t>
            </w:r>
            <w:r>
              <w:rPr>
                <w:rFonts w:ascii="Times New Roman" w:hAnsi="Times New Roman" w:cs="Times New Roman"/>
                <w:color w:val="000000" w:themeColor="text1"/>
                <w:kern w:val="2"/>
                <w:sz w:val="24"/>
                <w:szCs w:val="24"/>
                <w:lang w:val="en-US" w:bidi="ar-SA"/>
              </w:rPr>
              <w:t>废物暂存间和生活垃圾暂存装置产生的恶臭</w:t>
            </w:r>
          </w:p>
          <w:p w14:paraId="4EB75CD2">
            <w:pPr>
              <w:autoSpaceDE/>
              <w:autoSpaceDN/>
              <w:spacing w:line="360" w:lineRule="auto"/>
              <w:ind w:firstLine="480" w:firstLineChars="200"/>
              <w:jc w:val="both"/>
              <w:rPr>
                <w:rFonts w:ascii="Times New Roman" w:hAnsi="Times New Roman"/>
                <w:color w:val="000000" w:themeColor="text1"/>
                <w:sz w:val="24"/>
                <w:szCs w:val="24"/>
              </w:rPr>
            </w:pPr>
            <w:r>
              <w:rPr>
                <w:rFonts w:hint="eastAsia" w:ascii="Times New Roman" w:hAnsi="Times New Roman" w:cs="Times New Roman"/>
                <w:color w:val="000000" w:themeColor="text1"/>
                <w:kern w:val="2"/>
                <w:sz w:val="24"/>
                <w:szCs w:val="24"/>
                <w:lang w:val="en-US" w:bidi="ar-SA"/>
              </w:rPr>
              <w:t>本项目主要功能为医疗服务，项目</w:t>
            </w:r>
            <w:r>
              <w:rPr>
                <w:rFonts w:ascii="Times New Roman" w:hAnsi="Times New Roman" w:cs="Times New Roman"/>
                <w:color w:val="000000" w:themeColor="text1"/>
                <w:kern w:val="2"/>
                <w:sz w:val="24"/>
                <w:szCs w:val="24"/>
                <w:lang w:val="en-US" w:bidi="ar-SA"/>
              </w:rPr>
              <w:t>污水处理过程主要恶臭污染物为有机物分解产生的NH</w:t>
            </w:r>
            <w:r>
              <w:rPr>
                <w:rFonts w:ascii="Times New Roman" w:hAnsi="Times New Roman" w:cs="Times New Roman"/>
                <w:color w:val="000000" w:themeColor="text1"/>
                <w:kern w:val="2"/>
                <w:sz w:val="24"/>
                <w:szCs w:val="24"/>
                <w:vertAlign w:val="subscript"/>
                <w:lang w:val="en-US" w:bidi="ar-SA"/>
              </w:rPr>
              <w:t>3</w:t>
            </w:r>
            <w:r>
              <w:rPr>
                <w:rFonts w:ascii="Times New Roman" w:hAnsi="Times New Roman" w:cs="Times New Roman"/>
                <w:color w:val="000000" w:themeColor="text1"/>
                <w:kern w:val="2"/>
                <w:sz w:val="24"/>
                <w:szCs w:val="24"/>
                <w:lang w:val="en-US" w:bidi="ar-SA"/>
              </w:rPr>
              <w:t>和H</w:t>
            </w:r>
            <w:r>
              <w:rPr>
                <w:rFonts w:ascii="Times New Roman" w:hAnsi="Times New Roman" w:cs="Times New Roman"/>
                <w:color w:val="000000" w:themeColor="text1"/>
                <w:kern w:val="2"/>
                <w:sz w:val="24"/>
                <w:szCs w:val="24"/>
                <w:vertAlign w:val="subscript"/>
                <w:lang w:val="en-US" w:bidi="ar-SA"/>
              </w:rPr>
              <w:t>2</w:t>
            </w:r>
            <w:r>
              <w:rPr>
                <w:rFonts w:ascii="Times New Roman" w:hAnsi="Times New Roman" w:cs="Times New Roman"/>
                <w:color w:val="000000" w:themeColor="text1"/>
                <w:kern w:val="2"/>
                <w:sz w:val="24"/>
                <w:szCs w:val="24"/>
                <w:lang w:val="en-US" w:bidi="ar-SA"/>
              </w:rPr>
              <w:t>S等物质</w:t>
            </w:r>
            <w:r>
              <w:rPr>
                <w:rFonts w:hint="eastAsia" w:ascii="Times New Roman" w:hAnsi="Times New Roman" w:cs="Times New Roman"/>
                <w:color w:val="000000" w:themeColor="text1"/>
                <w:kern w:val="2"/>
                <w:sz w:val="24"/>
                <w:szCs w:val="24"/>
                <w:lang w:val="en-US" w:bidi="ar-SA"/>
              </w:rPr>
              <w:t>，且含有病菌。传染病预处理设施采用地埋式设计，全部设备为密闭结构，同时采用消佳净对地面进行消毒，污水处理站废气产生量较小，</w:t>
            </w:r>
            <w:r>
              <w:rPr>
                <w:rFonts w:ascii="Times New Roman" w:hAnsi="Times New Roman" w:cs="Times New Roman"/>
                <w:color w:val="000000" w:themeColor="text1"/>
                <w:kern w:val="2"/>
                <w:sz w:val="24"/>
                <w:szCs w:val="24"/>
                <w:lang w:val="en-US" w:bidi="ar-SA"/>
              </w:rPr>
              <w:t>属无组织排放</w:t>
            </w:r>
            <w:r>
              <w:rPr>
                <w:rFonts w:hint="eastAsia"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基本不对外环境造成影响</w:t>
            </w:r>
            <w:r>
              <w:rPr>
                <w:rFonts w:hint="eastAsia" w:ascii="Times New Roman" w:hAnsi="Times New Roman" w:cs="Times New Roman"/>
                <w:color w:val="000000" w:themeColor="text1"/>
                <w:kern w:val="2"/>
                <w:sz w:val="24"/>
                <w:szCs w:val="24"/>
                <w:lang w:val="en-US" w:bidi="ar-SA"/>
              </w:rPr>
              <w:t>。</w:t>
            </w:r>
          </w:p>
          <w:p w14:paraId="6B70B1FD">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sz w:val="24"/>
                <w:szCs w:val="24"/>
                <w:lang w:val="en-US" w:bidi="ar-SA"/>
              </w:rPr>
              <w:t>项目医疗废物</w:t>
            </w:r>
            <w:r>
              <w:rPr>
                <w:rFonts w:ascii="Times New Roman" w:hAnsi="Times New Roman" w:cs="Times New Roman"/>
                <w:color w:val="000000" w:themeColor="text1"/>
                <w:kern w:val="2"/>
                <w:sz w:val="24"/>
                <w:szCs w:val="24"/>
                <w:lang w:val="en-US" w:bidi="ar-SA"/>
              </w:rPr>
              <w:t>使用专用包装袋进行分类包装后放入周转箱内，集中</w:t>
            </w:r>
            <w:r>
              <w:rPr>
                <w:rFonts w:ascii="Times New Roman" w:hAnsi="Times New Roman" w:cs="Times New Roman"/>
                <w:color w:val="000000" w:themeColor="text1"/>
                <w:sz w:val="24"/>
                <w:szCs w:val="24"/>
                <w:lang w:val="en-US" w:bidi="ar-SA"/>
              </w:rPr>
              <w:t>储存于</w:t>
            </w:r>
            <w:r>
              <w:rPr>
                <w:rFonts w:hint="eastAsia" w:ascii="Times New Roman" w:hAnsi="Times New Roman" w:cs="Times New Roman"/>
                <w:color w:val="000000" w:themeColor="text1"/>
                <w:sz w:val="24"/>
                <w:szCs w:val="24"/>
                <w:lang w:val="en-US" w:bidi="ar-SA"/>
              </w:rPr>
              <w:t>原危险</w:t>
            </w:r>
            <w:r>
              <w:rPr>
                <w:rFonts w:ascii="Times New Roman" w:hAnsi="Times New Roman" w:cs="Times New Roman"/>
                <w:color w:val="000000" w:themeColor="text1"/>
                <w:sz w:val="24"/>
                <w:szCs w:val="24"/>
                <w:lang w:val="en-US" w:bidi="ar-SA"/>
              </w:rPr>
              <w:t>废物暂存间中，</w:t>
            </w:r>
            <w:r>
              <w:rPr>
                <w:rFonts w:hint="eastAsia" w:ascii="Times New Roman" w:hAnsi="Times New Roman" w:cs="Times New Roman"/>
                <w:color w:val="000000" w:themeColor="text1"/>
                <w:sz w:val="24"/>
                <w:szCs w:val="24"/>
                <w:lang w:val="en-US" w:bidi="ar-SA"/>
              </w:rPr>
              <w:t>原危险</w:t>
            </w:r>
            <w:r>
              <w:rPr>
                <w:rFonts w:ascii="Times New Roman" w:hAnsi="Times New Roman" w:cs="Times New Roman"/>
                <w:color w:val="000000" w:themeColor="text1"/>
                <w:kern w:val="2"/>
                <w:sz w:val="24"/>
                <w:szCs w:val="24"/>
                <w:lang w:val="en-US" w:bidi="ar-SA"/>
              </w:rPr>
              <w:t>废物暂存间</w:t>
            </w:r>
            <w:r>
              <w:rPr>
                <w:rFonts w:hint="eastAsia" w:ascii="Times New Roman" w:hAnsi="Times New Roman" w:cs="Times New Roman"/>
                <w:color w:val="000000" w:themeColor="text1"/>
                <w:kern w:val="2"/>
                <w:sz w:val="24"/>
                <w:szCs w:val="24"/>
                <w:lang w:val="en-US" w:bidi="ar-SA"/>
              </w:rPr>
              <w:t>已</w:t>
            </w:r>
            <w:r>
              <w:rPr>
                <w:rFonts w:ascii="Times New Roman" w:hAnsi="Times New Roman" w:cs="Times New Roman"/>
                <w:color w:val="000000" w:themeColor="text1"/>
                <w:kern w:val="2"/>
                <w:sz w:val="24"/>
                <w:szCs w:val="24"/>
                <w:lang w:val="en-US" w:bidi="ar-SA"/>
              </w:rPr>
              <w:t>设置防渗漏、防鼠、防蚊蝇以及预防儿童接触等安全措施，并定期对</w:t>
            </w:r>
            <w:r>
              <w:rPr>
                <w:rFonts w:hint="eastAsia" w:ascii="Times New Roman" w:hAnsi="Times New Roman" w:cs="Times New Roman"/>
                <w:color w:val="000000" w:themeColor="text1"/>
                <w:kern w:val="2"/>
                <w:sz w:val="24"/>
                <w:szCs w:val="24"/>
                <w:lang w:val="en-US" w:bidi="ar-SA"/>
              </w:rPr>
              <w:t>危险</w:t>
            </w:r>
            <w:r>
              <w:rPr>
                <w:rFonts w:ascii="Times New Roman" w:hAnsi="Times New Roman" w:cs="Times New Roman"/>
                <w:color w:val="000000" w:themeColor="text1"/>
                <w:kern w:val="2"/>
                <w:sz w:val="24"/>
                <w:szCs w:val="24"/>
                <w:lang w:val="en-US" w:bidi="ar-SA"/>
              </w:rPr>
              <w:t>废物暂存间进行消毒和清洁处理</w:t>
            </w:r>
            <w:r>
              <w:rPr>
                <w:rFonts w:hint="eastAsia"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经采取上述措施后，</w:t>
            </w:r>
            <w:r>
              <w:rPr>
                <w:rFonts w:hint="eastAsia" w:ascii="Times New Roman" w:hAnsi="Times New Roman" w:cs="Times New Roman"/>
                <w:color w:val="000000" w:themeColor="text1"/>
                <w:kern w:val="2"/>
                <w:sz w:val="24"/>
                <w:szCs w:val="24"/>
                <w:lang w:val="en-US" w:bidi="ar-SA"/>
              </w:rPr>
              <w:t>危险</w:t>
            </w:r>
            <w:r>
              <w:rPr>
                <w:rFonts w:ascii="Times New Roman" w:hAnsi="Times New Roman" w:cs="Times New Roman"/>
                <w:color w:val="000000" w:themeColor="text1"/>
                <w:kern w:val="2"/>
                <w:sz w:val="24"/>
                <w:szCs w:val="24"/>
                <w:lang w:val="en-US" w:bidi="ar-SA"/>
              </w:rPr>
              <w:t>废物暂存间产生的恶臭气体较少，</w:t>
            </w:r>
            <w:r>
              <w:rPr>
                <w:rFonts w:hint="eastAsia" w:ascii="Times New Roman" w:hAnsi="Times New Roman" w:cs="Times New Roman"/>
                <w:color w:val="000000" w:themeColor="text1"/>
                <w:kern w:val="2"/>
                <w:sz w:val="24"/>
                <w:szCs w:val="24"/>
                <w:lang w:val="en-US" w:bidi="ar-SA"/>
              </w:rPr>
              <w:t>且本项目新增医疗废物量较少，</w:t>
            </w:r>
            <w:r>
              <w:rPr>
                <w:rFonts w:ascii="Times New Roman" w:hAnsi="Times New Roman" w:cs="Times New Roman"/>
                <w:color w:val="000000" w:themeColor="text1"/>
                <w:kern w:val="2"/>
                <w:sz w:val="24"/>
                <w:szCs w:val="24"/>
                <w:lang w:val="en-US" w:bidi="ar-SA"/>
              </w:rPr>
              <w:t>基本不对外环境造成影响。</w:t>
            </w:r>
          </w:p>
          <w:p w14:paraId="5D691E9C">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此外，</w:t>
            </w:r>
            <w:r>
              <w:rPr>
                <w:rFonts w:ascii="Times New Roman" w:hAnsi="Times New Roman" w:cs="Times New Roman"/>
                <w:bCs/>
                <w:color w:val="000000" w:themeColor="text1"/>
                <w:kern w:val="2"/>
                <w:sz w:val="24"/>
                <w:szCs w:val="24"/>
                <w:lang w:val="en-US" w:bidi="ar-SA"/>
              </w:rPr>
              <w:t>项目设有垃圾桶若干，</w:t>
            </w:r>
            <w:r>
              <w:rPr>
                <w:rFonts w:ascii="Times New Roman" w:hAnsi="Times New Roman" w:cs="Times New Roman"/>
                <w:color w:val="000000" w:themeColor="text1"/>
                <w:kern w:val="2"/>
                <w:sz w:val="24"/>
                <w:szCs w:val="24"/>
                <w:lang w:val="en-US" w:bidi="ar-SA"/>
              </w:rPr>
              <w:t>为避免垃圾臭气影响项目内外人群，垃圾日清日运，派专人进行清扫，定期消毒，加强日常管理，最大限度地降低对环境的不利影响</w:t>
            </w:r>
            <w:r>
              <w:rPr>
                <w:rFonts w:hint="eastAsia" w:ascii="Times New Roman" w:hAnsi="Times New Roman" w:cs="Times New Roman"/>
                <w:color w:val="000000" w:themeColor="text1"/>
                <w:kern w:val="2"/>
                <w:sz w:val="24"/>
                <w:szCs w:val="24"/>
                <w:lang w:val="en-US" w:bidi="ar-SA"/>
              </w:rPr>
              <w:t>。</w:t>
            </w:r>
          </w:p>
          <w:p w14:paraId="24C82F80">
            <w:pPr>
              <w:adjustRightInd w:val="0"/>
              <w:spacing w:line="360" w:lineRule="auto"/>
              <w:ind w:left="480"/>
              <w:rPr>
                <w:rFonts w:ascii="Times New Roman" w:hAnsi="Times New Roman" w:cs="Times New Roman"/>
                <w:color w:val="000000" w:themeColor="text1"/>
                <w:sz w:val="24"/>
                <w:szCs w:val="24"/>
                <w:lang w:val="en-US" w:bidi="ar-SA"/>
              </w:rPr>
            </w:pPr>
            <w:r>
              <w:rPr>
                <w:rFonts w:ascii="Times New Roman" w:hAnsi="Times New Roman" w:cs="Times New Roman"/>
                <w:color w:val="000000" w:themeColor="text1"/>
                <w:sz w:val="24"/>
                <w:szCs w:val="24"/>
                <w:lang w:val="en-US" w:bidi="ar-SA"/>
              </w:rPr>
              <w:t>（</w:t>
            </w:r>
            <w:r>
              <w:rPr>
                <w:rFonts w:hint="eastAsia" w:ascii="Times New Roman" w:hAnsi="Times New Roman" w:cs="Times New Roman"/>
                <w:color w:val="000000" w:themeColor="text1"/>
                <w:sz w:val="24"/>
                <w:szCs w:val="24"/>
                <w:lang w:val="en-US" w:bidi="ar-SA"/>
              </w:rPr>
              <w:t>3</w:t>
            </w:r>
            <w:r>
              <w:rPr>
                <w:rFonts w:ascii="Times New Roman" w:hAnsi="Times New Roman" w:cs="Times New Roman"/>
                <w:color w:val="000000" w:themeColor="text1"/>
                <w:sz w:val="24"/>
                <w:szCs w:val="24"/>
                <w:lang w:val="en-US" w:bidi="ar-SA"/>
              </w:rPr>
              <w:t>）</w:t>
            </w:r>
            <w:r>
              <w:rPr>
                <w:rFonts w:hint="eastAsia" w:ascii="Times New Roman" w:hAnsi="Times New Roman" w:cs="Times New Roman"/>
                <w:color w:val="000000" w:themeColor="text1"/>
                <w:sz w:val="24"/>
                <w:szCs w:val="24"/>
                <w:lang w:val="en-US" w:bidi="ar-SA"/>
              </w:rPr>
              <w:t>带菌废</w:t>
            </w:r>
            <w:r>
              <w:rPr>
                <w:rFonts w:ascii="Times New Roman" w:hAnsi="Times New Roman" w:cs="Times New Roman"/>
                <w:color w:val="000000" w:themeColor="text1"/>
                <w:sz w:val="24"/>
                <w:szCs w:val="24"/>
                <w:lang w:val="en-US" w:bidi="ar-SA"/>
              </w:rPr>
              <w:t>气</w:t>
            </w:r>
          </w:p>
          <w:p w14:paraId="2ED2F966">
            <w:pPr>
              <w:spacing w:line="360" w:lineRule="auto"/>
              <w:ind w:firstLine="480" w:firstLineChars="200"/>
              <w:rPr>
                <w:rFonts w:ascii="Times New Roman" w:hAnsi="Times New Roman" w:cs="Times New Roman"/>
                <w:color w:val="000000" w:themeColor="text1"/>
                <w:sz w:val="24"/>
                <w:szCs w:val="24"/>
                <w:lang w:val="en-US" w:bidi="ar-SA"/>
              </w:rPr>
            </w:pPr>
            <w:r>
              <w:rPr>
                <w:rFonts w:ascii="Times New Roman" w:hAnsi="Times New Roman" w:cs="Times New Roman"/>
                <w:color w:val="000000" w:themeColor="text1"/>
                <w:sz w:val="24"/>
              </w:rPr>
              <w:t>基于病毒致病机理、条件等差异，对本项目产生含细菌气体可能对周围环境的影响很难</w:t>
            </w:r>
            <w:r>
              <w:rPr>
                <w:rFonts w:hint="eastAsia" w:ascii="Times New Roman" w:hAnsi="Times New Roman" w:cs="Times New Roman"/>
                <w:color w:val="000000" w:themeColor="text1"/>
                <w:sz w:val="24"/>
              </w:rPr>
              <w:t>做</w:t>
            </w:r>
            <w:r>
              <w:rPr>
                <w:rFonts w:ascii="Times New Roman" w:hAnsi="Times New Roman" w:cs="Times New Roman"/>
                <w:color w:val="000000" w:themeColor="text1"/>
                <w:sz w:val="24"/>
              </w:rPr>
              <w:t>准确的定量分析。病菌废气主要来源于各病房、科室等。但经过对病房、科室等定期的消毒处理，</w:t>
            </w:r>
            <w:r>
              <w:rPr>
                <w:rFonts w:hint="eastAsia" w:ascii="Times New Roman" w:hAnsi="Times New Roman"/>
                <w:color w:val="000000" w:themeColor="text1"/>
                <w:sz w:val="24"/>
                <w:szCs w:val="24"/>
                <w:lang w:val="en-US"/>
              </w:rPr>
              <w:t>设置</w:t>
            </w:r>
            <w:r>
              <w:rPr>
                <w:rFonts w:hint="eastAsia" w:ascii="Times New Roman" w:hAnsi="Times New Roman"/>
                <w:color w:val="000000" w:themeColor="text1"/>
                <w:sz w:val="24"/>
                <w:szCs w:val="24"/>
              </w:rPr>
              <w:t>通风排气设施</w:t>
            </w:r>
            <w:r>
              <w:rPr>
                <w:rFonts w:hint="eastAsia" w:ascii="Times New Roman" w:hAnsi="Times New Roman"/>
                <w:color w:val="000000" w:themeColor="text1"/>
              </w:rPr>
              <w:t>，</w:t>
            </w:r>
            <w:r>
              <w:rPr>
                <w:rFonts w:ascii="Times New Roman" w:hAnsi="Times New Roman" w:cs="Times New Roman"/>
                <w:color w:val="000000" w:themeColor="text1"/>
                <w:sz w:val="24"/>
              </w:rPr>
              <w:t>能有效</w:t>
            </w:r>
            <w:r>
              <w:rPr>
                <w:rFonts w:hint="eastAsia" w:ascii="Times New Roman" w:hAnsi="Times New Roman" w:cs="Times New Roman"/>
                <w:color w:val="000000" w:themeColor="text1"/>
                <w:sz w:val="24"/>
              </w:rPr>
              <w:t>减少</w:t>
            </w:r>
            <w:r>
              <w:rPr>
                <w:rFonts w:ascii="Times New Roman" w:hAnsi="Times New Roman" w:cs="Times New Roman"/>
                <w:color w:val="000000" w:themeColor="text1"/>
                <w:sz w:val="24"/>
              </w:rPr>
              <w:t>空气中病菌含量，使其对周围环境产生影响较小。</w:t>
            </w:r>
            <w:r>
              <w:rPr>
                <w:rFonts w:hint="eastAsia" w:ascii="Times New Roman" w:hAnsi="Times New Roman" w:cs="Times New Roman"/>
                <w:color w:val="000000" w:themeColor="text1"/>
                <w:sz w:val="24"/>
              </w:rPr>
              <w:t xml:space="preserve">  </w:t>
            </w:r>
          </w:p>
          <w:p w14:paraId="6EB684DC">
            <w:pPr>
              <w:adjustRightInd w:val="0"/>
              <w:spacing w:line="360" w:lineRule="auto"/>
              <w:ind w:left="480"/>
              <w:rPr>
                <w:rFonts w:ascii="Times New Roman" w:hAnsi="Times New Roman" w:cs="Times New Roman"/>
                <w:color w:val="000000" w:themeColor="text1"/>
                <w:sz w:val="24"/>
                <w:szCs w:val="24"/>
                <w:lang w:val="en-US" w:bidi="ar-SA"/>
              </w:rPr>
            </w:pPr>
            <w:r>
              <w:rPr>
                <w:rFonts w:ascii="Times New Roman" w:hAnsi="Times New Roman" w:cs="Times New Roman"/>
                <w:color w:val="000000" w:themeColor="text1"/>
                <w:sz w:val="24"/>
                <w:szCs w:val="24"/>
                <w:lang w:val="en-US" w:bidi="ar-SA"/>
              </w:rPr>
              <w:t>（</w:t>
            </w:r>
            <w:r>
              <w:rPr>
                <w:rFonts w:hint="eastAsia" w:ascii="Times New Roman" w:hAnsi="Times New Roman" w:cs="Times New Roman"/>
                <w:color w:val="000000" w:themeColor="text1"/>
                <w:sz w:val="24"/>
                <w:szCs w:val="24"/>
                <w:lang w:val="en-US" w:bidi="ar-SA"/>
              </w:rPr>
              <w:t>4</w:t>
            </w:r>
            <w:r>
              <w:rPr>
                <w:rFonts w:ascii="Times New Roman" w:hAnsi="Times New Roman" w:cs="Times New Roman"/>
                <w:color w:val="000000" w:themeColor="text1"/>
                <w:sz w:val="24"/>
                <w:szCs w:val="24"/>
                <w:lang w:val="en-US" w:bidi="ar-SA"/>
              </w:rPr>
              <w:t>）汽车尾气</w:t>
            </w:r>
          </w:p>
          <w:p w14:paraId="6B13DEB6">
            <w:pPr>
              <w:adjustRightInd w:val="0"/>
              <w:spacing w:line="360" w:lineRule="auto"/>
              <w:ind w:firstLine="480" w:firstLineChars="200"/>
              <w:rPr>
                <w:rFonts w:ascii="Times New Roman" w:hAnsi="Times New Roman" w:cs="Times New Roman"/>
                <w:color w:val="000000" w:themeColor="text1"/>
                <w:sz w:val="24"/>
                <w:szCs w:val="24"/>
                <w:lang w:val="en-US" w:bidi="ar-SA"/>
              </w:rPr>
            </w:pPr>
            <w:r>
              <w:rPr>
                <w:rFonts w:ascii="Times New Roman" w:hAnsi="Times New Roman" w:cs="Times New Roman"/>
                <w:color w:val="000000" w:themeColor="text1"/>
                <w:sz w:val="24"/>
                <w:szCs w:val="24"/>
                <w:lang w:val="en-US" w:bidi="ar-SA"/>
              </w:rPr>
              <w:t>项目</w:t>
            </w:r>
            <w:r>
              <w:rPr>
                <w:rFonts w:hint="eastAsia" w:ascii="Times New Roman" w:hAnsi="Times New Roman" w:cs="Times New Roman"/>
                <w:color w:val="000000" w:themeColor="text1"/>
                <w:sz w:val="24"/>
                <w:szCs w:val="24"/>
                <w:lang w:val="en-US" w:bidi="ar-SA"/>
              </w:rPr>
              <w:t>不新建停车场，依托项目北侧医院原有停车场，该停车场停车位80个，新增</w:t>
            </w:r>
            <w:r>
              <w:rPr>
                <w:rFonts w:ascii="Times New Roman" w:hAnsi="Times New Roman" w:cs="Times New Roman"/>
                <w:color w:val="000000" w:themeColor="text1"/>
                <w:sz w:val="24"/>
                <w:szCs w:val="24"/>
                <w:lang w:val="en-US" w:bidi="ar-SA"/>
              </w:rPr>
              <w:t>来往车辆将产生汽车尾气，主要含有NO</w:t>
            </w:r>
            <w:r>
              <w:rPr>
                <w:rFonts w:ascii="Times New Roman" w:hAnsi="Times New Roman" w:cs="Times New Roman"/>
                <w:color w:val="000000" w:themeColor="text1"/>
                <w:sz w:val="24"/>
                <w:szCs w:val="24"/>
                <w:vertAlign w:val="subscript"/>
                <w:lang w:val="en-US" w:bidi="ar-SA"/>
              </w:rPr>
              <w:t>x</w:t>
            </w:r>
            <w:r>
              <w:rPr>
                <w:rFonts w:ascii="Times New Roman" w:hAnsi="Times New Roman" w:cs="Times New Roman"/>
                <w:color w:val="000000" w:themeColor="text1"/>
                <w:sz w:val="24"/>
                <w:szCs w:val="24"/>
                <w:lang w:val="en-US" w:bidi="ar-SA"/>
              </w:rPr>
              <w:t>、CO、TSP和未完全燃烧的碳氢化合物THC。停车</w:t>
            </w:r>
            <w:r>
              <w:rPr>
                <w:rFonts w:hint="eastAsia" w:ascii="Times New Roman" w:hAnsi="Times New Roman" w:cs="Times New Roman"/>
                <w:color w:val="000000" w:themeColor="text1"/>
                <w:sz w:val="24"/>
                <w:szCs w:val="24"/>
                <w:lang w:val="en-US" w:bidi="ar-SA"/>
              </w:rPr>
              <w:t>场</w:t>
            </w:r>
            <w:r>
              <w:rPr>
                <w:rFonts w:ascii="Times New Roman" w:hAnsi="Times New Roman" w:cs="Times New Roman"/>
                <w:color w:val="000000" w:themeColor="text1"/>
                <w:sz w:val="24"/>
                <w:szCs w:val="24"/>
                <w:lang w:val="en-US" w:bidi="ar-SA"/>
              </w:rPr>
              <w:t>为地面停车位，周围有绿化，由于停车位较分散，</w:t>
            </w:r>
            <w:r>
              <w:rPr>
                <w:rFonts w:ascii="Times New Roman" w:hAnsi="Times New Roman" w:cs="Times New Roman"/>
                <w:snapToGrid w:val="0"/>
                <w:color w:val="000000" w:themeColor="text1"/>
                <w:kern w:val="18"/>
                <w:sz w:val="24"/>
                <w:szCs w:val="24"/>
                <w:lang w:val="en-US" w:bidi="ar-SA"/>
              </w:rPr>
              <w:t>启动时间较短，因此废气产生量小；</w:t>
            </w:r>
            <w:r>
              <w:rPr>
                <w:rFonts w:ascii="Times New Roman" w:hAnsi="Times New Roman" w:cs="Times New Roman"/>
                <w:color w:val="000000" w:themeColor="text1"/>
                <w:sz w:val="24"/>
                <w:szCs w:val="24"/>
                <w:lang w:val="en-US" w:bidi="ar-SA"/>
              </w:rPr>
              <w:t>且位于地面，</w:t>
            </w:r>
            <w:r>
              <w:rPr>
                <w:rFonts w:ascii="Times New Roman" w:hAnsi="Times New Roman" w:cs="Times New Roman"/>
                <w:snapToGrid w:val="0"/>
                <w:color w:val="000000" w:themeColor="text1"/>
                <w:kern w:val="18"/>
                <w:sz w:val="24"/>
                <w:szCs w:val="24"/>
                <w:lang w:val="en-US" w:bidi="ar-SA"/>
              </w:rPr>
              <w:t>在露天空旷条件下</w:t>
            </w:r>
            <w:r>
              <w:rPr>
                <w:rFonts w:ascii="Times New Roman" w:hAnsi="Times New Roman" w:cs="Times New Roman"/>
                <w:color w:val="000000" w:themeColor="text1"/>
                <w:sz w:val="24"/>
                <w:szCs w:val="24"/>
                <w:lang w:val="en-US" w:bidi="ar-SA"/>
              </w:rPr>
              <w:t>大气扩散能力较好，对周围环境影响较小。</w:t>
            </w:r>
          </w:p>
          <w:p w14:paraId="7453D071">
            <w:pPr>
              <w:pStyle w:val="41"/>
              <w:ind w:firstLine="464"/>
              <w:rPr>
                <w:color w:val="000000" w:themeColor="text1"/>
                <w:spacing w:val="-4"/>
              </w:rPr>
            </w:pPr>
            <w:r>
              <w:rPr>
                <w:rFonts w:hint="eastAsia"/>
                <w:color w:val="000000" w:themeColor="text1"/>
                <w:spacing w:val="-4"/>
              </w:rPr>
              <w:t>（5）食堂油烟</w:t>
            </w:r>
          </w:p>
          <w:p w14:paraId="4E7087A5">
            <w:pPr>
              <w:spacing w:line="360" w:lineRule="auto"/>
              <w:ind w:firstLine="464" w:firstLineChars="200"/>
              <w:rPr>
                <w:rFonts w:ascii="Times New Roman" w:hAnsi="Times New Roman" w:cs="Times New Roman"/>
                <w:color w:val="000000" w:themeColor="text1"/>
                <w:sz w:val="24"/>
                <w:szCs w:val="24"/>
                <w:lang w:bidi="ar"/>
              </w:rPr>
            </w:pPr>
            <w:r>
              <w:rPr>
                <w:rFonts w:ascii="Times New Roman" w:hAnsi="Times New Roman" w:cs="Times New Roman"/>
                <w:color w:val="000000" w:themeColor="text1"/>
                <w:spacing w:val="-4"/>
                <w:sz w:val="24"/>
                <w:szCs w:val="24"/>
              </w:rPr>
              <w:t>项目</w:t>
            </w:r>
            <w:r>
              <w:rPr>
                <w:rFonts w:ascii="Times New Roman" w:hAnsi="Times New Roman" w:cs="Times New Roman"/>
                <w:color w:val="000000" w:themeColor="text1"/>
                <w:spacing w:val="-4"/>
                <w:sz w:val="24"/>
                <w:szCs w:val="24"/>
                <w:lang w:val="en-US"/>
              </w:rPr>
              <w:t>依托医院原有</w:t>
            </w:r>
            <w:r>
              <w:rPr>
                <w:rFonts w:ascii="Times New Roman" w:hAnsi="Times New Roman" w:cs="Times New Roman"/>
                <w:color w:val="000000" w:themeColor="text1"/>
                <w:spacing w:val="-4"/>
                <w:sz w:val="24"/>
                <w:szCs w:val="24"/>
              </w:rPr>
              <w:t>食堂，食堂采用</w:t>
            </w:r>
            <w:r>
              <w:rPr>
                <w:rFonts w:ascii="Times New Roman" w:hAnsi="Times New Roman" w:cs="Times New Roman"/>
                <w:color w:val="000000" w:themeColor="text1"/>
                <w:spacing w:val="-4"/>
                <w:sz w:val="24"/>
                <w:szCs w:val="24"/>
                <w:lang w:val="en-US"/>
              </w:rPr>
              <w:t>天然</w:t>
            </w:r>
            <w:r>
              <w:rPr>
                <w:rFonts w:ascii="Times New Roman" w:hAnsi="Times New Roman" w:cs="Times New Roman"/>
                <w:color w:val="000000" w:themeColor="text1"/>
                <w:spacing w:val="-4"/>
                <w:sz w:val="24"/>
                <w:szCs w:val="24"/>
              </w:rPr>
              <w:t>气作为能源，属于清洁能源</w:t>
            </w:r>
            <w:r>
              <w:rPr>
                <w:rFonts w:ascii="Times New Roman" w:hAnsi="Times New Roman" w:cs="Times New Roman"/>
                <w:color w:val="000000" w:themeColor="text1"/>
                <w:sz w:val="24"/>
                <w:szCs w:val="24"/>
                <w:lang w:bidi="ar"/>
              </w:rPr>
              <w:t>，完全燃烧后的产物主要为二氧化碳和水蒸气，对周围环境空气影响很小。厨房日常烹饪过程中将产生油烟。</w:t>
            </w:r>
            <w:r>
              <w:rPr>
                <w:rFonts w:hint="eastAsia" w:ascii="Times New Roman" w:hAnsi="Times New Roman" w:cs="Times New Roman"/>
                <w:color w:val="000000" w:themeColor="text1"/>
                <w:kern w:val="2"/>
                <w:sz w:val="24"/>
                <w:szCs w:val="24"/>
                <w:lang w:val="en-US" w:bidi="ar-SA"/>
              </w:rPr>
              <w:t>项目职工为内部调配，全院无新增职工，本项目新增</w:t>
            </w:r>
            <w:r>
              <w:rPr>
                <w:rFonts w:ascii="Times New Roman" w:hAnsi="Times New Roman" w:cs="Times New Roman"/>
                <w:color w:val="000000" w:themeColor="text1"/>
                <w:sz w:val="24"/>
                <w:szCs w:val="24"/>
                <w:lang w:bidi="ar"/>
              </w:rPr>
              <w:t>最大就餐人员约</w:t>
            </w:r>
            <w:r>
              <w:rPr>
                <w:rFonts w:hint="eastAsia" w:ascii="Times New Roman" w:hAnsi="Times New Roman" w:cs="Times New Roman"/>
                <w:color w:val="000000" w:themeColor="text1"/>
                <w:sz w:val="24"/>
                <w:szCs w:val="24"/>
                <w:lang w:val="en-US" w:bidi="ar"/>
              </w:rPr>
              <w:t>204</w:t>
            </w:r>
            <w:r>
              <w:rPr>
                <w:rFonts w:ascii="Times New Roman" w:hAnsi="Times New Roman" w:cs="Times New Roman"/>
                <w:color w:val="000000" w:themeColor="text1"/>
                <w:sz w:val="24"/>
                <w:szCs w:val="24"/>
                <w:lang w:bidi="ar"/>
              </w:rPr>
              <w:t>人（住院病人204人），</w:t>
            </w:r>
            <w:r>
              <w:rPr>
                <w:rFonts w:hint="eastAsia" w:ascii="Times New Roman" w:hAnsi="Times New Roman" w:cs="Times New Roman"/>
                <w:color w:val="000000" w:themeColor="text1"/>
                <w:sz w:val="24"/>
                <w:szCs w:val="24"/>
                <w:lang w:val="en-US" w:bidi="ar"/>
              </w:rPr>
              <w:t>医院（含在建项目）最大就餐人员约952人（职工423人，住院病人529人），</w:t>
            </w:r>
            <w:r>
              <w:rPr>
                <w:rFonts w:ascii="Times New Roman" w:hAnsi="Times New Roman" w:cs="Times New Roman"/>
                <w:color w:val="000000" w:themeColor="text1"/>
                <w:sz w:val="24"/>
                <w:szCs w:val="24"/>
                <w:lang w:bidi="ar"/>
              </w:rPr>
              <w:t>根据《生活污染源产排污系数手册》中第三部分-生活及其他大气污染物排放系数中表3-1，一区（地域分类，广西为一区）餐饮油烟排放量为165g/（人·年）。食堂油烟</w:t>
            </w:r>
            <w:r>
              <w:rPr>
                <w:rFonts w:ascii="Times New Roman" w:hAnsi="Times New Roman" w:cs="Times New Roman"/>
                <w:color w:val="000000" w:themeColor="text1"/>
                <w:sz w:val="24"/>
                <w:szCs w:val="24"/>
                <w:lang w:val="en-US" w:bidi="ar"/>
              </w:rPr>
              <w:t>依托原有项目</w:t>
            </w:r>
            <w:r>
              <w:rPr>
                <w:rFonts w:ascii="Times New Roman" w:hAnsi="Times New Roman" w:cs="Times New Roman"/>
                <w:color w:val="000000" w:themeColor="text1"/>
                <w:sz w:val="24"/>
                <w:szCs w:val="24"/>
                <w:lang w:bidi="ar"/>
              </w:rPr>
              <w:t>油烟净化器处理后经楼顶排放，风机风量为</w:t>
            </w:r>
            <w:r>
              <w:rPr>
                <w:rFonts w:hint="eastAsia" w:ascii="Times New Roman" w:hAnsi="Times New Roman" w:cs="Times New Roman"/>
                <w:bCs/>
                <w:color w:val="000000" w:themeColor="text1"/>
                <w:kern w:val="2"/>
                <w:sz w:val="24"/>
                <w:szCs w:val="24"/>
                <w:lang w:val="en-US"/>
              </w:rPr>
              <w:t>8</w:t>
            </w:r>
            <w:r>
              <w:rPr>
                <w:rFonts w:ascii="Times New Roman" w:hAnsi="Times New Roman" w:cs="Times New Roman"/>
                <w:bCs/>
                <w:color w:val="000000" w:themeColor="text1"/>
                <w:kern w:val="2"/>
                <w:sz w:val="24"/>
                <w:szCs w:val="24"/>
              </w:rPr>
              <w:t>000m</w:t>
            </w:r>
            <w:r>
              <w:rPr>
                <w:rFonts w:ascii="Times New Roman" w:hAnsi="Times New Roman" w:cs="Times New Roman"/>
                <w:bCs/>
                <w:color w:val="000000" w:themeColor="text1"/>
                <w:kern w:val="2"/>
                <w:sz w:val="24"/>
                <w:szCs w:val="24"/>
                <w:vertAlign w:val="superscript"/>
              </w:rPr>
              <w:t>3</w:t>
            </w:r>
            <w:r>
              <w:rPr>
                <w:rFonts w:ascii="Times New Roman" w:hAnsi="Times New Roman" w:cs="Times New Roman"/>
                <w:bCs/>
                <w:color w:val="000000" w:themeColor="text1"/>
                <w:kern w:val="2"/>
                <w:sz w:val="24"/>
                <w:szCs w:val="24"/>
              </w:rPr>
              <w:t>/h</w:t>
            </w:r>
            <w:r>
              <w:rPr>
                <w:rFonts w:ascii="Times New Roman" w:hAnsi="Times New Roman" w:cs="Times New Roman"/>
                <w:color w:val="000000" w:themeColor="text1"/>
                <w:sz w:val="24"/>
                <w:szCs w:val="24"/>
                <w:lang w:bidi="ar"/>
              </w:rPr>
              <w:t>，烹饪时间为</w:t>
            </w:r>
            <w:r>
              <w:rPr>
                <w:rFonts w:hint="eastAsia" w:ascii="Times New Roman" w:hAnsi="Times New Roman" w:cs="Times New Roman"/>
                <w:color w:val="000000" w:themeColor="text1"/>
                <w:sz w:val="24"/>
                <w:szCs w:val="24"/>
                <w:lang w:val="en-US" w:bidi="ar"/>
              </w:rPr>
              <w:t>5</w:t>
            </w:r>
            <w:r>
              <w:rPr>
                <w:rFonts w:ascii="Times New Roman" w:hAnsi="Times New Roman" w:cs="Times New Roman"/>
                <w:color w:val="000000" w:themeColor="text1"/>
                <w:sz w:val="24"/>
                <w:szCs w:val="24"/>
                <w:lang w:bidi="ar"/>
              </w:rPr>
              <w:t>h/d，油烟处理效率按</w:t>
            </w:r>
            <w:r>
              <w:rPr>
                <w:rFonts w:ascii="Times New Roman" w:hAnsi="Times New Roman" w:cs="Times New Roman"/>
                <w:bCs/>
                <w:color w:val="000000" w:themeColor="text1"/>
                <w:kern w:val="2"/>
                <w:sz w:val="24"/>
                <w:szCs w:val="24"/>
              </w:rPr>
              <w:t>85%</w:t>
            </w:r>
            <w:r>
              <w:rPr>
                <w:rFonts w:ascii="Times New Roman" w:hAnsi="Times New Roman" w:cs="Times New Roman"/>
                <w:color w:val="000000" w:themeColor="text1"/>
                <w:sz w:val="24"/>
                <w:szCs w:val="24"/>
                <w:lang w:bidi="ar"/>
              </w:rPr>
              <w:t>计，则食堂油烟产排情况如下表：</w:t>
            </w:r>
          </w:p>
          <w:p w14:paraId="4E10A3E0">
            <w:pPr>
              <w:spacing w:line="360" w:lineRule="auto"/>
              <w:jc w:val="center"/>
              <w:rPr>
                <w:rFonts w:ascii="Times New Roman" w:hAnsi="Times New Roman" w:cs="Times New Roman" w:eastAsiaTheme="minorEastAsia"/>
                <w:b/>
                <w:bCs/>
                <w:color w:val="000000" w:themeColor="text1"/>
                <w:szCs w:val="24"/>
                <w:lang w:val="zh-TW" w:eastAsia="zh-TW"/>
              </w:rPr>
            </w:pPr>
            <w:r>
              <w:rPr>
                <w:rFonts w:ascii="Times New Roman" w:hAnsi="Times New Roman" w:cs="Times New Roman" w:eastAsiaTheme="minorEastAsia"/>
                <w:b/>
                <w:bCs/>
                <w:color w:val="000000" w:themeColor="text1"/>
                <w:szCs w:val="24"/>
                <w:lang w:val="zh-TW" w:eastAsia="zh-TW"/>
              </w:rPr>
              <w:t>表</w:t>
            </w:r>
            <w:r>
              <w:rPr>
                <w:rFonts w:ascii="Times New Roman" w:hAnsi="Times New Roman" w:cs="Times New Roman" w:eastAsiaTheme="minorEastAsia"/>
                <w:b/>
                <w:bCs/>
                <w:color w:val="000000" w:themeColor="text1"/>
                <w:szCs w:val="24"/>
              </w:rPr>
              <w:t>4-1</w:t>
            </w:r>
            <w:r>
              <w:rPr>
                <w:rFonts w:ascii="Times New Roman" w:hAnsi="Times New Roman" w:cs="Times New Roman" w:eastAsiaTheme="minorEastAsia"/>
                <w:b/>
                <w:bCs/>
                <w:color w:val="000000" w:themeColor="text1"/>
                <w:szCs w:val="24"/>
                <w:lang w:val="zh-TW"/>
              </w:rPr>
              <w:t>食堂油烟</w:t>
            </w:r>
            <w:r>
              <w:rPr>
                <w:rFonts w:ascii="Times New Roman" w:hAnsi="Times New Roman" w:cs="Times New Roman" w:eastAsiaTheme="minorEastAsia"/>
                <w:b/>
                <w:bCs/>
                <w:color w:val="000000" w:themeColor="text1"/>
                <w:szCs w:val="24"/>
                <w:lang w:val="zh-TW" w:eastAsia="zh-TW"/>
              </w:rPr>
              <w:t>产排情况一览表</w:t>
            </w:r>
          </w:p>
          <w:tbl>
            <w:tblPr>
              <w:tblStyle w:val="27"/>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669"/>
              <w:gridCol w:w="903"/>
              <w:gridCol w:w="853"/>
              <w:gridCol w:w="890"/>
              <w:gridCol w:w="1517"/>
              <w:gridCol w:w="819"/>
              <w:gridCol w:w="880"/>
              <w:gridCol w:w="753"/>
              <w:gridCol w:w="756"/>
            </w:tblGrid>
            <w:tr w14:paraId="4517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 w:type="pct"/>
                  <w:vMerge w:val="restart"/>
                  <w:vAlign w:val="center"/>
                </w:tcPr>
                <w:p w14:paraId="6F6BA788">
                  <w:pPr>
                    <w:jc w:val="center"/>
                    <w:textAlignment w:val="center"/>
                    <w:rPr>
                      <w:rFonts w:ascii="Times New Roman" w:hAnsi="Times New Roman" w:cs="Times New Roman"/>
                      <w:b/>
                      <w:bCs/>
                      <w:color w:val="000000" w:themeColor="text1"/>
                      <w:sz w:val="21"/>
                      <w:szCs w:val="21"/>
                      <w:lang w:eastAsia="zh-TW"/>
                    </w:rPr>
                  </w:pPr>
                  <w:r>
                    <w:rPr>
                      <w:rFonts w:ascii="Times New Roman" w:hAnsi="Times New Roman" w:cs="Times New Roman"/>
                      <w:b/>
                      <w:bCs/>
                      <w:color w:val="000000" w:themeColor="text1"/>
                      <w:sz w:val="21"/>
                      <w:szCs w:val="21"/>
                      <w:lang w:eastAsia="zh-TW" w:bidi="ar"/>
                    </w:rPr>
                    <w:t>类型</w:t>
                  </w:r>
                </w:p>
              </w:tc>
              <w:tc>
                <w:tcPr>
                  <w:tcW w:w="394" w:type="pct"/>
                  <w:vMerge w:val="restart"/>
                  <w:vAlign w:val="center"/>
                </w:tcPr>
                <w:p w14:paraId="10070079">
                  <w:pPr>
                    <w:jc w:val="center"/>
                    <w:textAlignment w:val="center"/>
                    <w:rPr>
                      <w:rFonts w:ascii="Times New Roman" w:hAnsi="Times New Roman" w:cs="Times New Roman"/>
                      <w:b/>
                      <w:bCs/>
                      <w:color w:val="000000" w:themeColor="text1"/>
                      <w:sz w:val="21"/>
                      <w:szCs w:val="21"/>
                      <w:lang w:eastAsia="zh-TW"/>
                    </w:rPr>
                  </w:pPr>
                  <w:r>
                    <w:rPr>
                      <w:rFonts w:ascii="Times New Roman" w:hAnsi="Times New Roman" w:cs="Times New Roman"/>
                      <w:b/>
                      <w:bCs/>
                      <w:color w:val="000000" w:themeColor="text1"/>
                      <w:sz w:val="21"/>
                      <w:szCs w:val="21"/>
                      <w:lang w:eastAsia="zh-TW" w:bidi="ar"/>
                    </w:rPr>
                    <w:t>污染物</w:t>
                  </w:r>
                </w:p>
              </w:tc>
              <w:tc>
                <w:tcPr>
                  <w:tcW w:w="1560" w:type="pct"/>
                  <w:gridSpan w:val="3"/>
                  <w:vAlign w:val="center"/>
                </w:tcPr>
                <w:p w14:paraId="77A9E35E">
                  <w:pPr>
                    <w:jc w:val="center"/>
                    <w:textAlignment w:val="center"/>
                    <w:rPr>
                      <w:rFonts w:ascii="Times New Roman" w:hAnsi="Times New Roman" w:cs="Times New Roman"/>
                      <w:b/>
                      <w:bCs/>
                      <w:color w:val="000000" w:themeColor="text1"/>
                      <w:sz w:val="21"/>
                      <w:szCs w:val="21"/>
                      <w:lang w:eastAsia="zh-TW"/>
                    </w:rPr>
                  </w:pPr>
                  <w:r>
                    <w:rPr>
                      <w:rFonts w:ascii="Times New Roman" w:hAnsi="Times New Roman" w:cs="Times New Roman"/>
                      <w:b/>
                      <w:bCs/>
                      <w:color w:val="000000" w:themeColor="text1"/>
                      <w:sz w:val="21"/>
                      <w:szCs w:val="21"/>
                      <w:lang w:eastAsia="zh-TW" w:bidi="ar"/>
                    </w:rPr>
                    <w:t>产生</w:t>
                  </w:r>
                </w:p>
              </w:tc>
              <w:tc>
                <w:tcPr>
                  <w:tcW w:w="894" w:type="pct"/>
                  <w:vMerge w:val="restart"/>
                  <w:vAlign w:val="center"/>
                </w:tcPr>
                <w:p w14:paraId="4B847CF1">
                  <w:pPr>
                    <w:jc w:val="center"/>
                    <w:textAlignment w:val="center"/>
                    <w:rPr>
                      <w:rFonts w:ascii="Times New Roman" w:hAnsi="Times New Roman" w:cs="Times New Roman"/>
                      <w:b/>
                      <w:bCs/>
                      <w:color w:val="000000" w:themeColor="text1"/>
                      <w:sz w:val="21"/>
                      <w:szCs w:val="21"/>
                      <w:lang w:eastAsia="zh-TW"/>
                    </w:rPr>
                  </w:pPr>
                  <w:r>
                    <w:rPr>
                      <w:rFonts w:ascii="Times New Roman" w:hAnsi="Times New Roman" w:cs="Times New Roman"/>
                      <w:b/>
                      <w:bCs/>
                      <w:color w:val="000000" w:themeColor="text1"/>
                      <w:sz w:val="21"/>
                      <w:szCs w:val="21"/>
                      <w:lang w:eastAsia="zh-TW" w:bidi="ar"/>
                    </w:rPr>
                    <w:t>治理措施</w:t>
                  </w:r>
                </w:p>
              </w:tc>
              <w:tc>
                <w:tcPr>
                  <w:tcW w:w="483" w:type="pct"/>
                  <w:vMerge w:val="restart"/>
                  <w:vAlign w:val="center"/>
                </w:tcPr>
                <w:p w14:paraId="34BA03B1">
                  <w:pPr>
                    <w:jc w:val="center"/>
                    <w:textAlignment w:val="center"/>
                    <w:rPr>
                      <w:rFonts w:ascii="Times New Roman" w:hAnsi="Times New Roman" w:cs="Times New Roman"/>
                      <w:b/>
                      <w:bCs/>
                      <w:color w:val="000000" w:themeColor="text1"/>
                      <w:sz w:val="21"/>
                      <w:szCs w:val="21"/>
                      <w:lang w:eastAsia="zh-TW"/>
                    </w:rPr>
                  </w:pPr>
                  <w:r>
                    <w:rPr>
                      <w:rFonts w:ascii="Times New Roman" w:hAnsi="Times New Roman" w:cs="Times New Roman"/>
                      <w:b/>
                      <w:bCs/>
                      <w:color w:val="000000" w:themeColor="text1"/>
                      <w:sz w:val="21"/>
                      <w:szCs w:val="21"/>
                      <w:lang w:eastAsia="zh-TW" w:bidi="ar"/>
                    </w:rPr>
                    <w:t>去除率</w:t>
                  </w:r>
                </w:p>
              </w:tc>
              <w:tc>
                <w:tcPr>
                  <w:tcW w:w="1409" w:type="pct"/>
                  <w:gridSpan w:val="3"/>
                  <w:vAlign w:val="center"/>
                </w:tcPr>
                <w:p w14:paraId="5F2C647B">
                  <w:pPr>
                    <w:jc w:val="center"/>
                    <w:textAlignment w:val="center"/>
                    <w:rPr>
                      <w:rFonts w:ascii="Times New Roman" w:hAnsi="Times New Roman" w:cs="Times New Roman"/>
                      <w:b/>
                      <w:bCs/>
                      <w:color w:val="000000" w:themeColor="text1"/>
                      <w:sz w:val="21"/>
                      <w:szCs w:val="21"/>
                      <w:lang w:eastAsia="zh-TW"/>
                    </w:rPr>
                  </w:pPr>
                  <w:r>
                    <w:rPr>
                      <w:rFonts w:ascii="Times New Roman" w:hAnsi="Times New Roman" w:cs="Times New Roman"/>
                      <w:b/>
                      <w:bCs/>
                      <w:color w:val="000000" w:themeColor="text1"/>
                      <w:sz w:val="21"/>
                      <w:szCs w:val="21"/>
                      <w:lang w:eastAsia="zh-TW" w:bidi="ar"/>
                    </w:rPr>
                    <w:t>排放</w:t>
                  </w:r>
                </w:p>
              </w:tc>
            </w:tr>
            <w:tr w14:paraId="420F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7" w:type="pct"/>
                  <w:vMerge w:val="continue"/>
                  <w:vAlign w:val="center"/>
                </w:tcPr>
                <w:p w14:paraId="3912AD5D">
                  <w:pPr>
                    <w:jc w:val="center"/>
                    <w:rPr>
                      <w:rFonts w:ascii="Times New Roman" w:hAnsi="Times New Roman" w:cs="Times New Roman"/>
                      <w:b/>
                      <w:bCs/>
                      <w:color w:val="000000" w:themeColor="text1"/>
                      <w:sz w:val="21"/>
                      <w:szCs w:val="21"/>
                      <w:lang w:eastAsia="zh-TW"/>
                    </w:rPr>
                  </w:pPr>
                </w:p>
              </w:tc>
              <w:tc>
                <w:tcPr>
                  <w:tcW w:w="394" w:type="pct"/>
                  <w:vMerge w:val="continue"/>
                  <w:vAlign w:val="center"/>
                </w:tcPr>
                <w:p w14:paraId="1C91ACD1">
                  <w:pPr>
                    <w:jc w:val="center"/>
                    <w:rPr>
                      <w:rFonts w:ascii="Times New Roman" w:hAnsi="Times New Roman" w:cs="Times New Roman"/>
                      <w:b/>
                      <w:bCs/>
                      <w:color w:val="000000" w:themeColor="text1"/>
                      <w:sz w:val="21"/>
                      <w:szCs w:val="21"/>
                      <w:lang w:eastAsia="zh-TW"/>
                    </w:rPr>
                  </w:pPr>
                </w:p>
              </w:tc>
              <w:tc>
                <w:tcPr>
                  <w:tcW w:w="532" w:type="pct"/>
                  <w:vAlign w:val="center"/>
                </w:tcPr>
                <w:p w14:paraId="1B9F9436">
                  <w:pPr>
                    <w:jc w:val="center"/>
                    <w:rPr>
                      <w:rFonts w:ascii="Times New Roman" w:hAnsi="Times New Roman" w:cs="Times New Roman"/>
                      <w:b/>
                      <w:bCs/>
                      <w:color w:val="000000" w:themeColor="text1"/>
                      <w:sz w:val="21"/>
                      <w:szCs w:val="21"/>
                      <w:lang w:eastAsia="zh-TW"/>
                    </w:rPr>
                  </w:pPr>
                  <w:r>
                    <w:rPr>
                      <w:rFonts w:ascii="Times New Roman" w:hAnsi="Times New Roman" w:cs="Times New Roman"/>
                      <w:b/>
                      <w:bCs/>
                      <w:color w:val="000000" w:themeColor="text1"/>
                      <w:sz w:val="21"/>
                      <w:szCs w:val="21"/>
                      <w:lang w:eastAsia="zh-TW" w:bidi="ar"/>
                    </w:rPr>
                    <w:t>mg/m</w:t>
                  </w:r>
                  <w:r>
                    <w:rPr>
                      <w:rFonts w:ascii="Times New Roman" w:hAnsi="Times New Roman" w:cs="Times New Roman"/>
                      <w:b/>
                      <w:bCs/>
                      <w:color w:val="000000" w:themeColor="text1"/>
                      <w:sz w:val="21"/>
                      <w:szCs w:val="21"/>
                      <w:vertAlign w:val="superscript"/>
                      <w:lang w:eastAsia="zh-TW" w:bidi="ar"/>
                    </w:rPr>
                    <w:t>3</w:t>
                  </w:r>
                </w:p>
              </w:tc>
              <w:tc>
                <w:tcPr>
                  <w:tcW w:w="503" w:type="pct"/>
                  <w:vAlign w:val="center"/>
                </w:tcPr>
                <w:p w14:paraId="54059DA1">
                  <w:pPr>
                    <w:jc w:val="center"/>
                    <w:textAlignment w:val="center"/>
                    <w:rPr>
                      <w:rFonts w:ascii="Times New Roman" w:hAnsi="Times New Roman" w:cs="Times New Roman"/>
                      <w:b/>
                      <w:bCs/>
                      <w:color w:val="000000" w:themeColor="text1"/>
                      <w:sz w:val="21"/>
                      <w:szCs w:val="21"/>
                      <w:lang w:eastAsia="zh-TW"/>
                    </w:rPr>
                  </w:pPr>
                  <w:r>
                    <w:rPr>
                      <w:rFonts w:ascii="Times New Roman" w:hAnsi="Times New Roman" w:cs="Times New Roman"/>
                      <w:b/>
                      <w:bCs/>
                      <w:color w:val="000000" w:themeColor="text1"/>
                      <w:sz w:val="21"/>
                      <w:szCs w:val="21"/>
                      <w:lang w:eastAsia="zh-TW" w:bidi="ar"/>
                    </w:rPr>
                    <w:t>kg/h</w:t>
                  </w:r>
                </w:p>
              </w:tc>
              <w:tc>
                <w:tcPr>
                  <w:tcW w:w="525" w:type="pct"/>
                  <w:vAlign w:val="center"/>
                </w:tcPr>
                <w:p w14:paraId="767D044C">
                  <w:pPr>
                    <w:jc w:val="center"/>
                    <w:textAlignment w:val="center"/>
                    <w:rPr>
                      <w:rFonts w:ascii="Times New Roman" w:hAnsi="Times New Roman" w:cs="Times New Roman"/>
                      <w:b/>
                      <w:bCs/>
                      <w:color w:val="000000" w:themeColor="text1"/>
                      <w:sz w:val="21"/>
                      <w:szCs w:val="21"/>
                      <w:lang w:eastAsia="zh-TW"/>
                    </w:rPr>
                  </w:pPr>
                  <w:r>
                    <w:rPr>
                      <w:rFonts w:ascii="Times New Roman" w:hAnsi="Times New Roman" w:cs="Times New Roman"/>
                      <w:b/>
                      <w:bCs/>
                      <w:color w:val="000000" w:themeColor="text1"/>
                      <w:sz w:val="21"/>
                      <w:szCs w:val="21"/>
                      <w:lang w:eastAsia="zh-TW" w:bidi="ar"/>
                    </w:rPr>
                    <w:t>t/a</w:t>
                  </w:r>
                </w:p>
              </w:tc>
              <w:tc>
                <w:tcPr>
                  <w:tcW w:w="894" w:type="pct"/>
                  <w:vMerge w:val="continue"/>
                  <w:vAlign w:val="center"/>
                </w:tcPr>
                <w:p w14:paraId="351ADD82">
                  <w:pPr>
                    <w:jc w:val="center"/>
                    <w:rPr>
                      <w:rFonts w:ascii="Times New Roman" w:hAnsi="Times New Roman" w:cs="Times New Roman"/>
                      <w:b/>
                      <w:bCs/>
                      <w:color w:val="000000" w:themeColor="text1"/>
                      <w:sz w:val="21"/>
                      <w:szCs w:val="21"/>
                      <w:lang w:eastAsia="zh-TW"/>
                    </w:rPr>
                  </w:pPr>
                </w:p>
              </w:tc>
              <w:tc>
                <w:tcPr>
                  <w:tcW w:w="483" w:type="pct"/>
                  <w:vMerge w:val="continue"/>
                  <w:vAlign w:val="center"/>
                </w:tcPr>
                <w:p w14:paraId="62B08E7B">
                  <w:pPr>
                    <w:jc w:val="center"/>
                    <w:rPr>
                      <w:rFonts w:ascii="Times New Roman" w:hAnsi="Times New Roman" w:cs="Times New Roman"/>
                      <w:b/>
                      <w:bCs/>
                      <w:color w:val="000000" w:themeColor="text1"/>
                      <w:sz w:val="21"/>
                      <w:szCs w:val="21"/>
                      <w:lang w:eastAsia="zh-TW"/>
                    </w:rPr>
                  </w:pPr>
                </w:p>
              </w:tc>
              <w:tc>
                <w:tcPr>
                  <w:tcW w:w="519" w:type="pct"/>
                  <w:vAlign w:val="center"/>
                </w:tcPr>
                <w:p w14:paraId="2A56DEC0">
                  <w:pPr>
                    <w:jc w:val="center"/>
                    <w:rPr>
                      <w:rFonts w:ascii="Times New Roman" w:hAnsi="Times New Roman" w:cs="Times New Roman"/>
                      <w:b/>
                      <w:bCs/>
                      <w:color w:val="000000" w:themeColor="text1"/>
                      <w:sz w:val="21"/>
                      <w:szCs w:val="21"/>
                      <w:lang w:eastAsia="zh-TW"/>
                    </w:rPr>
                  </w:pPr>
                  <w:r>
                    <w:rPr>
                      <w:rFonts w:ascii="Times New Roman" w:hAnsi="Times New Roman" w:cs="Times New Roman"/>
                      <w:b/>
                      <w:bCs/>
                      <w:color w:val="000000" w:themeColor="text1"/>
                      <w:sz w:val="21"/>
                      <w:szCs w:val="21"/>
                      <w:lang w:eastAsia="zh-TW" w:bidi="ar"/>
                    </w:rPr>
                    <w:t>mg/m</w:t>
                  </w:r>
                  <w:r>
                    <w:rPr>
                      <w:rFonts w:ascii="Times New Roman" w:hAnsi="Times New Roman" w:cs="Times New Roman"/>
                      <w:b/>
                      <w:bCs/>
                      <w:color w:val="000000" w:themeColor="text1"/>
                      <w:sz w:val="21"/>
                      <w:szCs w:val="21"/>
                      <w:vertAlign w:val="superscript"/>
                      <w:lang w:eastAsia="zh-TW" w:bidi="ar"/>
                    </w:rPr>
                    <w:t>3</w:t>
                  </w:r>
                </w:p>
              </w:tc>
              <w:tc>
                <w:tcPr>
                  <w:tcW w:w="444" w:type="pct"/>
                  <w:vAlign w:val="center"/>
                </w:tcPr>
                <w:p w14:paraId="61AC2BF6">
                  <w:pPr>
                    <w:jc w:val="center"/>
                    <w:textAlignment w:val="center"/>
                    <w:rPr>
                      <w:rFonts w:ascii="Times New Roman" w:hAnsi="Times New Roman" w:cs="Times New Roman"/>
                      <w:b/>
                      <w:bCs/>
                      <w:color w:val="000000" w:themeColor="text1"/>
                      <w:sz w:val="21"/>
                      <w:szCs w:val="21"/>
                      <w:lang w:eastAsia="zh-TW"/>
                    </w:rPr>
                  </w:pPr>
                  <w:r>
                    <w:rPr>
                      <w:rFonts w:ascii="Times New Roman" w:hAnsi="Times New Roman" w:cs="Times New Roman"/>
                      <w:b/>
                      <w:bCs/>
                      <w:color w:val="000000" w:themeColor="text1"/>
                      <w:sz w:val="21"/>
                      <w:szCs w:val="21"/>
                      <w:lang w:eastAsia="zh-TW" w:bidi="ar"/>
                    </w:rPr>
                    <w:t>kg/h</w:t>
                  </w:r>
                </w:p>
              </w:tc>
              <w:tc>
                <w:tcPr>
                  <w:tcW w:w="446" w:type="pct"/>
                  <w:vAlign w:val="center"/>
                </w:tcPr>
                <w:p w14:paraId="251F6FC2">
                  <w:pPr>
                    <w:jc w:val="center"/>
                    <w:textAlignment w:val="center"/>
                    <w:rPr>
                      <w:rFonts w:ascii="Times New Roman" w:hAnsi="Times New Roman" w:cs="Times New Roman"/>
                      <w:b/>
                      <w:bCs/>
                      <w:color w:val="000000" w:themeColor="text1"/>
                      <w:sz w:val="21"/>
                      <w:szCs w:val="21"/>
                      <w:lang w:eastAsia="zh-TW"/>
                    </w:rPr>
                  </w:pPr>
                  <w:r>
                    <w:rPr>
                      <w:rFonts w:ascii="Times New Roman" w:hAnsi="Times New Roman" w:cs="Times New Roman"/>
                      <w:b/>
                      <w:bCs/>
                      <w:color w:val="000000" w:themeColor="text1"/>
                      <w:sz w:val="21"/>
                      <w:szCs w:val="21"/>
                      <w:lang w:eastAsia="zh-TW" w:bidi="ar"/>
                    </w:rPr>
                    <w:t>t/a</w:t>
                  </w:r>
                </w:p>
              </w:tc>
            </w:tr>
            <w:tr w14:paraId="3C93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7" w:type="pct"/>
                  <w:vAlign w:val="center"/>
                </w:tcPr>
                <w:p w14:paraId="5C6A6A34">
                  <w:pPr>
                    <w:jc w:val="center"/>
                    <w:rPr>
                      <w:rFonts w:ascii="Times New Roman" w:hAnsi="Times New Roman" w:cs="Times New Roman"/>
                      <w:color w:val="000000" w:themeColor="text1"/>
                      <w:sz w:val="21"/>
                      <w:szCs w:val="21"/>
                      <w:lang w:eastAsia="zh-TW"/>
                    </w:rPr>
                  </w:pPr>
                  <w:r>
                    <w:rPr>
                      <w:rFonts w:ascii="Times New Roman" w:hAnsi="Times New Roman" w:cs="Times New Roman"/>
                      <w:color w:val="000000" w:themeColor="text1"/>
                      <w:sz w:val="21"/>
                      <w:szCs w:val="21"/>
                      <w:lang w:val="en-US"/>
                    </w:rPr>
                    <w:t>本项目</w:t>
                  </w:r>
                </w:p>
              </w:tc>
              <w:tc>
                <w:tcPr>
                  <w:tcW w:w="394" w:type="pct"/>
                  <w:vAlign w:val="center"/>
                </w:tcPr>
                <w:p w14:paraId="797927C7">
                  <w:pPr>
                    <w:jc w:val="center"/>
                    <w:textAlignment w:val="center"/>
                    <w:rPr>
                      <w:rFonts w:ascii="Times New Roman" w:hAnsi="Times New Roman" w:cs="Times New Roman"/>
                      <w:color w:val="000000" w:themeColor="text1"/>
                      <w:sz w:val="21"/>
                      <w:szCs w:val="21"/>
                      <w:lang w:eastAsia="zh-TW"/>
                    </w:rPr>
                  </w:pPr>
                  <w:r>
                    <w:rPr>
                      <w:rFonts w:ascii="Times New Roman" w:hAnsi="Times New Roman" w:cs="Times New Roman"/>
                      <w:color w:val="000000" w:themeColor="text1"/>
                      <w:sz w:val="21"/>
                      <w:szCs w:val="21"/>
                      <w:lang w:eastAsia="zh-TW"/>
                    </w:rPr>
                    <w:t>油烟</w:t>
                  </w:r>
                </w:p>
              </w:tc>
              <w:tc>
                <w:tcPr>
                  <w:tcW w:w="902" w:type="dxa"/>
                  <w:vAlign w:val="center"/>
                </w:tcPr>
                <w:p w14:paraId="37F7E3CC">
                  <w:pPr>
                    <w:widowControl/>
                    <w:jc w:val="center"/>
                    <w:textAlignment w:val="center"/>
                    <w:rPr>
                      <w:rFonts w:ascii="Times New Roman" w:hAnsi="Times New Roman" w:cs="Times New Roman"/>
                      <w:color w:val="000000" w:themeColor="text1"/>
                      <w:sz w:val="21"/>
                      <w:szCs w:val="21"/>
                      <w:lang w:val="en-US" w:eastAsia="zh-TW" w:bidi="ar"/>
                    </w:rPr>
                  </w:pPr>
                  <w:r>
                    <w:rPr>
                      <w:rFonts w:hint="eastAsia" w:ascii="Times New Roman" w:hAnsi="Times New Roman" w:cs="Times New Roman"/>
                      <w:color w:val="000000" w:themeColor="text1"/>
                      <w:sz w:val="21"/>
                      <w:szCs w:val="21"/>
                      <w:lang w:val="en-US" w:bidi="ar"/>
                    </w:rPr>
                    <w:t xml:space="preserve">2.305 </w:t>
                  </w:r>
                </w:p>
              </w:tc>
              <w:tc>
                <w:tcPr>
                  <w:tcW w:w="853" w:type="dxa"/>
                  <w:vAlign w:val="center"/>
                </w:tcPr>
                <w:p w14:paraId="3BEACF2B">
                  <w:pPr>
                    <w:widowControl/>
                    <w:jc w:val="center"/>
                    <w:textAlignment w:val="center"/>
                    <w:rPr>
                      <w:rFonts w:ascii="Times New Roman" w:hAnsi="Times New Roman" w:cs="Times New Roman"/>
                      <w:color w:val="000000" w:themeColor="text1"/>
                      <w:sz w:val="21"/>
                      <w:szCs w:val="21"/>
                      <w:lang w:val="en-US" w:eastAsia="zh-TW" w:bidi="ar"/>
                    </w:rPr>
                  </w:pPr>
                  <w:r>
                    <w:rPr>
                      <w:rFonts w:hint="eastAsia" w:ascii="Times New Roman" w:hAnsi="Times New Roman" w:cs="Times New Roman"/>
                      <w:color w:val="000000" w:themeColor="text1"/>
                      <w:sz w:val="21"/>
                      <w:szCs w:val="21"/>
                      <w:lang w:val="en-US" w:bidi="ar"/>
                    </w:rPr>
                    <w:t xml:space="preserve">0.018 </w:t>
                  </w:r>
                </w:p>
              </w:tc>
              <w:tc>
                <w:tcPr>
                  <w:tcW w:w="891" w:type="dxa"/>
                  <w:vAlign w:val="center"/>
                </w:tcPr>
                <w:p w14:paraId="3A1A7818">
                  <w:pPr>
                    <w:widowControl/>
                    <w:jc w:val="center"/>
                    <w:textAlignment w:val="center"/>
                    <w:rPr>
                      <w:rFonts w:ascii="Times New Roman" w:hAnsi="Times New Roman" w:cs="Times New Roman"/>
                      <w:color w:val="000000" w:themeColor="text1"/>
                      <w:sz w:val="21"/>
                      <w:szCs w:val="21"/>
                      <w:lang w:val="en-US" w:eastAsia="zh-TW" w:bidi="ar"/>
                    </w:rPr>
                  </w:pPr>
                  <w:r>
                    <w:rPr>
                      <w:rFonts w:hint="eastAsia" w:ascii="Times New Roman" w:hAnsi="Times New Roman" w:cs="Times New Roman"/>
                      <w:color w:val="000000" w:themeColor="text1"/>
                      <w:sz w:val="21"/>
                      <w:szCs w:val="21"/>
                      <w:lang w:val="en-US" w:bidi="ar"/>
                    </w:rPr>
                    <w:t xml:space="preserve">0.034 </w:t>
                  </w:r>
                </w:p>
              </w:tc>
              <w:tc>
                <w:tcPr>
                  <w:tcW w:w="1517" w:type="dxa"/>
                  <w:vMerge w:val="restart"/>
                  <w:vAlign w:val="center"/>
                </w:tcPr>
                <w:p w14:paraId="247DF189">
                  <w:pPr>
                    <w:widowControl/>
                    <w:jc w:val="center"/>
                    <w:textAlignment w:val="center"/>
                    <w:rPr>
                      <w:rFonts w:ascii="Times New Roman" w:hAnsi="Times New Roman" w:cs="Times New Roman"/>
                      <w:color w:val="000000" w:themeColor="text1"/>
                      <w:sz w:val="21"/>
                      <w:szCs w:val="21"/>
                      <w:lang w:val="en-US" w:eastAsia="zh-TW" w:bidi="ar"/>
                    </w:rPr>
                  </w:pPr>
                  <w:r>
                    <w:rPr>
                      <w:rFonts w:hint="eastAsia" w:ascii="Times New Roman" w:hAnsi="Times New Roman" w:cs="Times New Roman"/>
                      <w:color w:val="000000" w:themeColor="text1"/>
                      <w:sz w:val="21"/>
                      <w:szCs w:val="21"/>
                      <w:lang w:val="en-US" w:bidi="ar"/>
                    </w:rPr>
                    <w:t>油烟净化器</w:t>
                  </w:r>
                </w:p>
              </w:tc>
              <w:tc>
                <w:tcPr>
                  <w:tcW w:w="819" w:type="dxa"/>
                  <w:vMerge w:val="restart"/>
                  <w:vAlign w:val="center"/>
                </w:tcPr>
                <w:p w14:paraId="0EA7CCD2">
                  <w:pPr>
                    <w:widowControl/>
                    <w:jc w:val="center"/>
                    <w:textAlignment w:val="center"/>
                    <w:rPr>
                      <w:rFonts w:ascii="Times New Roman" w:hAnsi="Times New Roman" w:cs="Times New Roman"/>
                      <w:color w:val="000000" w:themeColor="text1"/>
                      <w:sz w:val="21"/>
                      <w:szCs w:val="21"/>
                      <w:lang w:val="en-US" w:eastAsia="zh-TW" w:bidi="ar"/>
                    </w:rPr>
                  </w:pPr>
                  <w:r>
                    <w:rPr>
                      <w:rFonts w:hint="eastAsia" w:ascii="Times New Roman" w:hAnsi="Times New Roman" w:cs="Times New Roman"/>
                      <w:color w:val="000000" w:themeColor="text1"/>
                      <w:sz w:val="21"/>
                      <w:szCs w:val="21"/>
                      <w:lang w:val="en-US" w:bidi="ar"/>
                    </w:rPr>
                    <w:t>85%</w:t>
                  </w:r>
                </w:p>
              </w:tc>
              <w:tc>
                <w:tcPr>
                  <w:tcW w:w="880" w:type="dxa"/>
                  <w:vAlign w:val="center"/>
                </w:tcPr>
                <w:p w14:paraId="566942AB">
                  <w:pPr>
                    <w:widowControl/>
                    <w:jc w:val="center"/>
                    <w:textAlignment w:val="center"/>
                    <w:rPr>
                      <w:rFonts w:ascii="Times New Roman" w:hAnsi="Times New Roman" w:cs="Times New Roman"/>
                      <w:color w:val="000000" w:themeColor="text1"/>
                      <w:sz w:val="21"/>
                      <w:szCs w:val="21"/>
                      <w:lang w:val="en-US" w:eastAsia="zh-TW" w:bidi="ar"/>
                    </w:rPr>
                  </w:pPr>
                  <w:r>
                    <w:rPr>
                      <w:rFonts w:hint="eastAsia" w:ascii="Times New Roman" w:hAnsi="Times New Roman" w:cs="Times New Roman"/>
                      <w:color w:val="000000" w:themeColor="text1"/>
                      <w:sz w:val="21"/>
                      <w:szCs w:val="21"/>
                      <w:lang w:val="en-US" w:bidi="ar"/>
                    </w:rPr>
                    <w:t xml:space="preserve">0.346 </w:t>
                  </w:r>
                </w:p>
              </w:tc>
              <w:tc>
                <w:tcPr>
                  <w:tcW w:w="753" w:type="dxa"/>
                  <w:vAlign w:val="center"/>
                </w:tcPr>
                <w:p w14:paraId="1F2F84AC">
                  <w:pPr>
                    <w:widowControl/>
                    <w:jc w:val="center"/>
                    <w:textAlignment w:val="center"/>
                    <w:rPr>
                      <w:rFonts w:ascii="Times New Roman" w:hAnsi="Times New Roman" w:cs="Times New Roman"/>
                      <w:color w:val="000000" w:themeColor="text1"/>
                      <w:sz w:val="21"/>
                      <w:szCs w:val="21"/>
                      <w:lang w:val="en-US" w:eastAsia="zh-TW" w:bidi="ar"/>
                    </w:rPr>
                  </w:pPr>
                  <w:r>
                    <w:rPr>
                      <w:rFonts w:hint="eastAsia" w:ascii="Times New Roman" w:hAnsi="Times New Roman" w:cs="Times New Roman"/>
                      <w:color w:val="000000" w:themeColor="text1"/>
                      <w:sz w:val="21"/>
                      <w:szCs w:val="21"/>
                      <w:lang w:val="en-US" w:bidi="ar"/>
                    </w:rPr>
                    <w:t xml:space="preserve">0.003 </w:t>
                  </w:r>
                </w:p>
              </w:tc>
              <w:tc>
                <w:tcPr>
                  <w:tcW w:w="757" w:type="dxa"/>
                  <w:vAlign w:val="center"/>
                </w:tcPr>
                <w:p w14:paraId="7D017932">
                  <w:pPr>
                    <w:widowControl/>
                    <w:jc w:val="center"/>
                    <w:textAlignment w:val="center"/>
                    <w:rPr>
                      <w:rFonts w:ascii="Times New Roman" w:hAnsi="Times New Roman" w:cs="Times New Roman"/>
                      <w:color w:val="000000" w:themeColor="text1"/>
                      <w:sz w:val="21"/>
                      <w:szCs w:val="21"/>
                      <w:lang w:val="en-US" w:eastAsia="zh-TW" w:bidi="ar"/>
                    </w:rPr>
                  </w:pPr>
                  <w:r>
                    <w:rPr>
                      <w:rFonts w:hint="eastAsia" w:ascii="Times New Roman" w:hAnsi="Times New Roman" w:cs="Times New Roman"/>
                      <w:color w:val="000000" w:themeColor="text1"/>
                      <w:sz w:val="21"/>
                      <w:szCs w:val="21"/>
                      <w:lang w:val="en-US" w:bidi="ar"/>
                    </w:rPr>
                    <w:t xml:space="preserve">0.005 </w:t>
                  </w:r>
                </w:p>
              </w:tc>
            </w:tr>
            <w:tr w14:paraId="4815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7" w:type="pct"/>
                  <w:vAlign w:val="center"/>
                </w:tcPr>
                <w:p w14:paraId="7FEE8C9E">
                  <w:pPr>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全院</w:t>
                  </w:r>
                </w:p>
              </w:tc>
              <w:tc>
                <w:tcPr>
                  <w:tcW w:w="394" w:type="pct"/>
                  <w:vAlign w:val="center"/>
                </w:tcPr>
                <w:p w14:paraId="7D958FD1">
                  <w:pPr>
                    <w:jc w:val="center"/>
                    <w:textAlignment w:val="center"/>
                    <w:rPr>
                      <w:rFonts w:ascii="Times New Roman" w:hAnsi="Times New Roman" w:cs="Times New Roman"/>
                      <w:color w:val="000000" w:themeColor="text1"/>
                      <w:sz w:val="21"/>
                      <w:szCs w:val="21"/>
                      <w:lang w:eastAsia="zh-TW"/>
                    </w:rPr>
                  </w:pPr>
                  <w:r>
                    <w:rPr>
                      <w:rFonts w:ascii="Times New Roman" w:hAnsi="Times New Roman" w:cs="Times New Roman"/>
                      <w:color w:val="000000" w:themeColor="text1"/>
                      <w:sz w:val="21"/>
                      <w:szCs w:val="21"/>
                      <w:lang w:eastAsia="zh-TW"/>
                    </w:rPr>
                    <w:t>油烟</w:t>
                  </w:r>
                </w:p>
              </w:tc>
              <w:tc>
                <w:tcPr>
                  <w:tcW w:w="903" w:type="dxa"/>
                  <w:vAlign w:val="center"/>
                </w:tcPr>
                <w:p w14:paraId="6DBB4008">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 xml:space="preserve">10.759 </w:t>
                  </w:r>
                </w:p>
              </w:tc>
              <w:tc>
                <w:tcPr>
                  <w:tcW w:w="853" w:type="dxa"/>
                  <w:vAlign w:val="center"/>
                </w:tcPr>
                <w:p w14:paraId="43945D88">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 xml:space="preserve">0.086 </w:t>
                  </w:r>
                </w:p>
              </w:tc>
              <w:tc>
                <w:tcPr>
                  <w:tcW w:w="890" w:type="dxa"/>
                  <w:vAlign w:val="center"/>
                </w:tcPr>
                <w:p w14:paraId="2DD4F02A">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 xml:space="preserve">0.157 </w:t>
                  </w:r>
                </w:p>
              </w:tc>
              <w:tc>
                <w:tcPr>
                  <w:tcW w:w="894" w:type="pct"/>
                  <w:vMerge w:val="continue"/>
                  <w:vAlign w:val="center"/>
                </w:tcPr>
                <w:p w14:paraId="5D0E5937">
                  <w:pPr>
                    <w:widowControl/>
                    <w:jc w:val="center"/>
                    <w:textAlignment w:val="center"/>
                    <w:rPr>
                      <w:rFonts w:ascii="Times New Roman" w:hAnsi="Times New Roman" w:cs="Times New Roman"/>
                      <w:color w:val="000000" w:themeColor="text1"/>
                      <w:sz w:val="21"/>
                      <w:szCs w:val="21"/>
                      <w:lang w:val="en-US" w:bidi="ar"/>
                    </w:rPr>
                  </w:pPr>
                </w:p>
              </w:tc>
              <w:tc>
                <w:tcPr>
                  <w:tcW w:w="483" w:type="pct"/>
                  <w:vMerge w:val="continue"/>
                  <w:vAlign w:val="center"/>
                </w:tcPr>
                <w:p w14:paraId="0A818AA5">
                  <w:pPr>
                    <w:widowControl/>
                    <w:jc w:val="center"/>
                    <w:textAlignment w:val="center"/>
                    <w:rPr>
                      <w:rFonts w:ascii="Times New Roman" w:hAnsi="Times New Roman" w:cs="Times New Roman"/>
                      <w:color w:val="000000" w:themeColor="text1"/>
                      <w:sz w:val="21"/>
                      <w:szCs w:val="21"/>
                      <w:lang w:val="en-US" w:bidi="ar"/>
                    </w:rPr>
                  </w:pPr>
                </w:p>
              </w:tc>
              <w:tc>
                <w:tcPr>
                  <w:tcW w:w="880" w:type="dxa"/>
                  <w:vAlign w:val="center"/>
                </w:tcPr>
                <w:p w14:paraId="26B0927E">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 xml:space="preserve">1.614 </w:t>
                  </w:r>
                </w:p>
              </w:tc>
              <w:tc>
                <w:tcPr>
                  <w:tcW w:w="753" w:type="dxa"/>
                  <w:vAlign w:val="center"/>
                </w:tcPr>
                <w:p w14:paraId="5EF0A83D">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 xml:space="preserve">0.013 </w:t>
                  </w:r>
                </w:p>
              </w:tc>
              <w:tc>
                <w:tcPr>
                  <w:tcW w:w="756" w:type="dxa"/>
                  <w:vAlign w:val="center"/>
                </w:tcPr>
                <w:p w14:paraId="51731C67">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 xml:space="preserve">0.024 </w:t>
                  </w:r>
                </w:p>
              </w:tc>
            </w:tr>
          </w:tbl>
          <w:p w14:paraId="7ACFF02E">
            <w:pPr>
              <w:pStyle w:val="41"/>
              <w:ind w:firstLine="464"/>
              <w:rPr>
                <w:color w:val="000000" w:themeColor="text1"/>
                <w:spacing w:val="-4"/>
                <w:u w:val="single"/>
              </w:rPr>
            </w:pPr>
            <w:r>
              <w:rPr>
                <w:rFonts w:hint="eastAsia"/>
                <w:color w:val="000000" w:themeColor="text1"/>
                <w:spacing w:val="-4"/>
                <w:u w:val="single"/>
              </w:rPr>
              <w:t>本项目食堂油烟经净化后油烟的排放量为0.005t/a，最大排放浓度为0.346mg/m</w:t>
            </w:r>
            <w:r>
              <w:rPr>
                <w:rFonts w:hint="eastAsia"/>
                <w:color w:val="000000" w:themeColor="text1"/>
                <w:spacing w:val="-4"/>
                <w:u w:val="single"/>
                <w:vertAlign w:val="superscript"/>
              </w:rPr>
              <w:t>3</w:t>
            </w:r>
            <w:r>
              <w:rPr>
                <w:rFonts w:hint="eastAsia"/>
                <w:color w:val="000000" w:themeColor="text1"/>
                <w:spacing w:val="-4"/>
                <w:u w:val="single"/>
              </w:rPr>
              <w:t>，全院食堂油烟经净化后油烟的排放量为0.024t/a，最大排放浓度为1.614mg/m</w:t>
            </w:r>
            <w:r>
              <w:rPr>
                <w:rFonts w:hint="eastAsia"/>
                <w:color w:val="000000" w:themeColor="text1"/>
                <w:spacing w:val="-4"/>
                <w:u w:val="single"/>
                <w:vertAlign w:val="superscript"/>
              </w:rPr>
              <w:t>3</w:t>
            </w:r>
            <w:r>
              <w:rPr>
                <w:rFonts w:hint="eastAsia"/>
                <w:color w:val="000000" w:themeColor="text1"/>
                <w:spacing w:val="-4"/>
                <w:u w:val="single"/>
              </w:rPr>
              <w:t>，均达到《饮食业油烟排放标准（试行）》（GB18483-2001）中油烟排放浓度限值2.0mg/m</w:t>
            </w:r>
            <w:r>
              <w:rPr>
                <w:rFonts w:hint="eastAsia"/>
                <w:color w:val="000000" w:themeColor="text1"/>
                <w:spacing w:val="-4"/>
                <w:u w:val="single"/>
                <w:vertAlign w:val="superscript"/>
              </w:rPr>
              <w:t>3</w:t>
            </w:r>
            <w:r>
              <w:rPr>
                <w:rFonts w:hint="eastAsia"/>
                <w:color w:val="000000" w:themeColor="text1"/>
                <w:spacing w:val="-4"/>
                <w:u w:val="single"/>
              </w:rPr>
              <w:t>要求，本项目依托</w:t>
            </w:r>
            <w:r>
              <w:rPr>
                <w:color w:val="000000" w:themeColor="text1"/>
                <w:u w:val="single"/>
                <w:lang w:bidi="ar"/>
              </w:rPr>
              <w:t>原有项目油烟净化器</w:t>
            </w:r>
            <w:r>
              <w:rPr>
                <w:rFonts w:hint="eastAsia"/>
                <w:color w:val="000000" w:themeColor="text1"/>
                <w:u w:val="single"/>
                <w:lang w:bidi="ar"/>
              </w:rPr>
              <w:t>措施可行，</w:t>
            </w:r>
            <w:r>
              <w:rPr>
                <w:rFonts w:hint="eastAsia"/>
                <w:color w:val="000000" w:themeColor="text1"/>
                <w:spacing w:val="-4"/>
                <w:u w:val="single"/>
              </w:rPr>
              <w:t>对外环境影响较小。</w:t>
            </w:r>
          </w:p>
          <w:p w14:paraId="163E063B">
            <w:pPr>
              <w:pStyle w:val="41"/>
              <w:rPr>
                <w:color w:val="000000" w:themeColor="text1"/>
              </w:rPr>
            </w:pPr>
            <w:r>
              <w:rPr>
                <w:color w:val="000000" w:themeColor="text1"/>
              </w:rPr>
              <w:t>（</w:t>
            </w:r>
            <w:r>
              <w:rPr>
                <w:rFonts w:hint="eastAsia"/>
                <w:color w:val="000000" w:themeColor="text1"/>
              </w:rPr>
              <w:t>6</w:t>
            </w:r>
            <w:r>
              <w:rPr>
                <w:color w:val="000000" w:themeColor="text1"/>
              </w:rPr>
              <w:t>）监测要求</w:t>
            </w:r>
          </w:p>
          <w:p w14:paraId="6481C01A">
            <w:pPr>
              <w:pStyle w:val="41"/>
              <w:ind w:firstLine="464"/>
              <w:rPr>
                <w:color w:val="000000" w:themeColor="text1"/>
              </w:rPr>
            </w:pPr>
            <w:r>
              <w:rPr>
                <w:color w:val="000000" w:themeColor="text1"/>
                <w:spacing w:val="-4"/>
              </w:rPr>
              <w:t>根据</w:t>
            </w:r>
            <w:r>
              <w:rPr>
                <w:color w:val="000000" w:themeColor="text1"/>
              </w:rPr>
              <w:t>《排污许可证申请与核发技术规范 医疗机构》（HJ1105—2020），本项目</w:t>
            </w:r>
            <w:r>
              <w:rPr>
                <w:rFonts w:hint="eastAsia"/>
                <w:color w:val="000000" w:themeColor="text1"/>
              </w:rPr>
              <w:t>新建的</w:t>
            </w:r>
            <w:r>
              <w:rPr>
                <w:color w:val="000000" w:themeColor="text1"/>
              </w:rPr>
              <w:t>污水处理站废气监测计划见表4-</w:t>
            </w:r>
            <w:r>
              <w:rPr>
                <w:rFonts w:hint="eastAsia"/>
                <w:color w:val="000000" w:themeColor="text1"/>
              </w:rPr>
              <w:t>2</w:t>
            </w:r>
            <w:r>
              <w:rPr>
                <w:color w:val="000000" w:themeColor="text1"/>
              </w:rPr>
              <w:t>：</w:t>
            </w:r>
          </w:p>
          <w:p w14:paraId="60B387E6">
            <w:pPr>
              <w:jc w:val="center"/>
              <w:rPr>
                <w:rFonts w:ascii="Times New Roman" w:hAnsi="Times New Roman" w:cs="Times New Roman"/>
                <w:color w:val="000000" w:themeColor="text1"/>
                <w:sz w:val="24"/>
              </w:rPr>
            </w:pPr>
            <w:r>
              <w:rPr>
                <w:rFonts w:ascii="Times New Roman" w:hAnsi="Times New Roman" w:cs="Times New Roman"/>
                <w:b/>
                <w:bCs/>
                <w:color w:val="000000" w:themeColor="text1"/>
                <w:sz w:val="24"/>
              </w:rPr>
              <w:t>表</w:t>
            </w:r>
            <w:r>
              <w:rPr>
                <w:rFonts w:ascii="Times New Roman" w:hAnsi="Times New Roman" w:cs="Times New Roman"/>
                <w:b/>
                <w:bCs/>
                <w:color w:val="000000" w:themeColor="text1"/>
                <w:sz w:val="24"/>
                <w:lang w:val="en-US"/>
              </w:rPr>
              <w:t>4</w:t>
            </w:r>
            <w:r>
              <w:rPr>
                <w:rFonts w:ascii="Times New Roman" w:hAnsi="Times New Roman" w:cs="Times New Roman"/>
                <w:b/>
                <w:bCs/>
                <w:color w:val="000000" w:themeColor="text1"/>
                <w:sz w:val="24"/>
              </w:rPr>
              <w:t>-</w:t>
            </w:r>
            <w:r>
              <w:rPr>
                <w:rFonts w:hint="eastAsia" w:ascii="Times New Roman" w:hAnsi="Times New Roman" w:cs="Times New Roman"/>
                <w:b/>
                <w:bCs/>
                <w:color w:val="000000" w:themeColor="text1"/>
                <w:sz w:val="24"/>
                <w:lang w:val="en-US"/>
              </w:rPr>
              <w:t>2</w:t>
            </w:r>
            <w:r>
              <w:rPr>
                <w:rFonts w:ascii="Times New Roman" w:hAnsi="Times New Roman" w:cs="Times New Roman"/>
                <w:b/>
                <w:bCs/>
                <w:color w:val="000000" w:themeColor="text1"/>
                <w:sz w:val="24"/>
              </w:rPr>
              <w:t>污水处理站废气监测计划表</w:t>
            </w:r>
          </w:p>
          <w:tbl>
            <w:tblPr>
              <w:tblStyle w:val="27"/>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103"/>
              <w:gridCol w:w="3775"/>
              <w:gridCol w:w="1405"/>
            </w:tblGrid>
            <w:tr w14:paraId="4790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14" w:type="dxa"/>
                  <w:vAlign w:val="center"/>
                </w:tcPr>
                <w:p w14:paraId="62717651">
                  <w:pPr>
                    <w:pStyle w:val="4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排放形式</w:t>
                  </w:r>
                </w:p>
              </w:tc>
              <w:tc>
                <w:tcPr>
                  <w:tcW w:w="2103" w:type="dxa"/>
                  <w:vAlign w:val="center"/>
                </w:tcPr>
                <w:p w14:paraId="35D4F39E">
                  <w:pPr>
                    <w:pStyle w:val="4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rPr>
                    <w:t>监测点位</w:t>
                  </w:r>
                </w:p>
              </w:tc>
              <w:tc>
                <w:tcPr>
                  <w:tcW w:w="3775" w:type="dxa"/>
                  <w:vAlign w:val="center"/>
                </w:tcPr>
                <w:p w14:paraId="4592C758">
                  <w:pPr>
                    <w:pStyle w:val="4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rPr>
                    <w:t>监测指标</w:t>
                  </w:r>
                </w:p>
              </w:tc>
              <w:tc>
                <w:tcPr>
                  <w:tcW w:w="1405" w:type="dxa"/>
                  <w:vAlign w:val="center"/>
                </w:tcPr>
                <w:p w14:paraId="2AF657BB">
                  <w:pPr>
                    <w:pStyle w:val="40"/>
                    <w:jc w:val="center"/>
                    <w:rPr>
                      <w:rFonts w:ascii="Times New Roman" w:hAnsi="Times New Roman" w:cs="Times New Roman"/>
                      <w:b/>
                      <w:bCs/>
                      <w:color w:val="000000" w:themeColor="text1"/>
                      <w:sz w:val="21"/>
                    </w:rPr>
                  </w:pPr>
                  <w:r>
                    <w:rPr>
                      <w:rFonts w:ascii="Times New Roman" w:hAnsi="Times New Roman" w:cs="Times New Roman"/>
                      <w:b/>
                      <w:bCs/>
                      <w:color w:val="000000" w:themeColor="text1"/>
                      <w:sz w:val="21"/>
                    </w:rPr>
                    <w:t>监测频次</w:t>
                  </w:r>
                </w:p>
              </w:tc>
            </w:tr>
            <w:tr w14:paraId="467D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14" w:type="dxa"/>
                  <w:vAlign w:val="center"/>
                </w:tcPr>
                <w:p w14:paraId="0C051824">
                  <w:pPr>
                    <w:pStyle w:val="40"/>
                    <w:jc w:val="center"/>
                    <w:rPr>
                      <w:rFonts w:ascii="Times New Roman" w:hAnsi="Times New Roman" w:cs="Times New Roman"/>
                      <w:color w:val="000000" w:themeColor="text1"/>
                      <w:sz w:val="21"/>
                    </w:rPr>
                  </w:pPr>
                  <w:r>
                    <w:rPr>
                      <w:rFonts w:ascii="Times New Roman" w:hAnsi="Times New Roman" w:cs="Times New Roman"/>
                      <w:color w:val="000000" w:themeColor="text1"/>
                      <w:sz w:val="21"/>
                    </w:rPr>
                    <w:t>无组织</w:t>
                  </w:r>
                </w:p>
              </w:tc>
              <w:tc>
                <w:tcPr>
                  <w:tcW w:w="2103" w:type="dxa"/>
                  <w:vAlign w:val="center"/>
                </w:tcPr>
                <w:p w14:paraId="3A7BD38D">
                  <w:pPr>
                    <w:pStyle w:val="40"/>
                    <w:jc w:val="center"/>
                    <w:rPr>
                      <w:rFonts w:ascii="Times New Roman" w:hAnsi="Times New Roman" w:cs="Times New Roman"/>
                      <w:color w:val="000000" w:themeColor="text1"/>
                      <w:sz w:val="21"/>
                    </w:rPr>
                  </w:pPr>
                  <w:r>
                    <w:rPr>
                      <w:rFonts w:ascii="Times New Roman" w:hAnsi="Times New Roman" w:cs="Times New Roman"/>
                      <w:color w:val="000000" w:themeColor="text1"/>
                      <w:sz w:val="21"/>
                    </w:rPr>
                    <w:t xml:space="preserve">污水处理站周界 </w:t>
                  </w:r>
                </w:p>
              </w:tc>
              <w:tc>
                <w:tcPr>
                  <w:tcW w:w="3775" w:type="dxa"/>
                  <w:vAlign w:val="center"/>
                </w:tcPr>
                <w:p w14:paraId="3B6FA416">
                  <w:pPr>
                    <w:pStyle w:val="40"/>
                    <w:jc w:val="center"/>
                    <w:rPr>
                      <w:rFonts w:ascii="Times New Roman" w:hAnsi="Times New Roman" w:cs="Times New Roman"/>
                      <w:color w:val="000000" w:themeColor="text1"/>
                      <w:sz w:val="21"/>
                    </w:rPr>
                  </w:pPr>
                  <w:r>
                    <w:rPr>
                      <w:rFonts w:ascii="Times New Roman" w:hAnsi="Times New Roman" w:cs="Times New Roman"/>
                      <w:color w:val="000000" w:themeColor="text1"/>
                      <w:sz w:val="21"/>
                    </w:rPr>
                    <w:t>氨、硫化氢、臭气浓度、氯气、甲烷</w:t>
                  </w:r>
                </w:p>
              </w:tc>
              <w:tc>
                <w:tcPr>
                  <w:tcW w:w="1405" w:type="dxa"/>
                  <w:vAlign w:val="center"/>
                </w:tcPr>
                <w:p w14:paraId="44F6ADFE">
                  <w:pPr>
                    <w:pStyle w:val="40"/>
                    <w:jc w:val="center"/>
                    <w:rPr>
                      <w:rFonts w:ascii="Times New Roman" w:hAnsi="Times New Roman" w:cs="Times New Roman"/>
                      <w:color w:val="000000" w:themeColor="text1"/>
                      <w:sz w:val="21"/>
                      <w:lang w:val="en-US"/>
                    </w:rPr>
                  </w:pPr>
                  <w:r>
                    <w:rPr>
                      <w:rFonts w:ascii="Times New Roman" w:hAnsi="Times New Roman" w:cs="Times New Roman"/>
                      <w:color w:val="000000" w:themeColor="text1"/>
                      <w:sz w:val="21"/>
                    </w:rPr>
                    <w:t>季度</w:t>
                  </w:r>
                  <w:r>
                    <w:rPr>
                      <w:rFonts w:ascii="Times New Roman" w:hAnsi="Times New Roman" w:cs="Times New Roman"/>
                      <w:color w:val="000000" w:themeColor="text1"/>
                      <w:sz w:val="21"/>
                      <w:lang w:val="en-US"/>
                    </w:rPr>
                    <w:t>/次</w:t>
                  </w:r>
                </w:p>
              </w:tc>
            </w:tr>
          </w:tbl>
          <w:p w14:paraId="62345B63">
            <w:pPr>
              <w:spacing w:line="360" w:lineRule="auto"/>
              <w:ind w:firstLine="482" w:firstLineChars="200"/>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2、废水</w:t>
            </w:r>
          </w:p>
          <w:p w14:paraId="0DA2C4BA">
            <w:pPr>
              <w:spacing w:line="360" w:lineRule="auto"/>
              <w:ind w:firstLine="480" w:firstLineChars="200"/>
              <w:rPr>
                <w:rFonts w:ascii="Times New Roman" w:hAnsi="Times New Roman" w:cs="Times New Roman"/>
                <w:color w:val="000000" w:themeColor="text1"/>
                <w:sz w:val="24"/>
                <w:lang w:val="en-US"/>
              </w:rPr>
            </w:pPr>
            <w:r>
              <w:rPr>
                <w:rFonts w:hint="eastAsia" w:ascii="Times New Roman" w:hAnsi="Times New Roman" w:cs="Times New Roman"/>
                <w:color w:val="000000" w:themeColor="text1"/>
                <w:sz w:val="24"/>
                <w:lang w:val="en-US"/>
              </w:rPr>
              <w:t>（</w:t>
            </w:r>
            <w:r>
              <w:rPr>
                <w:rFonts w:ascii="Times New Roman" w:hAnsi="Times New Roman" w:cs="Times New Roman"/>
                <w:color w:val="000000" w:themeColor="text1"/>
                <w:sz w:val="24"/>
                <w:lang w:val="en-US"/>
              </w:rPr>
              <w:t>1）污水排放情况</w:t>
            </w:r>
          </w:p>
          <w:p w14:paraId="3861CC4B">
            <w:pPr>
              <w:spacing w:line="360" w:lineRule="auto"/>
              <w:ind w:firstLine="480" w:firstLineChars="200"/>
              <w:rPr>
                <w:rFonts w:ascii="Times New Roman" w:hAnsi="Times New Roman" w:cs="Times New Roman"/>
                <w:color w:val="000000" w:themeColor="text1"/>
                <w:sz w:val="24"/>
                <w:lang w:val="en-US"/>
              </w:rPr>
            </w:pPr>
            <w:r>
              <w:rPr>
                <w:rFonts w:hint="eastAsia"/>
                <w:color w:val="000000" w:themeColor="text1"/>
                <w:sz w:val="24"/>
              </w:rPr>
              <w:t>①</w:t>
            </w:r>
            <w:r>
              <w:rPr>
                <w:rFonts w:hint="eastAsia" w:ascii="Times New Roman" w:hAnsi="Times New Roman" w:cs="Times New Roman"/>
                <w:color w:val="000000" w:themeColor="text1"/>
                <w:sz w:val="24"/>
                <w:lang w:val="en-US"/>
              </w:rPr>
              <w:t>医疗废水</w:t>
            </w:r>
          </w:p>
          <w:p w14:paraId="1AE71FFB">
            <w:pPr>
              <w:autoSpaceDE/>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sz w:val="24"/>
              </w:rPr>
              <w:t>根据上文工程分析公用工程章节</w:t>
            </w:r>
            <w:r>
              <w:rPr>
                <w:rFonts w:ascii="Times New Roman" w:hAnsi="Times New Roman" w:cs="Times New Roman"/>
                <w:color w:val="000000" w:themeColor="text1"/>
                <w:sz w:val="24"/>
              </w:rPr>
              <w:t>，</w:t>
            </w:r>
            <w:r>
              <w:rPr>
                <w:rFonts w:hint="eastAsia" w:ascii="Times New Roman" w:hAnsi="Times New Roman"/>
                <w:color w:val="000000" w:themeColor="text1"/>
                <w:sz w:val="24"/>
                <w:szCs w:val="24"/>
              </w:rPr>
              <w:t>本</w:t>
            </w:r>
            <w:r>
              <w:rPr>
                <w:rFonts w:ascii="Times New Roman" w:hAnsi="Times New Roman"/>
                <w:color w:val="000000" w:themeColor="text1"/>
                <w:sz w:val="24"/>
                <w:szCs w:val="24"/>
              </w:rPr>
              <w:t>项目</w:t>
            </w:r>
            <w:r>
              <w:rPr>
                <w:rFonts w:hint="eastAsia" w:ascii="Times New Roman" w:hAnsi="Times New Roman" w:cs="Times New Roman"/>
                <w:color w:val="000000" w:themeColor="text1"/>
                <w:sz w:val="24"/>
                <w:lang w:val="en-US"/>
              </w:rPr>
              <w:t>医疗废水</w:t>
            </w:r>
            <w:r>
              <w:rPr>
                <w:rFonts w:ascii="Times New Roman" w:hAnsi="Times New Roman"/>
                <w:color w:val="000000" w:themeColor="text1"/>
                <w:sz w:val="24"/>
                <w:szCs w:val="24"/>
              </w:rPr>
              <w:t>主要为</w:t>
            </w:r>
            <w:r>
              <w:rPr>
                <w:rFonts w:ascii="Times New Roman" w:hAnsi="Times New Roman" w:cs="Times New Roman"/>
                <w:color w:val="000000" w:themeColor="text1"/>
                <w:kern w:val="2"/>
                <w:sz w:val="24"/>
                <w:szCs w:val="24"/>
                <w:lang w:val="en-US" w:bidi="ar-SA"/>
              </w:rPr>
              <w:t>住院病房</w:t>
            </w:r>
            <w:r>
              <w:rPr>
                <w:rFonts w:ascii="Times New Roman" w:hAnsi="Times New Roman"/>
                <w:color w:val="000000" w:themeColor="text1"/>
                <w:sz w:val="24"/>
                <w:szCs w:val="24"/>
              </w:rPr>
              <w:t>废水</w:t>
            </w:r>
            <w:r>
              <w:rPr>
                <w:rFonts w:hint="eastAsia" w:ascii="Times New Roman" w:hAnsi="Times New Roman"/>
                <w:color w:val="000000" w:themeColor="text1"/>
                <w:sz w:val="24"/>
                <w:szCs w:val="24"/>
              </w:rPr>
              <w:t>、</w:t>
            </w:r>
            <w:r>
              <w:rPr>
                <w:rFonts w:hint="eastAsia" w:ascii="Times New Roman" w:hAnsi="Times New Roman"/>
                <w:color w:val="000000" w:themeColor="text1"/>
                <w:sz w:val="24"/>
                <w:szCs w:val="24"/>
                <w:lang w:val="en-US"/>
              </w:rPr>
              <w:t>门诊废水</w:t>
            </w:r>
            <w:r>
              <w:rPr>
                <w:rFonts w:hint="eastAsia" w:ascii="Times New Roman" w:hAnsi="Times New Roman"/>
                <w:color w:val="000000" w:themeColor="text1"/>
                <w:sz w:val="24"/>
                <w:szCs w:val="24"/>
              </w:rPr>
              <w:t>、</w:t>
            </w:r>
            <w:r>
              <w:rPr>
                <w:rFonts w:ascii="Times New Roman" w:hAnsi="Times New Roman"/>
                <w:color w:val="000000" w:themeColor="text1"/>
                <w:sz w:val="24"/>
                <w:szCs w:val="24"/>
              </w:rPr>
              <w:t>保洁废水</w:t>
            </w:r>
            <w:r>
              <w:rPr>
                <w:rFonts w:hint="eastAsia" w:ascii="Times New Roman" w:hAnsi="Times New Roman" w:cs="Times New Roman"/>
                <w:color w:val="000000" w:themeColor="text1"/>
                <w:sz w:val="24"/>
              </w:rPr>
              <w:t>、洗衣</w:t>
            </w:r>
            <w:r>
              <w:rPr>
                <w:rFonts w:hint="eastAsia" w:ascii="Times New Roman" w:hAnsi="Times New Roman" w:cs="Times New Roman"/>
                <w:color w:val="000000" w:themeColor="text1"/>
                <w:sz w:val="24"/>
                <w:lang w:val="en-US"/>
              </w:rPr>
              <w:t>废水、</w:t>
            </w:r>
            <w:r>
              <w:rPr>
                <w:rFonts w:hint="eastAsia" w:ascii="Times New Roman" w:hAnsi="Times New Roman" w:cs="Times New Roman"/>
                <w:color w:val="000000" w:themeColor="text1"/>
                <w:kern w:val="2"/>
                <w:sz w:val="24"/>
                <w:szCs w:val="24"/>
                <w:lang w:val="en-US" w:bidi="ar-SA"/>
              </w:rPr>
              <w:t>传染病楼职工废水</w:t>
            </w:r>
            <w:r>
              <w:rPr>
                <w:rFonts w:hint="eastAsia" w:ascii="Times New Roman" w:hAnsi="Times New Roman" w:cs="Times New Roman"/>
                <w:color w:val="000000" w:themeColor="text1"/>
                <w:sz w:val="24"/>
              </w:rPr>
              <w:t>，</w:t>
            </w:r>
            <w:r>
              <w:rPr>
                <w:rFonts w:hint="eastAsia" w:ascii="Times New Roman" w:hAnsi="Times New Roman" w:cs="Times New Roman"/>
                <w:color w:val="000000" w:themeColor="text1"/>
                <w:kern w:val="2"/>
                <w:sz w:val="24"/>
                <w:szCs w:val="24"/>
                <w:lang w:val="en-US" w:bidi="ar-SA"/>
              </w:rPr>
              <w:t>业务综合楼、传染病楼</w:t>
            </w:r>
            <w:r>
              <w:rPr>
                <w:rFonts w:ascii="Times New Roman" w:hAnsi="Times New Roman" w:cs="Times New Roman"/>
                <w:color w:val="000000" w:themeColor="text1"/>
                <w:sz w:val="24"/>
                <w:szCs w:val="24"/>
                <w:lang w:val="en-US"/>
              </w:rPr>
              <w:t>医疗废水量</w:t>
            </w:r>
            <w:r>
              <w:rPr>
                <w:rFonts w:hint="eastAsia" w:ascii="Times New Roman" w:hAnsi="Times New Roman" w:cs="Times New Roman"/>
                <w:color w:val="000000" w:themeColor="text1"/>
                <w:sz w:val="24"/>
                <w:szCs w:val="24"/>
                <w:lang w:val="en-US"/>
              </w:rPr>
              <w:t>分别</w:t>
            </w:r>
            <w:r>
              <w:rPr>
                <w:rFonts w:ascii="Times New Roman" w:hAnsi="Times New Roman" w:cs="Times New Roman"/>
                <w:color w:val="000000" w:themeColor="text1"/>
                <w:sz w:val="24"/>
                <w:szCs w:val="24"/>
                <w:lang w:val="en-US"/>
              </w:rPr>
              <w:t>为</w:t>
            </w:r>
            <w:r>
              <w:rPr>
                <w:rFonts w:hint="eastAsia" w:ascii="Times New Roman" w:hAnsi="Times New Roman" w:cs="Times New Roman"/>
                <w:color w:val="000000" w:themeColor="text1"/>
                <w:sz w:val="24"/>
                <w:szCs w:val="24"/>
                <w:lang w:val="en-US"/>
              </w:rPr>
              <w:t>100.86</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/d（</w:t>
            </w:r>
            <w:r>
              <w:rPr>
                <w:rFonts w:hint="eastAsia" w:ascii="Times New Roman" w:hAnsi="Times New Roman" w:cs="Times New Roman"/>
                <w:color w:val="000000" w:themeColor="text1"/>
                <w:sz w:val="24"/>
                <w:szCs w:val="24"/>
                <w:lang w:val="en-US"/>
              </w:rPr>
              <w:t>36814.63</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lang w:val="en-US"/>
              </w:rPr>
              <w:t>8.72</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/d（</w:t>
            </w:r>
            <w:r>
              <w:rPr>
                <w:rFonts w:hint="eastAsia" w:ascii="Times New Roman" w:hAnsi="Times New Roman" w:cs="Times New Roman"/>
                <w:color w:val="000000" w:themeColor="text1"/>
                <w:sz w:val="24"/>
                <w:szCs w:val="24"/>
                <w:lang w:val="en-US"/>
              </w:rPr>
              <w:t>3183.71</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kern w:val="2"/>
                <w:sz w:val="24"/>
                <w:szCs w:val="24"/>
                <w:lang w:val="en-US" w:bidi="ar-SA"/>
              </w:rPr>
              <w:t>。</w:t>
            </w:r>
          </w:p>
          <w:p w14:paraId="2FC2A5A5">
            <w:pPr>
              <w:autoSpaceDE/>
              <w:spacing w:line="360" w:lineRule="auto"/>
              <w:ind w:firstLine="480"/>
              <w:jc w:val="both"/>
              <w:rPr>
                <w:rFonts w:ascii="Times New Roman" w:hAnsi="Times New Roman" w:eastAsiaTheme="minorEastAsia"/>
                <w:color w:val="000000" w:themeColor="text1"/>
                <w:sz w:val="24"/>
                <w:szCs w:val="24"/>
                <w:lang w:val="en-US"/>
              </w:rPr>
            </w:pPr>
            <w:r>
              <w:rPr>
                <w:rFonts w:hint="eastAsia" w:ascii="Times New Roman" w:hAnsi="Times New Roman" w:cs="Times New Roman"/>
                <w:color w:val="000000" w:themeColor="text1"/>
                <w:kern w:val="2"/>
                <w:sz w:val="24"/>
                <w:szCs w:val="24"/>
                <w:lang w:val="en-US" w:bidi="ar-SA"/>
              </w:rPr>
              <w:t>根据前文原有项目污染物产排情况及环保措施-废水章节可知，原有项目废水量（除食堂废水）为170.42</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/d（</w:t>
            </w:r>
            <w:r>
              <w:rPr>
                <w:rFonts w:hint="eastAsia" w:ascii="Times New Roman" w:hAnsi="Times New Roman" w:cs="Times New Roman"/>
                <w:color w:val="000000" w:themeColor="text1"/>
                <w:sz w:val="24"/>
                <w:szCs w:val="24"/>
                <w:lang w:val="en-US"/>
              </w:rPr>
              <w:t>62203.3</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/a）</w:t>
            </w:r>
            <w:r>
              <w:rPr>
                <w:rFonts w:hint="eastAsia" w:ascii="Times New Roman" w:hAnsi="Times New Roman" w:cs="Times New Roman"/>
                <w:color w:val="000000" w:themeColor="text1"/>
                <w:sz w:val="24"/>
                <w:szCs w:val="24"/>
              </w:rPr>
              <w:t>，</w:t>
            </w:r>
            <w:r>
              <w:rPr>
                <w:rFonts w:hint="eastAsia" w:ascii="Times New Roman" w:hAnsi="Times New Roman"/>
                <w:bCs/>
                <w:color w:val="000000" w:themeColor="text1"/>
                <w:sz w:val="24"/>
                <w:szCs w:val="24"/>
                <w:lang w:val="en-US"/>
              </w:rPr>
              <w:t>根据在建项目污染物产排情况及环保措施-</w:t>
            </w:r>
            <w:r>
              <w:rPr>
                <w:rFonts w:hint="eastAsia" w:ascii="Times New Roman" w:hAnsi="Times New Roman" w:cs="Times New Roman"/>
                <w:color w:val="000000" w:themeColor="text1"/>
                <w:kern w:val="2"/>
                <w:sz w:val="24"/>
                <w:szCs w:val="24"/>
                <w:lang w:val="en-US" w:bidi="ar-SA"/>
              </w:rPr>
              <w:t>废水章节可知</w:t>
            </w:r>
            <w:r>
              <w:rPr>
                <w:rFonts w:hint="eastAsia" w:ascii="Times New Roman" w:hAnsi="Times New Roman"/>
                <w:bCs/>
                <w:color w:val="000000" w:themeColor="text1"/>
                <w:sz w:val="24"/>
                <w:szCs w:val="24"/>
                <w:lang w:val="en-US"/>
              </w:rPr>
              <w:t>，</w:t>
            </w:r>
            <w:r>
              <w:rPr>
                <w:rFonts w:hint="eastAsia" w:ascii="Times New Roman" w:hAnsi="Times New Roman" w:cs="Times New Roman"/>
                <w:color w:val="000000" w:themeColor="text1"/>
                <w:sz w:val="24"/>
                <w:szCs w:val="24"/>
                <w:lang w:val="en-US"/>
              </w:rPr>
              <w:t>在建项目</w:t>
            </w:r>
            <w:r>
              <w:rPr>
                <w:rFonts w:hint="eastAsia" w:ascii="Times New Roman" w:hAnsi="Times New Roman" w:cs="Times New Roman"/>
                <w:color w:val="000000" w:themeColor="text1"/>
                <w:kern w:val="2"/>
                <w:sz w:val="24"/>
                <w:szCs w:val="24"/>
                <w:lang w:val="en-US" w:bidi="ar-SA"/>
              </w:rPr>
              <w:t>废水量（除住院病人食堂废水）为</w:t>
            </w:r>
            <w:r>
              <w:rPr>
                <w:rFonts w:hint="eastAsia" w:ascii="Times New Roman" w:hAnsi="Times New Roman" w:cs="Times New Roman"/>
                <w:color w:val="000000" w:themeColor="text1"/>
                <w:sz w:val="24"/>
                <w:szCs w:val="24"/>
                <w:lang w:val="en-US"/>
              </w:rPr>
              <w:t>176.66</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（64480.9</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kern w:val="2"/>
                <w:sz w:val="24"/>
                <w:szCs w:val="24"/>
                <w:lang w:val="en-US" w:bidi="ar-SA"/>
              </w:rPr>
              <w:t>）</w:t>
            </w:r>
            <w:r>
              <w:rPr>
                <w:rFonts w:hint="eastAsia" w:ascii="Times New Roman" w:hAnsi="Times New Roman" w:cs="Times New Roman" w:eastAsiaTheme="minorEastAsia"/>
                <w:color w:val="000000" w:themeColor="text1"/>
                <w:kern w:val="2"/>
                <w:sz w:val="24"/>
                <w:szCs w:val="24"/>
                <w:lang w:val="en-US" w:bidi="ar-SA"/>
              </w:rPr>
              <w:t>。</w:t>
            </w:r>
          </w:p>
          <w:p w14:paraId="59596D07">
            <w:pPr>
              <w:spacing w:line="360" w:lineRule="auto"/>
              <w:ind w:firstLine="480" w:firstLineChars="200"/>
              <w:rPr>
                <w:rFonts w:ascii="Times New Roman" w:hAnsi="Times New Roman" w:cs="Times New Roman"/>
                <w:color w:val="000000" w:themeColor="text1"/>
                <w:sz w:val="24"/>
                <w:lang w:val="en-US"/>
              </w:rPr>
            </w:pPr>
            <w:r>
              <w:rPr>
                <w:rFonts w:hint="eastAsia" w:ascii="Times New Roman" w:hAnsi="Times New Roman" w:cs="Times New Roman"/>
                <w:snapToGrid w:val="0"/>
                <w:color w:val="000000" w:themeColor="text1"/>
                <w:sz w:val="24"/>
                <w:szCs w:val="24"/>
                <w:lang w:val="en-US"/>
              </w:rPr>
              <w:t>本</w:t>
            </w:r>
            <w:r>
              <w:rPr>
                <w:rFonts w:ascii="Times New Roman" w:hAnsi="Times New Roman" w:cs="Times New Roman"/>
                <w:bCs/>
                <w:color w:val="000000" w:themeColor="text1"/>
                <w:sz w:val="24"/>
                <w:szCs w:val="24"/>
                <w:lang w:val="en-US" w:bidi="ar-SA"/>
              </w:rPr>
              <w:t>项目运营期废水主要是</w:t>
            </w:r>
            <w:r>
              <w:rPr>
                <w:rFonts w:hint="eastAsia" w:ascii="Times New Roman" w:hAnsi="Times New Roman" w:cs="Times New Roman"/>
                <w:bCs/>
                <w:color w:val="000000" w:themeColor="text1"/>
                <w:sz w:val="24"/>
                <w:szCs w:val="24"/>
                <w:lang w:val="en-US" w:bidi="ar-SA"/>
              </w:rPr>
              <w:t>业务综合楼</w:t>
            </w:r>
            <w:r>
              <w:rPr>
                <w:rFonts w:ascii="Times New Roman" w:hAnsi="Times New Roman" w:cs="Times New Roman"/>
                <w:color w:val="000000" w:themeColor="text1"/>
                <w:kern w:val="2"/>
                <w:sz w:val="24"/>
                <w:szCs w:val="24"/>
                <w:lang w:val="en-US" w:bidi="ar-SA"/>
              </w:rPr>
              <w:t>医疗废水</w:t>
            </w:r>
            <w:r>
              <w:rPr>
                <w:rFonts w:hint="eastAsia" w:ascii="Times New Roman" w:hAnsi="Times New Roman" w:cs="Times New Roman"/>
                <w:bCs/>
                <w:color w:val="000000" w:themeColor="text1"/>
                <w:sz w:val="24"/>
                <w:szCs w:val="24"/>
                <w:lang w:val="en-US" w:bidi="ar-SA"/>
              </w:rPr>
              <w:t>、传染病楼的</w:t>
            </w:r>
            <w:r>
              <w:rPr>
                <w:rFonts w:ascii="Times New Roman" w:hAnsi="Times New Roman" w:cs="Times New Roman"/>
                <w:color w:val="000000" w:themeColor="text1"/>
                <w:kern w:val="2"/>
                <w:sz w:val="24"/>
                <w:szCs w:val="24"/>
                <w:lang w:val="en-US" w:bidi="ar-SA"/>
              </w:rPr>
              <w:t>生活污水和医疗废水</w:t>
            </w:r>
            <w:r>
              <w:rPr>
                <w:rFonts w:hint="eastAsia" w:ascii="Times New Roman" w:hAnsi="Times New Roman" w:cs="Times New Roman"/>
                <w:color w:val="000000" w:themeColor="text1"/>
                <w:kern w:val="2"/>
                <w:sz w:val="24"/>
                <w:szCs w:val="24"/>
                <w:lang w:val="en-US" w:bidi="ar-SA"/>
              </w:rPr>
              <w:t>，</w:t>
            </w:r>
            <w:r>
              <w:rPr>
                <w:rFonts w:hint="eastAsia" w:ascii="Times New Roman" w:hAnsi="Times New Roman" w:cs="Times New Roman"/>
                <w:bCs/>
                <w:color w:val="000000" w:themeColor="text1"/>
                <w:sz w:val="24"/>
                <w:szCs w:val="24"/>
                <w:lang w:val="en-US" w:bidi="ar-SA"/>
              </w:rPr>
              <w:t>传染病楼的</w:t>
            </w:r>
            <w:r>
              <w:rPr>
                <w:rFonts w:ascii="Times New Roman" w:hAnsi="Times New Roman" w:cs="Times New Roman"/>
                <w:color w:val="000000" w:themeColor="text1"/>
                <w:kern w:val="2"/>
                <w:sz w:val="24"/>
                <w:szCs w:val="24"/>
                <w:lang w:val="en-US" w:bidi="ar-SA"/>
              </w:rPr>
              <w:t>生活污水和医疗废水</w:t>
            </w:r>
            <w:r>
              <w:rPr>
                <w:rFonts w:hint="eastAsia" w:ascii="Times New Roman" w:hAnsi="Times New Roman" w:cs="Times New Roman"/>
                <w:color w:val="000000" w:themeColor="text1"/>
                <w:kern w:val="2"/>
                <w:sz w:val="24"/>
                <w:szCs w:val="24"/>
                <w:lang w:val="en-US" w:bidi="ar-SA"/>
              </w:rPr>
              <w:t>经传染病预处理设施（加氯消毒+脱氯工艺）处理后与</w:t>
            </w:r>
            <w:r>
              <w:rPr>
                <w:rFonts w:hint="eastAsia" w:ascii="Times New Roman" w:hAnsi="Times New Roman" w:cs="Times New Roman"/>
                <w:bCs/>
                <w:color w:val="000000" w:themeColor="text1"/>
                <w:sz w:val="24"/>
                <w:szCs w:val="24"/>
                <w:lang w:val="en-US" w:bidi="ar-SA"/>
              </w:rPr>
              <w:t>业务综合楼</w:t>
            </w:r>
            <w:r>
              <w:rPr>
                <w:rFonts w:ascii="Times New Roman" w:hAnsi="Times New Roman" w:cs="Times New Roman"/>
                <w:color w:val="000000" w:themeColor="text1"/>
                <w:kern w:val="2"/>
                <w:sz w:val="24"/>
                <w:szCs w:val="24"/>
                <w:lang w:val="en-US" w:bidi="ar-SA"/>
              </w:rPr>
              <w:t>医疗废水</w:t>
            </w:r>
            <w:r>
              <w:rPr>
                <w:rFonts w:hint="eastAsia" w:ascii="Times New Roman" w:hAnsi="Times New Roman" w:cs="Times New Roman"/>
                <w:color w:val="000000" w:themeColor="text1"/>
                <w:kern w:val="2"/>
                <w:sz w:val="24"/>
                <w:szCs w:val="24"/>
                <w:lang w:val="en-US" w:bidi="ar-SA"/>
              </w:rPr>
              <w:t>一起排入综合污水处理站“格栅池→调节池→厌氧滤池→接触氧化池→二沉池→消毒池→脱氯池→排放工艺”处理</w:t>
            </w:r>
            <w:r>
              <w:rPr>
                <w:rFonts w:hint="eastAsia" w:ascii="Times New Roman" w:hAnsi="Times New Roman"/>
                <w:color w:val="000000" w:themeColor="text1"/>
                <w:sz w:val="24"/>
                <w:szCs w:val="24"/>
                <w:lang w:val="en-US"/>
              </w:rPr>
              <w:t>，</w:t>
            </w:r>
            <w:r>
              <w:rPr>
                <w:rFonts w:hint="eastAsia" w:ascii="Times New Roman" w:hAnsi="Times New Roman" w:cs="Times New Roman"/>
                <w:color w:val="000000" w:themeColor="text1"/>
                <w:kern w:val="3"/>
                <w:sz w:val="24"/>
                <w:szCs w:val="24"/>
                <w:lang w:val="en-US" w:bidi="ar-SA"/>
              </w:rPr>
              <w:t>参照《医院污水处理工程技术规范》（</w:t>
            </w:r>
            <w:r>
              <w:rPr>
                <w:rFonts w:ascii="Times New Roman" w:hAnsi="Times New Roman" w:cs="Times New Roman"/>
                <w:color w:val="000000" w:themeColor="text1"/>
                <w:kern w:val="3"/>
                <w:sz w:val="24"/>
                <w:szCs w:val="24"/>
                <w:lang w:val="en-US" w:bidi="ar-SA"/>
              </w:rPr>
              <w:t>HJ2029-2013</w:t>
            </w:r>
            <w:r>
              <w:rPr>
                <w:rFonts w:hint="eastAsia" w:ascii="Times New Roman" w:hAnsi="Times New Roman" w:cs="Times New Roman"/>
                <w:color w:val="000000" w:themeColor="text1"/>
                <w:kern w:val="3"/>
                <w:sz w:val="24"/>
                <w:szCs w:val="24"/>
                <w:lang w:val="en-US" w:bidi="ar-SA"/>
              </w:rPr>
              <w:t>）的相关内容可知，</w:t>
            </w:r>
            <w:r>
              <w:rPr>
                <w:rFonts w:ascii="Times New Roman" w:hAnsi="Times New Roman" w:cs="Times New Roman"/>
                <w:color w:val="000000" w:themeColor="text1"/>
                <w:kern w:val="3"/>
                <w:sz w:val="24"/>
                <w:szCs w:val="24"/>
                <w:lang w:val="en-US" w:bidi="ar-SA"/>
              </w:rPr>
              <w:t>医疗机构污水</w:t>
            </w:r>
            <w:r>
              <w:rPr>
                <w:rFonts w:hint="eastAsia" w:ascii="Times New Roman" w:hAnsi="Times New Roman" w:cs="Times New Roman"/>
                <w:color w:val="000000" w:themeColor="text1"/>
                <w:kern w:val="3"/>
                <w:sz w:val="24"/>
                <w:szCs w:val="24"/>
                <w:lang w:val="en-US" w:bidi="ar-SA"/>
              </w:rPr>
              <w:t>中主要污染物为</w:t>
            </w:r>
            <w:r>
              <w:rPr>
                <w:rFonts w:ascii="Times New Roman" w:hAnsi="Times New Roman" w:cs="Times New Roman"/>
                <w:color w:val="000000" w:themeColor="text1"/>
                <w:kern w:val="3"/>
                <w:sz w:val="24"/>
                <w:szCs w:val="24"/>
                <w:lang w:val="en-US" w:bidi="ar-SA"/>
              </w:rPr>
              <w:t>pH</w:t>
            </w:r>
            <w:r>
              <w:rPr>
                <w:rFonts w:hint="eastAsia" w:ascii="Times New Roman" w:hAnsi="Times New Roman" w:cs="Times New Roman"/>
                <w:color w:val="000000" w:themeColor="text1"/>
                <w:kern w:val="3"/>
                <w:sz w:val="24"/>
                <w:szCs w:val="24"/>
                <w:lang w:val="en-US" w:bidi="ar-SA"/>
              </w:rPr>
              <w:t>、</w:t>
            </w:r>
            <w:r>
              <w:rPr>
                <w:rFonts w:ascii="Times New Roman" w:hAnsi="Times New Roman" w:cs="Times New Roman"/>
                <w:color w:val="000000" w:themeColor="text1"/>
                <w:kern w:val="3"/>
                <w:sz w:val="24"/>
                <w:szCs w:val="24"/>
                <w:lang w:val="en-US" w:bidi="ar-SA"/>
              </w:rPr>
              <w:t>COD</w:t>
            </w:r>
            <w:r>
              <w:rPr>
                <w:rFonts w:hint="eastAsia" w:ascii="Times New Roman" w:hAnsi="Times New Roman" w:cs="Times New Roman"/>
                <w:color w:val="000000" w:themeColor="text1"/>
                <w:kern w:val="3"/>
                <w:sz w:val="24"/>
                <w:szCs w:val="24"/>
                <w:lang w:val="en-US" w:bidi="ar-SA"/>
              </w:rPr>
              <w:t>、</w:t>
            </w:r>
            <w:r>
              <w:rPr>
                <w:rFonts w:ascii="Times New Roman" w:hAnsi="Times New Roman" w:cs="Times New Roman"/>
                <w:color w:val="000000" w:themeColor="text1"/>
                <w:kern w:val="3"/>
                <w:sz w:val="24"/>
                <w:szCs w:val="24"/>
                <w:lang w:val="en-US" w:bidi="ar-SA"/>
              </w:rPr>
              <w:t>BOD</w:t>
            </w:r>
            <w:r>
              <w:rPr>
                <w:rFonts w:ascii="Times New Roman" w:hAnsi="Times New Roman" w:cs="Times New Roman"/>
                <w:color w:val="000000" w:themeColor="text1"/>
                <w:kern w:val="3"/>
                <w:sz w:val="24"/>
                <w:szCs w:val="24"/>
                <w:vertAlign w:val="subscript"/>
                <w:lang w:val="en-US" w:bidi="ar-SA"/>
              </w:rPr>
              <w:t>5</w:t>
            </w:r>
            <w:r>
              <w:rPr>
                <w:rFonts w:hint="eastAsia" w:ascii="Times New Roman" w:hAnsi="Times New Roman" w:cs="Times New Roman"/>
                <w:color w:val="000000" w:themeColor="text1"/>
                <w:kern w:val="3"/>
                <w:sz w:val="24"/>
                <w:szCs w:val="24"/>
                <w:lang w:val="en-US" w:bidi="ar-SA"/>
              </w:rPr>
              <w:t>、</w:t>
            </w:r>
            <w:r>
              <w:rPr>
                <w:rFonts w:ascii="Times New Roman" w:hAnsi="Times New Roman" w:cs="Times New Roman"/>
                <w:color w:val="000000" w:themeColor="text1"/>
                <w:kern w:val="3"/>
                <w:sz w:val="24"/>
                <w:szCs w:val="24"/>
                <w:lang w:val="en-US" w:bidi="ar-SA"/>
              </w:rPr>
              <w:t>SS</w:t>
            </w:r>
            <w:r>
              <w:rPr>
                <w:rFonts w:hint="eastAsia" w:ascii="Times New Roman" w:hAnsi="Times New Roman" w:cs="Times New Roman"/>
                <w:color w:val="000000" w:themeColor="text1"/>
                <w:kern w:val="3"/>
                <w:sz w:val="24"/>
                <w:szCs w:val="24"/>
                <w:lang w:val="en-US" w:bidi="ar-SA"/>
              </w:rPr>
              <w:t>、氨氮、粪大肠菌群</w:t>
            </w:r>
            <w:r>
              <w:rPr>
                <w:rStyle w:val="34"/>
                <w:rFonts w:hint="eastAsia"/>
                <w:color w:val="000000" w:themeColor="text1"/>
              </w:rPr>
              <w:t>、</w:t>
            </w:r>
            <w:r>
              <w:rPr>
                <w:rFonts w:hint="eastAsia" w:ascii="Times New Roman" w:hAnsi="Times New Roman" w:cs="Times New Roman"/>
                <w:color w:val="000000" w:themeColor="text1"/>
                <w:kern w:val="3"/>
                <w:sz w:val="24"/>
                <w:szCs w:val="24"/>
                <w:lang w:val="en-US" w:bidi="ar-SA"/>
              </w:rPr>
              <w:t>阴离子表面活性剂、动植物油等，</w:t>
            </w:r>
            <w:r>
              <w:rPr>
                <w:rFonts w:ascii="Times New Roman" w:hAnsi="Times New Roman" w:cs="Times New Roman"/>
                <w:color w:val="000000" w:themeColor="text1"/>
                <w:sz w:val="24"/>
              </w:rPr>
              <w:t>本项目水污染物排放量详见</w:t>
            </w:r>
            <w:r>
              <w:rPr>
                <w:rFonts w:ascii="Times New Roman" w:hAnsi="Times New Roman" w:cs="Times New Roman"/>
                <w:color w:val="000000" w:themeColor="text1"/>
                <w:sz w:val="24"/>
                <w:lang w:val="en-US"/>
              </w:rPr>
              <w:t>4</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rPr>
              <w:t>3</w:t>
            </w:r>
            <w:r>
              <w:rPr>
                <w:rFonts w:ascii="Times New Roman" w:hAnsi="Times New Roman" w:cs="Times New Roman"/>
                <w:color w:val="000000" w:themeColor="text1"/>
                <w:sz w:val="24"/>
              </w:rPr>
              <w:t>。</w:t>
            </w:r>
          </w:p>
          <w:p w14:paraId="56B88753">
            <w:pPr>
              <w:pStyle w:val="5"/>
              <w:rPr>
                <w:color w:val="000000" w:themeColor="text1"/>
                <w:lang w:val="en-US" w:bidi="ar-SA"/>
              </w:rPr>
            </w:pPr>
          </w:p>
        </w:tc>
      </w:tr>
    </w:tbl>
    <w:p w14:paraId="4001C33B">
      <w:pPr>
        <w:rPr>
          <w:rFonts w:ascii="Times New Roman" w:hAnsi="Times New Roman" w:cs="Times New Roman"/>
          <w:sz w:val="21"/>
        </w:rPr>
        <w:sectPr>
          <w:pgSz w:w="11910" w:h="16850"/>
          <w:pgMar w:top="1600" w:right="1320" w:bottom="1000" w:left="1340" w:header="0" w:footer="817" w:gutter="0"/>
          <w:cols w:space="720" w:num="1"/>
        </w:sectPr>
      </w:pPr>
    </w:p>
    <w:p w14:paraId="1EAB7E03">
      <w:pPr>
        <w:pStyle w:val="2"/>
        <w:ind w:left="0" w:right="0"/>
        <w:jc w:val="both"/>
        <w:rPr>
          <w:rFonts w:ascii="Times New Roman" w:hAnsi="Times New Roman" w:eastAsia="宋体" w:cs="Times New Roman"/>
          <w:b/>
          <w:bCs/>
          <w:sz w:val="30"/>
          <w:szCs w:val="30"/>
          <w:lang w:val="en-US"/>
        </w:rPr>
      </w:pPr>
      <w:bookmarkStart w:id="20" w:name="_Toc1430"/>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6"/>
      </w:tblGrid>
      <w:tr w14:paraId="19CF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6" w:type="dxa"/>
          </w:tcPr>
          <w:p w14:paraId="340DF735">
            <w:pPr>
              <w:autoSpaceDE/>
              <w:autoSpaceDN/>
              <w:jc w:val="center"/>
              <w:rPr>
                <w:rFonts w:ascii="Times New Roman" w:hAnsi="Times New Roman" w:cs="Times New Roman"/>
                <w:b/>
                <w:bCs/>
                <w:color w:val="000000" w:themeColor="text1"/>
                <w:kern w:val="2"/>
                <w:sz w:val="24"/>
                <w:szCs w:val="24"/>
                <w:lang w:val="en-US" w:bidi="ar-SA"/>
              </w:rPr>
            </w:pPr>
            <w:r>
              <w:rPr>
                <w:rFonts w:ascii="Times New Roman" w:hAnsi="Times New Roman" w:cs="Times New Roman"/>
                <w:b/>
                <w:bCs/>
                <w:color w:val="000000" w:themeColor="text1"/>
                <w:kern w:val="2"/>
                <w:sz w:val="24"/>
                <w:szCs w:val="24"/>
                <w:lang w:val="en-US" w:bidi="ar-SA"/>
              </w:rPr>
              <w:t>表</w:t>
            </w:r>
            <w:r>
              <w:rPr>
                <w:rFonts w:hint="eastAsia" w:ascii="Times New Roman" w:hAnsi="Times New Roman" w:cs="Times New Roman"/>
                <w:b/>
                <w:bCs/>
                <w:color w:val="000000" w:themeColor="text1"/>
                <w:kern w:val="2"/>
                <w:sz w:val="24"/>
                <w:szCs w:val="24"/>
                <w:lang w:val="en-US" w:bidi="ar-SA"/>
              </w:rPr>
              <w:t>4</w:t>
            </w:r>
            <w:r>
              <w:rPr>
                <w:rFonts w:ascii="Times New Roman" w:hAnsi="Times New Roman" w:cs="Times New Roman"/>
                <w:b/>
                <w:bCs/>
                <w:color w:val="000000" w:themeColor="text1"/>
                <w:kern w:val="2"/>
                <w:sz w:val="24"/>
                <w:szCs w:val="24"/>
                <w:lang w:val="en-US" w:bidi="ar-SA"/>
              </w:rPr>
              <w:t>-</w:t>
            </w:r>
            <w:r>
              <w:rPr>
                <w:rFonts w:hint="eastAsia" w:ascii="Times New Roman" w:hAnsi="Times New Roman" w:cs="Times New Roman"/>
                <w:b/>
                <w:bCs/>
                <w:color w:val="000000" w:themeColor="text1"/>
                <w:kern w:val="2"/>
                <w:sz w:val="24"/>
                <w:szCs w:val="24"/>
                <w:lang w:val="en-US" w:bidi="ar-SA"/>
              </w:rPr>
              <w:t>3</w:t>
            </w:r>
            <w:r>
              <w:rPr>
                <w:rFonts w:ascii="Times New Roman" w:hAnsi="Times New Roman" w:cs="Times New Roman"/>
                <w:b/>
                <w:bCs/>
                <w:color w:val="000000" w:themeColor="text1"/>
                <w:kern w:val="3"/>
                <w:sz w:val="24"/>
                <w:szCs w:val="24"/>
                <w:lang w:val="en-US" w:bidi="ar-SA"/>
              </w:rPr>
              <w:t>医疗机构污水</w:t>
            </w:r>
            <w:r>
              <w:rPr>
                <w:rFonts w:ascii="Times New Roman" w:hAnsi="Times New Roman" w:cs="Times New Roman"/>
                <w:b/>
                <w:bCs/>
                <w:color w:val="000000" w:themeColor="text1"/>
                <w:kern w:val="2"/>
                <w:sz w:val="24"/>
                <w:szCs w:val="24"/>
                <w:lang w:val="en-US" w:bidi="ar-SA"/>
              </w:rPr>
              <w:t>污染物产生源强及排放情况</w:t>
            </w:r>
          </w:p>
          <w:tbl>
            <w:tblPr>
              <w:tblStyle w:val="27"/>
              <w:tblW w:w="499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92"/>
              <w:gridCol w:w="1465"/>
              <w:gridCol w:w="1411"/>
              <w:gridCol w:w="1152"/>
              <w:gridCol w:w="1272"/>
              <w:gridCol w:w="1141"/>
              <w:gridCol w:w="993"/>
              <w:gridCol w:w="1343"/>
              <w:gridCol w:w="1044"/>
              <w:gridCol w:w="1010"/>
              <w:gridCol w:w="690"/>
              <w:gridCol w:w="815"/>
            </w:tblGrid>
            <w:tr w14:paraId="26C95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restart"/>
                  <w:tcBorders>
                    <w:tl2br w:val="nil"/>
                    <w:tr2bl w:val="nil"/>
                  </w:tcBorders>
                  <w:vAlign w:val="center"/>
                </w:tcPr>
                <w:p w14:paraId="16D175FC">
                  <w:pPr>
                    <w:widowControl/>
                    <w:jc w:val="center"/>
                    <w:textAlignment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lang w:val="en-US"/>
                    </w:rPr>
                    <w:t>类别</w:t>
                  </w:r>
                </w:p>
              </w:tc>
              <w:tc>
                <w:tcPr>
                  <w:tcW w:w="515" w:type="pct"/>
                  <w:vMerge w:val="restart"/>
                  <w:tcBorders>
                    <w:tl2br w:val="nil"/>
                    <w:tr2bl w:val="nil"/>
                  </w:tcBorders>
                  <w:vAlign w:val="center"/>
                </w:tcPr>
                <w:p w14:paraId="7CA81431">
                  <w:pPr>
                    <w:widowControl/>
                    <w:jc w:val="center"/>
                    <w:textAlignment w:val="center"/>
                    <w:rPr>
                      <w:rFonts w:ascii="Times New Roman" w:hAnsi="Times New Roman"/>
                      <w:b/>
                      <w:bCs/>
                      <w:color w:val="000000" w:themeColor="text1"/>
                      <w:sz w:val="21"/>
                      <w:szCs w:val="21"/>
                      <w:lang w:val="en-US"/>
                    </w:rPr>
                  </w:pPr>
                  <w:r>
                    <w:rPr>
                      <w:rFonts w:hint="eastAsia" w:ascii="Times New Roman" w:hAnsi="Times New Roman"/>
                      <w:b/>
                      <w:bCs/>
                      <w:color w:val="000000" w:themeColor="text1"/>
                      <w:sz w:val="21"/>
                      <w:szCs w:val="21"/>
                      <w:lang w:val="en-US"/>
                    </w:rPr>
                    <w:t>废水量</w:t>
                  </w:r>
                </w:p>
                <w:p w14:paraId="571B9F39">
                  <w:pPr>
                    <w:widowControl/>
                    <w:jc w:val="center"/>
                    <w:textAlignment w:val="center"/>
                    <w:rPr>
                      <w:rFonts w:ascii="Times New Roman" w:hAnsi="Times New Roman"/>
                      <w:b/>
                      <w:bCs/>
                      <w:color w:val="000000" w:themeColor="text1"/>
                      <w:sz w:val="21"/>
                      <w:szCs w:val="21"/>
                    </w:rPr>
                  </w:pPr>
                  <w:r>
                    <w:rPr>
                      <w:rFonts w:hint="eastAsia" w:ascii="Times New Roman" w:hAnsi="Times New Roman"/>
                      <w:b/>
                      <w:bCs/>
                      <w:color w:val="000000" w:themeColor="text1"/>
                      <w:sz w:val="21"/>
                      <w:szCs w:val="21"/>
                      <w:lang w:val="en-US"/>
                    </w:rPr>
                    <w:t>（</w:t>
                  </w:r>
                  <w:r>
                    <w:rPr>
                      <w:rFonts w:ascii="Times New Roman" w:hAnsi="Times New Roman" w:cs="Times New Roman"/>
                      <w:b/>
                      <w:bCs/>
                      <w:color w:val="000000" w:themeColor="text1"/>
                      <w:sz w:val="21"/>
                      <w:szCs w:val="21"/>
                      <w:lang w:val="en-US"/>
                    </w:rPr>
                    <w:t>t/a</w:t>
                  </w:r>
                  <w:r>
                    <w:rPr>
                      <w:rFonts w:hint="eastAsia" w:ascii="Times New Roman" w:hAnsi="Times New Roman"/>
                      <w:b/>
                      <w:bCs/>
                      <w:color w:val="000000" w:themeColor="text1"/>
                      <w:sz w:val="21"/>
                      <w:szCs w:val="21"/>
                      <w:lang w:val="en-US"/>
                    </w:rPr>
                    <w:t>）</w:t>
                  </w:r>
                </w:p>
              </w:tc>
              <w:tc>
                <w:tcPr>
                  <w:tcW w:w="495" w:type="pct"/>
                  <w:vMerge w:val="restart"/>
                  <w:tcBorders>
                    <w:tl2br w:val="nil"/>
                    <w:tr2bl w:val="nil"/>
                  </w:tcBorders>
                  <w:vAlign w:val="center"/>
                </w:tcPr>
                <w:p w14:paraId="59B83E9F">
                  <w:pPr>
                    <w:widowControl/>
                    <w:jc w:val="center"/>
                    <w:textAlignment w:val="center"/>
                    <w:rPr>
                      <w:rFonts w:ascii="Times New Roman" w:hAnsi="Times New Roman"/>
                      <w:b/>
                      <w:bCs/>
                      <w:color w:val="000000" w:themeColor="text1"/>
                      <w:sz w:val="21"/>
                      <w:szCs w:val="21"/>
                    </w:rPr>
                  </w:pPr>
                  <w:r>
                    <w:rPr>
                      <w:rFonts w:hint="eastAsia" w:ascii="Times New Roman" w:hAnsi="Times New Roman"/>
                      <w:b/>
                      <w:bCs/>
                      <w:color w:val="000000" w:themeColor="text1"/>
                      <w:sz w:val="21"/>
                      <w:szCs w:val="21"/>
                      <w:lang w:val="en-US"/>
                    </w:rPr>
                    <w:t>指标</w:t>
                  </w:r>
                </w:p>
              </w:tc>
              <w:tc>
                <w:tcPr>
                  <w:tcW w:w="3323" w:type="pct"/>
                  <w:gridSpan w:val="9"/>
                  <w:tcBorders>
                    <w:tl2br w:val="nil"/>
                    <w:tr2bl w:val="nil"/>
                  </w:tcBorders>
                  <w:vAlign w:val="center"/>
                </w:tcPr>
                <w:p w14:paraId="0C474FB4">
                  <w:pPr>
                    <w:widowControl/>
                    <w:jc w:val="center"/>
                    <w:textAlignment w:val="center"/>
                    <w:rPr>
                      <w:rFonts w:ascii="Times New Roman" w:hAnsi="Times New Roman" w:cs="Times New Roman"/>
                      <w:b/>
                      <w:bCs/>
                      <w:color w:val="000000" w:themeColor="text1"/>
                      <w:sz w:val="21"/>
                      <w:szCs w:val="21"/>
                      <w:lang w:val="en-US"/>
                    </w:rPr>
                  </w:pPr>
                  <w:r>
                    <w:rPr>
                      <w:rFonts w:ascii="Times New Roman" w:hAnsi="Times New Roman" w:cs="Times New Roman"/>
                      <w:b/>
                      <w:bCs/>
                      <w:color w:val="000000" w:themeColor="text1"/>
                      <w:sz w:val="21"/>
                      <w:szCs w:val="21"/>
                      <w:lang w:val="en-US"/>
                    </w:rPr>
                    <w:t>污染物名称</w:t>
                  </w:r>
                </w:p>
              </w:tc>
            </w:tr>
            <w:tr w14:paraId="0903E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continue"/>
                  <w:tcBorders>
                    <w:tl2br w:val="nil"/>
                    <w:tr2bl w:val="nil"/>
                  </w:tcBorders>
                  <w:vAlign w:val="center"/>
                </w:tcPr>
                <w:p w14:paraId="15DFDFCA">
                  <w:pPr>
                    <w:widowControl/>
                    <w:jc w:val="center"/>
                    <w:rPr>
                      <w:rFonts w:ascii="Times New Roman" w:hAnsi="Times New Roman" w:cs="Times New Roman"/>
                      <w:color w:val="000000" w:themeColor="text1"/>
                      <w:sz w:val="21"/>
                      <w:szCs w:val="21"/>
                    </w:rPr>
                  </w:pPr>
                </w:p>
              </w:tc>
              <w:tc>
                <w:tcPr>
                  <w:tcW w:w="515" w:type="pct"/>
                  <w:vMerge w:val="continue"/>
                  <w:tcBorders>
                    <w:tl2br w:val="nil"/>
                    <w:tr2bl w:val="nil"/>
                  </w:tcBorders>
                  <w:vAlign w:val="center"/>
                </w:tcPr>
                <w:p w14:paraId="489909A5">
                  <w:pPr>
                    <w:widowControl/>
                    <w:jc w:val="center"/>
                    <w:rPr>
                      <w:rFonts w:ascii="Times New Roman" w:hAnsi="Times New Roman"/>
                      <w:color w:val="000000" w:themeColor="text1"/>
                      <w:sz w:val="21"/>
                      <w:szCs w:val="21"/>
                    </w:rPr>
                  </w:pPr>
                </w:p>
              </w:tc>
              <w:tc>
                <w:tcPr>
                  <w:tcW w:w="495" w:type="pct"/>
                  <w:vMerge w:val="continue"/>
                  <w:tcBorders>
                    <w:tl2br w:val="nil"/>
                    <w:tr2bl w:val="nil"/>
                  </w:tcBorders>
                  <w:vAlign w:val="center"/>
                </w:tcPr>
                <w:p w14:paraId="3213E0CD">
                  <w:pPr>
                    <w:widowControl/>
                    <w:jc w:val="center"/>
                    <w:rPr>
                      <w:rFonts w:ascii="Times New Roman" w:hAnsi="Times New Roman"/>
                      <w:color w:val="000000" w:themeColor="text1"/>
                      <w:sz w:val="21"/>
                      <w:szCs w:val="21"/>
                    </w:rPr>
                  </w:pPr>
                </w:p>
              </w:tc>
              <w:tc>
                <w:tcPr>
                  <w:tcW w:w="405" w:type="pct"/>
                  <w:tcBorders>
                    <w:tl2br w:val="nil"/>
                    <w:tr2bl w:val="nil"/>
                  </w:tcBorders>
                  <w:vAlign w:val="center"/>
                </w:tcPr>
                <w:p w14:paraId="3FA3D47E">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rPr>
                    <w:t>COD</w:t>
                  </w:r>
                </w:p>
              </w:tc>
              <w:tc>
                <w:tcPr>
                  <w:tcW w:w="447" w:type="pct"/>
                  <w:tcBorders>
                    <w:tl2br w:val="nil"/>
                    <w:tr2bl w:val="nil"/>
                  </w:tcBorders>
                  <w:vAlign w:val="center"/>
                </w:tcPr>
                <w:p w14:paraId="0B1BAC36">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rPr>
                    <w:t>BOD</w:t>
                  </w:r>
                  <w:r>
                    <w:rPr>
                      <w:rStyle w:val="65"/>
                      <w:color w:val="000000" w:themeColor="text1"/>
                      <w:sz w:val="21"/>
                      <w:szCs w:val="21"/>
                      <w:lang w:val="en-US"/>
                    </w:rPr>
                    <w:t>5</w:t>
                  </w:r>
                </w:p>
              </w:tc>
              <w:tc>
                <w:tcPr>
                  <w:tcW w:w="401" w:type="pct"/>
                  <w:tcBorders>
                    <w:tl2br w:val="nil"/>
                    <w:tr2bl w:val="nil"/>
                  </w:tcBorders>
                  <w:vAlign w:val="center"/>
                </w:tcPr>
                <w:p w14:paraId="3FAA3D34">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rPr>
                    <w:t>SS</w:t>
                  </w:r>
                </w:p>
              </w:tc>
              <w:tc>
                <w:tcPr>
                  <w:tcW w:w="349" w:type="pct"/>
                  <w:tcBorders>
                    <w:tl2br w:val="nil"/>
                    <w:tr2bl w:val="nil"/>
                  </w:tcBorders>
                  <w:vAlign w:val="center"/>
                </w:tcPr>
                <w:p w14:paraId="00FAC677">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rPr>
                    <w:t>NH</w:t>
                  </w:r>
                  <w:r>
                    <w:rPr>
                      <w:rStyle w:val="65"/>
                      <w:color w:val="000000" w:themeColor="text1"/>
                      <w:sz w:val="21"/>
                      <w:szCs w:val="21"/>
                      <w:lang w:val="en-US"/>
                    </w:rPr>
                    <w:t>3</w:t>
                  </w:r>
                  <w:r>
                    <w:rPr>
                      <w:rStyle w:val="66"/>
                      <w:color w:val="000000" w:themeColor="text1"/>
                      <w:sz w:val="21"/>
                      <w:szCs w:val="21"/>
                      <w:lang w:val="en-US"/>
                    </w:rPr>
                    <w:t>-N</w:t>
                  </w:r>
                </w:p>
              </w:tc>
              <w:tc>
                <w:tcPr>
                  <w:tcW w:w="472" w:type="pct"/>
                  <w:tcBorders>
                    <w:tl2br w:val="nil"/>
                    <w:tr2bl w:val="nil"/>
                  </w:tcBorders>
                  <w:vAlign w:val="center"/>
                </w:tcPr>
                <w:p w14:paraId="2F9C7D27">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rPr>
                    <w:t>粪大肠菌群</w:t>
                  </w:r>
                </w:p>
              </w:tc>
              <w:tc>
                <w:tcPr>
                  <w:tcW w:w="367" w:type="pct"/>
                  <w:tcBorders>
                    <w:tl2br w:val="nil"/>
                    <w:tr2bl w:val="nil"/>
                  </w:tcBorders>
                  <w:vAlign w:val="center"/>
                </w:tcPr>
                <w:p w14:paraId="217A044F">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rPr>
                    <w:t>阴离子表面活性剂</w:t>
                  </w:r>
                </w:p>
              </w:tc>
              <w:tc>
                <w:tcPr>
                  <w:tcW w:w="355" w:type="pct"/>
                  <w:tcBorders>
                    <w:tl2br w:val="nil"/>
                    <w:tr2bl w:val="nil"/>
                  </w:tcBorders>
                  <w:vAlign w:val="center"/>
                </w:tcPr>
                <w:p w14:paraId="61040015">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kern w:val="2"/>
                      <w:sz w:val="21"/>
                      <w:szCs w:val="21"/>
                    </w:rPr>
                    <w:t>（总）氰化物</w:t>
                  </w:r>
                </w:p>
              </w:tc>
              <w:tc>
                <w:tcPr>
                  <w:tcW w:w="242" w:type="pct"/>
                  <w:tcBorders>
                    <w:tl2br w:val="nil"/>
                    <w:tr2bl w:val="nil"/>
                  </w:tcBorders>
                  <w:vAlign w:val="center"/>
                </w:tcPr>
                <w:p w14:paraId="718422B8">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kern w:val="2"/>
                      <w:sz w:val="21"/>
                      <w:szCs w:val="21"/>
                    </w:rPr>
                    <w:t>石油类</w:t>
                  </w:r>
                </w:p>
              </w:tc>
              <w:tc>
                <w:tcPr>
                  <w:tcW w:w="279" w:type="pct"/>
                  <w:tcBorders>
                    <w:tl2br w:val="nil"/>
                    <w:tr2bl w:val="nil"/>
                  </w:tcBorders>
                  <w:vAlign w:val="center"/>
                </w:tcPr>
                <w:p w14:paraId="7534E361">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kern w:val="2"/>
                      <w:sz w:val="21"/>
                      <w:szCs w:val="21"/>
                    </w:rPr>
                    <w:t>动植物油</w:t>
                  </w:r>
                </w:p>
              </w:tc>
            </w:tr>
            <w:tr w14:paraId="09438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restart"/>
                  <w:tcBorders>
                    <w:tl2br w:val="nil"/>
                    <w:tr2bl w:val="nil"/>
                  </w:tcBorders>
                  <w:vAlign w:val="center"/>
                </w:tcPr>
                <w:p w14:paraId="75E2EB37">
                  <w:pPr>
                    <w:widowControl/>
                    <w:jc w:val="center"/>
                    <w:textAlignment w:val="center"/>
                    <w:rPr>
                      <w:rFonts w:ascii="Times New Roman" w:hAnsi="Times New Roman"/>
                      <w:color w:val="000000" w:themeColor="text1"/>
                      <w:sz w:val="21"/>
                      <w:szCs w:val="21"/>
                      <w:u w:val="single"/>
                    </w:rPr>
                  </w:pPr>
                  <w:r>
                    <w:rPr>
                      <w:rFonts w:hint="eastAsia" w:ascii="Times New Roman" w:hAnsi="Times New Roman"/>
                      <w:color w:val="000000" w:themeColor="text1"/>
                      <w:sz w:val="21"/>
                      <w:szCs w:val="21"/>
                      <w:u w:val="single"/>
                      <w:lang w:val="en-US"/>
                    </w:rPr>
                    <w:t>本项目传染病楼污水</w:t>
                  </w:r>
                </w:p>
              </w:tc>
              <w:tc>
                <w:tcPr>
                  <w:tcW w:w="515" w:type="pct"/>
                  <w:vMerge w:val="restart"/>
                  <w:tcBorders>
                    <w:tl2br w:val="nil"/>
                    <w:tr2bl w:val="nil"/>
                  </w:tcBorders>
                  <w:vAlign w:val="center"/>
                </w:tcPr>
                <w:p w14:paraId="1D668655">
                  <w:pPr>
                    <w:widowControl/>
                    <w:jc w:val="center"/>
                    <w:textAlignment w:val="center"/>
                    <w:rPr>
                      <w:rFonts w:ascii="Times New Roman" w:hAnsi="Times New Roman" w:cs="Times New Roman"/>
                      <w:color w:val="000000" w:themeColor="text1"/>
                      <w:sz w:val="21"/>
                      <w:szCs w:val="21"/>
                      <w:u w:val="single"/>
                      <w:lang w:val="en-US"/>
                    </w:rPr>
                  </w:pPr>
                  <w:r>
                    <w:rPr>
                      <w:rFonts w:hint="eastAsia" w:ascii="Times New Roman" w:hAnsi="Times New Roman" w:cs="Times New Roman"/>
                      <w:color w:val="000000" w:themeColor="text1"/>
                      <w:sz w:val="21"/>
                      <w:szCs w:val="21"/>
                      <w:u w:val="single"/>
                      <w:lang w:val="en-US"/>
                    </w:rPr>
                    <w:t>3183.71</w:t>
                  </w:r>
                </w:p>
              </w:tc>
              <w:tc>
                <w:tcPr>
                  <w:tcW w:w="495" w:type="pct"/>
                  <w:tcBorders>
                    <w:tl2br w:val="nil"/>
                    <w:tr2bl w:val="nil"/>
                  </w:tcBorders>
                  <w:vAlign w:val="center"/>
                </w:tcPr>
                <w:p w14:paraId="013C2D58">
                  <w:pPr>
                    <w:widowControl/>
                    <w:jc w:val="center"/>
                    <w:textAlignment w:val="center"/>
                    <w:rPr>
                      <w:rFonts w:ascii="Times New Roman" w:hAnsi="Times New Roman"/>
                      <w:color w:val="000000" w:themeColor="text1"/>
                      <w:sz w:val="21"/>
                      <w:szCs w:val="21"/>
                      <w:u w:val="single"/>
                    </w:rPr>
                  </w:pPr>
                  <w:r>
                    <w:rPr>
                      <w:rFonts w:hint="eastAsia"/>
                      <w:color w:val="000000" w:themeColor="text1"/>
                      <w:sz w:val="21"/>
                      <w:szCs w:val="21"/>
                      <w:u w:val="single"/>
                      <w:lang w:val="en-US" w:bidi="ar"/>
                    </w:rPr>
                    <w:t>产生浓度</w:t>
                  </w:r>
                  <w:r>
                    <w:rPr>
                      <w:rFonts w:ascii="Times New Roman" w:hAnsi="Times New Roman" w:cs="Times New Roman"/>
                      <w:color w:val="000000" w:themeColor="text1"/>
                      <w:sz w:val="21"/>
                      <w:szCs w:val="21"/>
                      <w:u w:val="single"/>
                      <w:lang w:val="en-US" w:bidi="ar"/>
                    </w:rPr>
                    <w:t>(mg/L)</w:t>
                  </w:r>
                </w:p>
              </w:tc>
              <w:tc>
                <w:tcPr>
                  <w:tcW w:w="405" w:type="pct"/>
                  <w:tcBorders>
                    <w:tl2br w:val="nil"/>
                    <w:tr2bl w:val="nil"/>
                  </w:tcBorders>
                  <w:vAlign w:val="center"/>
                </w:tcPr>
                <w:p w14:paraId="7CA440DD">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300</w:t>
                  </w:r>
                </w:p>
              </w:tc>
              <w:tc>
                <w:tcPr>
                  <w:tcW w:w="447" w:type="pct"/>
                  <w:tcBorders>
                    <w:tl2br w:val="nil"/>
                    <w:tr2bl w:val="nil"/>
                  </w:tcBorders>
                  <w:vAlign w:val="center"/>
                </w:tcPr>
                <w:p w14:paraId="44594B75">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150</w:t>
                  </w:r>
                </w:p>
              </w:tc>
              <w:tc>
                <w:tcPr>
                  <w:tcW w:w="401" w:type="pct"/>
                  <w:tcBorders>
                    <w:tl2br w:val="nil"/>
                    <w:tr2bl w:val="nil"/>
                  </w:tcBorders>
                  <w:vAlign w:val="center"/>
                </w:tcPr>
                <w:p w14:paraId="30B09F8C">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120</w:t>
                  </w:r>
                </w:p>
              </w:tc>
              <w:tc>
                <w:tcPr>
                  <w:tcW w:w="349" w:type="pct"/>
                  <w:tcBorders>
                    <w:tl2br w:val="nil"/>
                    <w:tr2bl w:val="nil"/>
                  </w:tcBorders>
                  <w:vAlign w:val="center"/>
                </w:tcPr>
                <w:p w14:paraId="02E581C0">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50</w:t>
                  </w:r>
                </w:p>
              </w:tc>
              <w:tc>
                <w:tcPr>
                  <w:tcW w:w="472" w:type="pct"/>
                  <w:tcBorders>
                    <w:tl2br w:val="nil"/>
                    <w:tr2bl w:val="nil"/>
                  </w:tcBorders>
                  <w:vAlign w:val="center"/>
                </w:tcPr>
                <w:p w14:paraId="39AF4598">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3×10</w:t>
                  </w:r>
                  <w:r>
                    <w:rPr>
                      <w:rFonts w:ascii="Times New Roman" w:hAnsi="Times New Roman" w:cs="Times New Roman"/>
                      <w:color w:val="000000" w:themeColor="text1"/>
                      <w:sz w:val="21"/>
                      <w:szCs w:val="21"/>
                      <w:u w:val="single"/>
                      <w:vertAlign w:val="superscript"/>
                      <w:lang w:val="en-US" w:bidi="ar"/>
                    </w:rPr>
                    <w:t>8</w:t>
                  </w:r>
                  <w:r>
                    <w:rPr>
                      <w:rFonts w:hint="eastAsia"/>
                      <w:color w:val="000000" w:themeColor="text1"/>
                      <w:sz w:val="21"/>
                      <w:szCs w:val="21"/>
                      <w:u w:val="single"/>
                      <w:lang w:val="en-US" w:bidi="ar"/>
                    </w:rPr>
                    <w:t>个</w:t>
                  </w:r>
                  <w:r>
                    <w:rPr>
                      <w:rFonts w:ascii="Times New Roman" w:hAnsi="Times New Roman" w:cs="Times New Roman"/>
                      <w:color w:val="000000" w:themeColor="text1"/>
                      <w:sz w:val="21"/>
                      <w:szCs w:val="21"/>
                      <w:u w:val="single"/>
                      <w:lang w:val="en-US" w:bidi="ar"/>
                    </w:rPr>
                    <w:t>/L</w:t>
                  </w:r>
                </w:p>
              </w:tc>
              <w:tc>
                <w:tcPr>
                  <w:tcW w:w="367" w:type="pct"/>
                  <w:tcBorders>
                    <w:tl2br w:val="nil"/>
                    <w:tr2bl w:val="nil"/>
                  </w:tcBorders>
                  <w:vAlign w:val="center"/>
                </w:tcPr>
                <w:p w14:paraId="140D9D75">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2</w:t>
                  </w:r>
                </w:p>
              </w:tc>
              <w:tc>
                <w:tcPr>
                  <w:tcW w:w="355" w:type="pct"/>
                  <w:tcBorders>
                    <w:tl2br w:val="nil"/>
                    <w:tr2bl w:val="nil"/>
                  </w:tcBorders>
                  <w:vAlign w:val="center"/>
                </w:tcPr>
                <w:p w14:paraId="695E55B0">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42" w:type="pct"/>
                  <w:tcBorders>
                    <w:tl2br w:val="nil"/>
                    <w:tr2bl w:val="nil"/>
                  </w:tcBorders>
                  <w:vAlign w:val="center"/>
                </w:tcPr>
                <w:p w14:paraId="630A2604">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79" w:type="pct"/>
                  <w:tcBorders>
                    <w:tl2br w:val="nil"/>
                    <w:tr2bl w:val="nil"/>
                  </w:tcBorders>
                  <w:vAlign w:val="center"/>
                </w:tcPr>
                <w:p w14:paraId="17614292">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0.130 </w:t>
                  </w:r>
                </w:p>
              </w:tc>
            </w:tr>
            <w:tr w14:paraId="08A38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continue"/>
                  <w:tcBorders>
                    <w:tl2br w:val="nil"/>
                    <w:tr2bl w:val="nil"/>
                  </w:tcBorders>
                  <w:vAlign w:val="center"/>
                </w:tcPr>
                <w:p w14:paraId="7F0737E6">
                  <w:pPr>
                    <w:widowControl/>
                    <w:jc w:val="center"/>
                    <w:rPr>
                      <w:rFonts w:ascii="Times New Roman" w:hAnsi="Times New Roman"/>
                      <w:color w:val="000000" w:themeColor="text1"/>
                      <w:sz w:val="21"/>
                      <w:szCs w:val="21"/>
                      <w:u w:val="single"/>
                    </w:rPr>
                  </w:pPr>
                </w:p>
              </w:tc>
              <w:tc>
                <w:tcPr>
                  <w:tcW w:w="515" w:type="pct"/>
                  <w:vMerge w:val="continue"/>
                  <w:tcBorders>
                    <w:tl2br w:val="nil"/>
                    <w:tr2bl w:val="nil"/>
                  </w:tcBorders>
                  <w:vAlign w:val="center"/>
                </w:tcPr>
                <w:p w14:paraId="52F86D83">
                  <w:pPr>
                    <w:jc w:val="center"/>
                    <w:rPr>
                      <w:rFonts w:ascii="Times New Roman" w:hAnsi="Times New Roman" w:cs="Times New Roman"/>
                      <w:color w:val="000000" w:themeColor="text1"/>
                      <w:sz w:val="21"/>
                      <w:szCs w:val="21"/>
                      <w:u w:val="single"/>
                    </w:rPr>
                  </w:pPr>
                </w:p>
              </w:tc>
              <w:tc>
                <w:tcPr>
                  <w:tcW w:w="495" w:type="pct"/>
                  <w:tcBorders>
                    <w:tl2br w:val="nil"/>
                    <w:tr2bl w:val="nil"/>
                  </w:tcBorders>
                  <w:vAlign w:val="center"/>
                </w:tcPr>
                <w:p w14:paraId="1F8E1747">
                  <w:pPr>
                    <w:widowControl/>
                    <w:jc w:val="center"/>
                    <w:textAlignment w:val="center"/>
                    <w:rPr>
                      <w:rFonts w:ascii="Times New Roman" w:hAnsi="Times New Roman"/>
                      <w:color w:val="000000" w:themeColor="text1"/>
                      <w:sz w:val="21"/>
                      <w:szCs w:val="21"/>
                      <w:u w:val="single"/>
                    </w:rPr>
                  </w:pPr>
                  <w:r>
                    <w:rPr>
                      <w:rFonts w:hint="eastAsia"/>
                      <w:color w:val="000000" w:themeColor="text1"/>
                      <w:sz w:val="21"/>
                      <w:szCs w:val="21"/>
                      <w:u w:val="single"/>
                      <w:lang w:val="en-US" w:bidi="ar"/>
                    </w:rPr>
                    <w:t>产生量（</w:t>
                  </w:r>
                  <w:r>
                    <w:rPr>
                      <w:rFonts w:ascii="Times New Roman" w:hAnsi="Times New Roman" w:cs="Times New Roman"/>
                      <w:color w:val="000000" w:themeColor="text1"/>
                      <w:sz w:val="21"/>
                      <w:szCs w:val="21"/>
                      <w:u w:val="single"/>
                      <w:lang w:val="en-US" w:bidi="ar"/>
                    </w:rPr>
                    <w:t>t/a</w:t>
                  </w:r>
                  <w:r>
                    <w:rPr>
                      <w:rFonts w:hint="eastAsia"/>
                      <w:color w:val="000000" w:themeColor="text1"/>
                      <w:sz w:val="21"/>
                      <w:szCs w:val="21"/>
                      <w:u w:val="single"/>
                      <w:lang w:val="en-US" w:bidi="ar"/>
                    </w:rPr>
                    <w:t>）</w:t>
                  </w:r>
                </w:p>
              </w:tc>
              <w:tc>
                <w:tcPr>
                  <w:tcW w:w="405" w:type="pct"/>
                  <w:tcBorders>
                    <w:tl2br w:val="nil"/>
                    <w:tr2bl w:val="nil"/>
                  </w:tcBorders>
                  <w:vAlign w:val="center"/>
                </w:tcPr>
                <w:p w14:paraId="291FCCB8">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0.955 </w:t>
                  </w:r>
                </w:p>
              </w:tc>
              <w:tc>
                <w:tcPr>
                  <w:tcW w:w="447" w:type="pct"/>
                  <w:tcBorders>
                    <w:tl2br w:val="nil"/>
                    <w:tr2bl w:val="nil"/>
                  </w:tcBorders>
                  <w:vAlign w:val="center"/>
                </w:tcPr>
                <w:p w14:paraId="43FD8516">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0.478 </w:t>
                  </w:r>
                </w:p>
              </w:tc>
              <w:tc>
                <w:tcPr>
                  <w:tcW w:w="401" w:type="pct"/>
                  <w:tcBorders>
                    <w:tl2br w:val="nil"/>
                    <w:tr2bl w:val="nil"/>
                  </w:tcBorders>
                  <w:vAlign w:val="center"/>
                </w:tcPr>
                <w:p w14:paraId="6FE77973">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0.382 </w:t>
                  </w:r>
                </w:p>
              </w:tc>
              <w:tc>
                <w:tcPr>
                  <w:tcW w:w="349" w:type="pct"/>
                  <w:tcBorders>
                    <w:tl2br w:val="nil"/>
                    <w:tr2bl w:val="nil"/>
                  </w:tcBorders>
                  <w:vAlign w:val="center"/>
                </w:tcPr>
                <w:p w14:paraId="1E2B3687">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0.159 </w:t>
                  </w:r>
                </w:p>
              </w:tc>
              <w:tc>
                <w:tcPr>
                  <w:tcW w:w="472" w:type="pct"/>
                  <w:tcBorders>
                    <w:tl2br w:val="nil"/>
                    <w:tr2bl w:val="nil"/>
                  </w:tcBorders>
                  <w:vAlign w:val="center"/>
                </w:tcPr>
                <w:p w14:paraId="7AD7955B">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w:t>
                  </w:r>
                </w:p>
              </w:tc>
              <w:tc>
                <w:tcPr>
                  <w:tcW w:w="367" w:type="pct"/>
                  <w:tcBorders>
                    <w:tl2br w:val="nil"/>
                    <w:tr2bl w:val="nil"/>
                  </w:tcBorders>
                  <w:vAlign w:val="center"/>
                </w:tcPr>
                <w:p w14:paraId="3B89CCBA">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0.006 </w:t>
                  </w:r>
                </w:p>
              </w:tc>
              <w:tc>
                <w:tcPr>
                  <w:tcW w:w="355" w:type="pct"/>
                  <w:tcBorders>
                    <w:tl2br w:val="nil"/>
                    <w:tr2bl w:val="nil"/>
                  </w:tcBorders>
                  <w:vAlign w:val="center"/>
                </w:tcPr>
                <w:p w14:paraId="307FE166">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42" w:type="pct"/>
                  <w:tcBorders>
                    <w:tl2br w:val="nil"/>
                    <w:tr2bl w:val="nil"/>
                  </w:tcBorders>
                  <w:vAlign w:val="center"/>
                </w:tcPr>
                <w:p w14:paraId="34F6DA20">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79" w:type="pct"/>
                  <w:tcBorders>
                    <w:tl2br w:val="nil"/>
                    <w:tr2bl w:val="nil"/>
                  </w:tcBorders>
                  <w:vAlign w:val="center"/>
                </w:tcPr>
                <w:p w14:paraId="7D1ACFD1">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0.000</w:t>
                  </w:r>
                  <w:r>
                    <w:rPr>
                      <w:rFonts w:hint="eastAsia" w:ascii="Times New Roman" w:hAnsi="Times New Roman" w:cs="Times New Roman"/>
                      <w:color w:val="000000" w:themeColor="text1"/>
                      <w:sz w:val="21"/>
                      <w:szCs w:val="21"/>
                      <w:lang w:val="en-US" w:bidi="ar"/>
                    </w:rPr>
                    <w:t>4</w:t>
                  </w:r>
                  <w:r>
                    <w:rPr>
                      <w:rFonts w:ascii="Times New Roman" w:hAnsi="Times New Roman" w:cs="Times New Roman"/>
                      <w:color w:val="000000" w:themeColor="text1"/>
                      <w:sz w:val="21"/>
                      <w:szCs w:val="21"/>
                      <w:lang w:val="en-US" w:bidi="ar"/>
                    </w:rPr>
                    <w:t xml:space="preserve"> </w:t>
                  </w:r>
                </w:p>
              </w:tc>
            </w:tr>
            <w:tr w14:paraId="5BCD0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restart"/>
                  <w:tcBorders>
                    <w:tl2br w:val="nil"/>
                    <w:tr2bl w:val="nil"/>
                  </w:tcBorders>
                  <w:vAlign w:val="center"/>
                </w:tcPr>
                <w:p w14:paraId="05B56377">
                  <w:pPr>
                    <w:widowControl/>
                    <w:jc w:val="center"/>
                    <w:textAlignment w:val="center"/>
                    <w:rPr>
                      <w:rFonts w:ascii="Times New Roman" w:hAnsi="Times New Roman"/>
                      <w:color w:val="000000" w:themeColor="text1"/>
                      <w:sz w:val="21"/>
                      <w:szCs w:val="21"/>
                    </w:rPr>
                  </w:pPr>
                  <w:r>
                    <w:rPr>
                      <w:rFonts w:hint="eastAsia" w:ascii="Times New Roman" w:hAnsi="Times New Roman"/>
                      <w:color w:val="000000" w:themeColor="text1"/>
                      <w:sz w:val="21"/>
                      <w:szCs w:val="21"/>
                      <w:lang w:val="en-US"/>
                    </w:rPr>
                    <w:t>本项目传染病楼预处理设施（加氯消毒+脱氯工艺）</w:t>
                  </w:r>
                </w:p>
              </w:tc>
              <w:tc>
                <w:tcPr>
                  <w:tcW w:w="515" w:type="pct"/>
                  <w:vMerge w:val="restart"/>
                  <w:tcBorders>
                    <w:tl2br w:val="nil"/>
                    <w:tr2bl w:val="nil"/>
                  </w:tcBorders>
                  <w:vAlign w:val="center"/>
                </w:tcPr>
                <w:p w14:paraId="1AB5743F">
                  <w:pPr>
                    <w:widowControl/>
                    <w:jc w:val="center"/>
                    <w:textAlignment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3183.71</w:t>
                  </w:r>
                </w:p>
              </w:tc>
              <w:tc>
                <w:tcPr>
                  <w:tcW w:w="495" w:type="pct"/>
                  <w:tcBorders>
                    <w:tl2br w:val="nil"/>
                    <w:tr2bl w:val="nil"/>
                  </w:tcBorders>
                  <w:vAlign w:val="center"/>
                </w:tcPr>
                <w:p w14:paraId="3E394837">
                  <w:pPr>
                    <w:widowControl/>
                    <w:jc w:val="center"/>
                    <w:textAlignment w:val="center"/>
                    <w:rPr>
                      <w:rFonts w:ascii="Times New Roman" w:hAnsi="Times New Roman"/>
                      <w:color w:val="000000" w:themeColor="text1"/>
                      <w:sz w:val="21"/>
                      <w:szCs w:val="21"/>
                    </w:rPr>
                  </w:pPr>
                  <w:r>
                    <w:rPr>
                      <w:rFonts w:hint="eastAsia"/>
                      <w:color w:val="000000" w:themeColor="text1"/>
                      <w:sz w:val="21"/>
                      <w:szCs w:val="21"/>
                      <w:lang w:val="en-US" w:bidi="ar"/>
                    </w:rPr>
                    <w:t>处理效率（</w:t>
                  </w:r>
                  <w:r>
                    <w:rPr>
                      <w:rFonts w:ascii="Times New Roman" w:hAnsi="Times New Roman" w:cs="Times New Roman"/>
                      <w:color w:val="000000" w:themeColor="text1"/>
                      <w:sz w:val="21"/>
                      <w:szCs w:val="21"/>
                      <w:lang w:val="en-US" w:bidi="ar"/>
                    </w:rPr>
                    <w:t>%</w:t>
                  </w:r>
                  <w:r>
                    <w:rPr>
                      <w:rFonts w:hint="eastAsia"/>
                      <w:color w:val="000000" w:themeColor="text1"/>
                      <w:sz w:val="21"/>
                      <w:szCs w:val="21"/>
                      <w:lang w:val="en-US" w:bidi="ar"/>
                    </w:rPr>
                    <w:t>）</w:t>
                  </w:r>
                </w:p>
              </w:tc>
              <w:tc>
                <w:tcPr>
                  <w:tcW w:w="405" w:type="pct"/>
                  <w:tcBorders>
                    <w:tl2br w:val="nil"/>
                    <w:tr2bl w:val="nil"/>
                  </w:tcBorders>
                  <w:vAlign w:val="center"/>
                </w:tcPr>
                <w:p w14:paraId="369429B7">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0</w:t>
                  </w:r>
                </w:p>
              </w:tc>
              <w:tc>
                <w:tcPr>
                  <w:tcW w:w="447" w:type="pct"/>
                  <w:tcBorders>
                    <w:tl2br w:val="nil"/>
                    <w:tr2bl w:val="nil"/>
                  </w:tcBorders>
                  <w:vAlign w:val="center"/>
                </w:tcPr>
                <w:p w14:paraId="6D11331C">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0</w:t>
                  </w:r>
                </w:p>
              </w:tc>
              <w:tc>
                <w:tcPr>
                  <w:tcW w:w="401" w:type="pct"/>
                  <w:tcBorders>
                    <w:tl2br w:val="nil"/>
                    <w:tr2bl w:val="nil"/>
                  </w:tcBorders>
                  <w:vAlign w:val="center"/>
                </w:tcPr>
                <w:p w14:paraId="47E2AD03">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0</w:t>
                  </w:r>
                </w:p>
              </w:tc>
              <w:tc>
                <w:tcPr>
                  <w:tcW w:w="349" w:type="pct"/>
                  <w:tcBorders>
                    <w:tl2br w:val="nil"/>
                    <w:tr2bl w:val="nil"/>
                  </w:tcBorders>
                  <w:vAlign w:val="center"/>
                </w:tcPr>
                <w:p w14:paraId="5E141F09">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0</w:t>
                  </w:r>
                </w:p>
              </w:tc>
              <w:tc>
                <w:tcPr>
                  <w:tcW w:w="472" w:type="pct"/>
                  <w:tcBorders>
                    <w:tl2br w:val="nil"/>
                    <w:tr2bl w:val="nil"/>
                  </w:tcBorders>
                  <w:vAlign w:val="center"/>
                </w:tcPr>
                <w:p w14:paraId="44F77908">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w:t>
                  </w:r>
                </w:p>
              </w:tc>
              <w:tc>
                <w:tcPr>
                  <w:tcW w:w="367" w:type="pct"/>
                  <w:tcBorders>
                    <w:tl2br w:val="nil"/>
                    <w:tr2bl w:val="nil"/>
                  </w:tcBorders>
                  <w:vAlign w:val="center"/>
                </w:tcPr>
                <w:p w14:paraId="64EAFCCC">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0.000 </w:t>
                  </w:r>
                </w:p>
              </w:tc>
              <w:tc>
                <w:tcPr>
                  <w:tcW w:w="355" w:type="pct"/>
                  <w:tcBorders>
                    <w:tl2br w:val="nil"/>
                    <w:tr2bl w:val="nil"/>
                  </w:tcBorders>
                  <w:vAlign w:val="center"/>
                </w:tcPr>
                <w:p w14:paraId="25F11699">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42" w:type="pct"/>
                  <w:tcBorders>
                    <w:tl2br w:val="nil"/>
                    <w:tr2bl w:val="nil"/>
                  </w:tcBorders>
                  <w:vAlign w:val="center"/>
                </w:tcPr>
                <w:p w14:paraId="2CFCA20E">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79" w:type="pct"/>
                  <w:tcBorders>
                    <w:tl2br w:val="nil"/>
                    <w:tr2bl w:val="nil"/>
                  </w:tcBorders>
                  <w:vAlign w:val="center"/>
                </w:tcPr>
                <w:p w14:paraId="72E1CEF2">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0</w:t>
                  </w:r>
                </w:p>
              </w:tc>
            </w:tr>
            <w:tr w14:paraId="18AE9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continue"/>
                  <w:tcBorders>
                    <w:tl2br w:val="nil"/>
                    <w:tr2bl w:val="nil"/>
                  </w:tcBorders>
                  <w:vAlign w:val="center"/>
                </w:tcPr>
                <w:p w14:paraId="64A99714">
                  <w:pPr>
                    <w:widowControl/>
                    <w:jc w:val="center"/>
                    <w:rPr>
                      <w:rFonts w:ascii="Times New Roman" w:hAnsi="Times New Roman"/>
                      <w:color w:val="000000" w:themeColor="text1"/>
                      <w:sz w:val="21"/>
                      <w:szCs w:val="21"/>
                    </w:rPr>
                  </w:pPr>
                </w:p>
              </w:tc>
              <w:tc>
                <w:tcPr>
                  <w:tcW w:w="515" w:type="pct"/>
                  <w:vMerge w:val="continue"/>
                  <w:tcBorders>
                    <w:tl2br w:val="nil"/>
                    <w:tr2bl w:val="nil"/>
                  </w:tcBorders>
                  <w:vAlign w:val="center"/>
                </w:tcPr>
                <w:p w14:paraId="5915B993">
                  <w:pPr>
                    <w:jc w:val="center"/>
                    <w:rPr>
                      <w:rFonts w:ascii="Times New Roman" w:hAnsi="Times New Roman" w:cs="Times New Roman"/>
                      <w:color w:val="000000" w:themeColor="text1"/>
                      <w:sz w:val="21"/>
                      <w:szCs w:val="21"/>
                    </w:rPr>
                  </w:pPr>
                </w:p>
              </w:tc>
              <w:tc>
                <w:tcPr>
                  <w:tcW w:w="495" w:type="pct"/>
                  <w:tcBorders>
                    <w:tl2br w:val="nil"/>
                    <w:tr2bl w:val="nil"/>
                  </w:tcBorders>
                  <w:vAlign w:val="center"/>
                </w:tcPr>
                <w:p w14:paraId="317D180A">
                  <w:pPr>
                    <w:widowControl/>
                    <w:jc w:val="center"/>
                    <w:textAlignment w:val="center"/>
                    <w:rPr>
                      <w:rFonts w:ascii="Times New Roman" w:hAnsi="Times New Roman"/>
                      <w:color w:val="000000" w:themeColor="text1"/>
                      <w:sz w:val="21"/>
                      <w:szCs w:val="21"/>
                    </w:rPr>
                  </w:pPr>
                  <w:r>
                    <w:rPr>
                      <w:rFonts w:hint="eastAsia"/>
                      <w:color w:val="000000" w:themeColor="text1"/>
                      <w:sz w:val="21"/>
                      <w:szCs w:val="21"/>
                      <w:lang w:val="en-US" w:bidi="ar"/>
                    </w:rPr>
                    <w:t>处理后浓度</w:t>
                  </w:r>
                  <w:r>
                    <w:rPr>
                      <w:rFonts w:ascii="Times New Roman" w:hAnsi="Times New Roman" w:cs="Times New Roman"/>
                      <w:color w:val="000000" w:themeColor="text1"/>
                      <w:sz w:val="21"/>
                      <w:szCs w:val="21"/>
                      <w:lang w:val="en-US" w:bidi="ar"/>
                    </w:rPr>
                    <w:t>(mg/L)</w:t>
                  </w:r>
                </w:p>
              </w:tc>
              <w:tc>
                <w:tcPr>
                  <w:tcW w:w="405" w:type="pct"/>
                  <w:tcBorders>
                    <w:tl2br w:val="nil"/>
                    <w:tr2bl w:val="nil"/>
                  </w:tcBorders>
                  <w:vAlign w:val="center"/>
                </w:tcPr>
                <w:p w14:paraId="27101718">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300</w:t>
                  </w:r>
                </w:p>
              </w:tc>
              <w:tc>
                <w:tcPr>
                  <w:tcW w:w="447" w:type="pct"/>
                  <w:tcBorders>
                    <w:tl2br w:val="nil"/>
                    <w:tr2bl w:val="nil"/>
                  </w:tcBorders>
                  <w:vAlign w:val="center"/>
                </w:tcPr>
                <w:p w14:paraId="2F52B6EE">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150</w:t>
                  </w:r>
                </w:p>
              </w:tc>
              <w:tc>
                <w:tcPr>
                  <w:tcW w:w="401" w:type="pct"/>
                  <w:tcBorders>
                    <w:tl2br w:val="nil"/>
                    <w:tr2bl w:val="nil"/>
                  </w:tcBorders>
                  <w:vAlign w:val="center"/>
                </w:tcPr>
                <w:p w14:paraId="13409FAE">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120</w:t>
                  </w:r>
                </w:p>
              </w:tc>
              <w:tc>
                <w:tcPr>
                  <w:tcW w:w="349" w:type="pct"/>
                  <w:tcBorders>
                    <w:tl2br w:val="nil"/>
                    <w:tr2bl w:val="nil"/>
                  </w:tcBorders>
                  <w:vAlign w:val="center"/>
                </w:tcPr>
                <w:p w14:paraId="313A9A2C">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50</w:t>
                  </w:r>
                </w:p>
              </w:tc>
              <w:tc>
                <w:tcPr>
                  <w:tcW w:w="472" w:type="pct"/>
                  <w:tcBorders>
                    <w:tl2br w:val="nil"/>
                    <w:tr2bl w:val="nil"/>
                  </w:tcBorders>
                  <w:vAlign w:val="center"/>
                </w:tcPr>
                <w:p w14:paraId="30395A29">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4500</w:t>
                  </w:r>
                  <w:r>
                    <w:rPr>
                      <w:rFonts w:hint="eastAsia"/>
                      <w:color w:val="000000" w:themeColor="text1"/>
                      <w:sz w:val="21"/>
                      <w:szCs w:val="21"/>
                      <w:lang w:val="en-US" w:bidi="ar"/>
                    </w:rPr>
                    <w:t>（</w:t>
                  </w:r>
                  <w:r>
                    <w:rPr>
                      <w:rFonts w:ascii="Times New Roman" w:hAnsi="Times New Roman" w:cs="Times New Roman"/>
                      <w:color w:val="000000" w:themeColor="text1"/>
                      <w:sz w:val="21"/>
                      <w:szCs w:val="21"/>
                      <w:lang w:val="en-US" w:bidi="ar"/>
                    </w:rPr>
                    <w:t>MPN/L</w:t>
                  </w:r>
                  <w:r>
                    <w:rPr>
                      <w:rFonts w:hint="eastAsia"/>
                      <w:color w:val="000000" w:themeColor="text1"/>
                      <w:sz w:val="21"/>
                      <w:szCs w:val="21"/>
                      <w:lang w:val="en-US" w:bidi="ar"/>
                    </w:rPr>
                    <w:t>）</w:t>
                  </w:r>
                </w:p>
              </w:tc>
              <w:tc>
                <w:tcPr>
                  <w:tcW w:w="367" w:type="pct"/>
                  <w:tcBorders>
                    <w:tl2br w:val="nil"/>
                    <w:tr2bl w:val="nil"/>
                  </w:tcBorders>
                  <w:vAlign w:val="center"/>
                </w:tcPr>
                <w:p w14:paraId="23449802">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2</w:t>
                  </w:r>
                </w:p>
              </w:tc>
              <w:tc>
                <w:tcPr>
                  <w:tcW w:w="355" w:type="pct"/>
                  <w:tcBorders>
                    <w:tl2br w:val="nil"/>
                    <w:tr2bl w:val="nil"/>
                  </w:tcBorders>
                  <w:vAlign w:val="center"/>
                </w:tcPr>
                <w:p w14:paraId="198858A6">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42" w:type="pct"/>
                  <w:tcBorders>
                    <w:tl2br w:val="nil"/>
                    <w:tr2bl w:val="nil"/>
                  </w:tcBorders>
                  <w:vAlign w:val="center"/>
                </w:tcPr>
                <w:p w14:paraId="1EBD9C91">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79" w:type="pct"/>
                  <w:tcBorders>
                    <w:tl2br w:val="nil"/>
                    <w:tr2bl w:val="nil"/>
                  </w:tcBorders>
                  <w:vAlign w:val="center"/>
                </w:tcPr>
                <w:p w14:paraId="6B2C2C5B">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0.130 </w:t>
                  </w:r>
                </w:p>
              </w:tc>
            </w:tr>
            <w:tr w14:paraId="560D3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continue"/>
                  <w:tcBorders>
                    <w:tl2br w:val="nil"/>
                    <w:tr2bl w:val="nil"/>
                  </w:tcBorders>
                  <w:vAlign w:val="center"/>
                </w:tcPr>
                <w:p w14:paraId="7DB363FF">
                  <w:pPr>
                    <w:widowControl/>
                    <w:jc w:val="center"/>
                    <w:rPr>
                      <w:rFonts w:ascii="Times New Roman" w:hAnsi="Times New Roman"/>
                      <w:color w:val="000000" w:themeColor="text1"/>
                      <w:sz w:val="21"/>
                      <w:szCs w:val="21"/>
                    </w:rPr>
                  </w:pPr>
                </w:p>
              </w:tc>
              <w:tc>
                <w:tcPr>
                  <w:tcW w:w="515" w:type="pct"/>
                  <w:vMerge w:val="continue"/>
                  <w:tcBorders>
                    <w:tl2br w:val="nil"/>
                    <w:tr2bl w:val="nil"/>
                  </w:tcBorders>
                  <w:vAlign w:val="center"/>
                </w:tcPr>
                <w:p w14:paraId="66103781">
                  <w:pPr>
                    <w:jc w:val="center"/>
                    <w:rPr>
                      <w:rFonts w:ascii="Times New Roman" w:hAnsi="Times New Roman" w:cs="Times New Roman"/>
                      <w:color w:val="000000" w:themeColor="text1"/>
                      <w:sz w:val="21"/>
                      <w:szCs w:val="21"/>
                    </w:rPr>
                  </w:pPr>
                </w:p>
              </w:tc>
              <w:tc>
                <w:tcPr>
                  <w:tcW w:w="495" w:type="pct"/>
                  <w:tcBorders>
                    <w:tl2br w:val="nil"/>
                    <w:tr2bl w:val="nil"/>
                  </w:tcBorders>
                  <w:vAlign w:val="center"/>
                </w:tcPr>
                <w:p w14:paraId="172E3219">
                  <w:pPr>
                    <w:widowControl/>
                    <w:jc w:val="center"/>
                    <w:textAlignment w:val="center"/>
                    <w:rPr>
                      <w:rFonts w:ascii="Times New Roman" w:hAnsi="Times New Roman"/>
                      <w:color w:val="000000" w:themeColor="text1"/>
                      <w:sz w:val="21"/>
                      <w:szCs w:val="21"/>
                    </w:rPr>
                  </w:pPr>
                  <w:r>
                    <w:rPr>
                      <w:rFonts w:hint="eastAsia"/>
                      <w:color w:val="000000" w:themeColor="text1"/>
                      <w:sz w:val="21"/>
                      <w:szCs w:val="21"/>
                      <w:lang w:val="en-US" w:bidi="ar"/>
                    </w:rPr>
                    <w:t>排放量（</w:t>
                  </w:r>
                  <w:r>
                    <w:rPr>
                      <w:rFonts w:ascii="Times New Roman" w:hAnsi="Times New Roman" w:cs="Times New Roman"/>
                      <w:color w:val="000000" w:themeColor="text1"/>
                      <w:sz w:val="21"/>
                      <w:szCs w:val="21"/>
                      <w:lang w:val="en-US" w:bidi="ar"/>
                    </w:rPr>
                    <w:t>t/a</w:t>
                  </w:r>
                  <w:r>
                    <w:rPr>
                      <w:rFonts w:hint="eastAsia"/>
                      <w:color w:val="000000" w:themeColor="text1"/>
                      <w:sz w:val="21"/>
                      <w:szCs w:val="21"/>
                      <w:lang w:val="en-US" w:bidi="ar"/>
                    </w:rPr>
                    <w:t>）</w:t>
                  </w:r>
                </w:p>
              </w:tc>
              <w:tc>
                <w:tcPr>
                  <w:tcW w:w="405" w:type="pct"/>
                  <w:tcBorders>
                    <w:tl2br w:val="nil"/>
                    <w:tr2bl w:val="nil"/>
                  </w:tcBorders>
                  <w:vAlign w:val="center"/>
                </w:tcPr>
                <w:p w14:paraId="6244A194">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0.955 </w:t>
                  </w:r>
                </w:p>
              </w:tc>
              <w:tc>
                <w:tcPr>
                  <w:tcW w:w="447" w:type="pct"/>
                  <w:tcBorders>
                    <w:tl2br w:val="nil"/>
                    <w:tr2bl w:val="nil"/>
                  </w:tcBorders>
                  <w:vAlign w:val="center"/>
                </w:tcPr>
                <w:p w14:paraId="7DF782F4">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0.478 </w:t>
                  </w:r>
                </w:p>
              </w:tc>
              <w:tc>
                <w:tcPr>
                  <w:tcW w:w="401" w:type="pct"/>
                  <w:tcBorders>
                    <w:tl2br w:val="nil"/>
                    <w:tr2bl w:val="nil"/>
                  </w:tcBorders>
                  <w:vAlign w:val="center"/>
                </w:tcPr>
                <w:p w14:paraId="1B67C2D4">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0.382 </w:t>
                  </w:r>
                </w:p>
              </w:tc>
              <w:tc>
                <w:tcPr>
                  <w:tcW w:w="349" w:type="pct"/>
                  <w:tcBorders>
                    <w:tl2br w:val="nil"/>
                    <w:tr2bl w:val="nil"/>
                  </w:tcBorders>
                  <w:vAlign w:val="center"/>
                </w:tcPr>
                <w:p w14:paraId="76A9FFFA">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0.159 </w:t>
                  </w:r>
                </w:p>
              </w:tc>
              <w:tc>
                <w:tcPr>
                  <w:tcW w:w="472" w:type="pct"/>
                  <w:tcBorders>
                    <w:tl2br w:val="nil"/>
                    <w:tr2bl w:val="nil"/>
                  </w:tcBorders>
                  <w:vAlign w:val="center"/>
                </w:tcPr>
                <w:p w14:paraId="72CE062A">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w:t>
                  </w:r>
                </w:p>
              </w:tc>
              <w:tc>
                <w:tcPr>
                  <w:tcW w:w="367" w:type="pct"/>
                  <w:tcBorders>
                    <w:tl2br w:val="nil"/>
                    <w:tr2bl w:val="nil"/>
                  </w:tcBorders>
                  <w:vAlign w:val="center"/>
                </w:tcPr>
                <w:p w14:paraId="64CF6C45">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0.006 </w:t>
                  </w:r>
                </w:p>
              </w:tc>
              <w:tc>
                <w:tcPr>
                  <w:tcW w:w="355" w:type="pct"/>
                  <w:tcBorders>
                    <w:tl2br w:val="nil"/>
                    <w:tr2bl w:val="nil"/>
                  </w:tcBorders>
                  <w:vAlign w:val="center"/>
                </w:tcPr>
                <w:p w14:paraId="04798C61">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42" w:type="pct"/>
                  <w:tcBorders>
                    <w:tl2br w:val="nil"/>
                    <w:tr2bl w:val="nil"/>
                  </w:tcBorders>
                  <w:vAlign w:val="center"/>
                </w:tcPr>
                <w:p w14:paraId="460B1BA3">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79" w:type="pct"/>
                  <w:tcBorders>
                    <w:tl2br w:val="nil"/>
                    <w:tr2bl w:val="nil"/>
                  </w:tcBorders>
                  <w:vAlign w:val="center"/>
                </w:tcPr>
                <w:p w14:paraId="3330111C">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0.000</w:t>
                  </w:r>
                  <w:r>
                    <w:rPr>
                      <w:rFonts w:hint="eastAsia" w:ascii="Times New Roman" w:hAnsi="Times New Roman" w:cs="Times New Roman"/>
                      <w:color w:val="000000" w:themeColor="text1"/>
                      <w:sz w:val="21"/>
                      <w:szCs w:val="21"/>
                      <w:lang w:val="en-US" w:bidi="ar"/>
                    </w:rPr>
                    <w:t>4</w:t>
                  </w:r>
                  <w:r>
                    <w:rPr>
                      <w:rFonts w:ascii="Times New Roman" w:hAnsi="Times New Roman" w:cs="Times New Roman"/>
                      <w:color w:val="000000" w:themeColor="text1"/>
                      <w:sz w:val="21"/>
                      <w:szCs w:val="21"/>
                      <w:lang w:val="en-US" w:bidi="ar"/>
                    </w:rPr>
                    <w:t xml:space="preserve"> </w:t>
                  </w:r>
                </w:p>
              </w:tc>
            </w:tr>
            <w:tr w14:paraId="69587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restart"/>
                  <w:tcBorders>
                    <w:tl2br w:val="nil"/>
                    <w:tr2bl w:val="nil"/>
                  </w:tcBorders>
                  <w:vAlign w:val="center"/>
                </w:tcPr>
                <w:p w14:paraId="5328E715">
                  <w:pPr>
                    <w:widowControl/>
                    <w:jc w:val="center"/>
                    <w:textAlignment w:val="center"/>
                    <w:rPr>
                      <w:rFonts w:ascii="Times New Roman" w:hAnsi="Times New Roman"/>
                      <w:color w:val="000000" w:themeColor="text1"/>
                      <w:sz w:val="21"/>
                      <w:szCs w:val="21"/>
                      <w:u w:val="single"/>
                      <w:lang w:val="en-US"/>
                    </w:rPr>
                  </w:pPr>
                  <w:r>
                    <w:rPr>
                      <w:rFonts w:hint="eastAsia" w:ascii="Times New Roman" w:hAnsi="Times New Roman"/>
                      <w:color w:val="000000" w:themeColor="text1"/>
                      <w:sz w:val="21"/>
                      <w:szCs w:val="21"/>
                      <w:u w:val="single"/>
                      <w:lang w:val="en-US"/>
                    </w:rPr>
                    <w:t>本项目业务综合楼污水</w:t>
                  </w:r>
                </w:p>
              </w:tc>
              <w:tc>
                <w:tcPr>
                  <w:tcW w:w="515" w:type="pct"/>
                  <w:vMerge w:val="restart"/>
                  <w:tcBorders>
                    <w:tl2br w:val="nil"/>
                    <w:tr2bl w:val="nil"/>
                  </w:tcBorders>
                  <w:vAlign w:val="center"/>
                </w:tcPr>
                <w:p w14:paraId="6335EC7D">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36814.63</w:t>
                  </w:r>
                </w:p>
              </w:tc>
              <w:tc>
                <w:tcPr>
                  <w:tcW w:w="495" w:type="pct"/>
                  <w:tcBorders>
                    <w:tl2br w:val="nil"/>
                    <w:tr2bl w:val="nil"/>
                  </w:tcBorders>
                  <w:vAlign w:val="center"/>
                </w:tcPr>
                <w:p w14:paraId="26BE6BC7">
                  <w:pPr>
                    <w:widowControl/>
                    <w:jc w:val="center"/>
                    <w:textAlignment w:val="center"/>
                    <w:rPr>
                      <w:rFonts w:ascii="Times New Roman" w:hAnsi="Times New Roman"/>
                      <w:color w:val="000000" w:themeColor="text1"/>
                      <w:sz w:val="21"/>
                      <w:szCs w:val="21"/>
                      <w:u w:val="single"/>
                    </w:rPr>
                  </w:pPr>
                  <w:r>
                    <w:rPr>
                      <w:rFonts w:hint="eastAsia"/>
                      <w:color w:val="000000" w:themeColor="text1"/>
                      <w:sz w:val="21"/>
                      <w:szCs w:val="21"/>
                      <w:u w:val="single"/>
                      <w:lang w:val="en-US" w:bidi="ar"/>
                    </w:rPr>
                    <w:t>产生浓度</w:t>
                  </w:r>
                  <w:r>
                    <w:rPr>
                      <w:rFonts w:ascii="Times New Roman" w:hAnsi="Times New Roman" w:cs="Times New Roman"/>
                      <w:color w:val="000000" w:themeColor="text1"/>
                      <w:sz w:val="21"/>
                      <w:szCs w:val="21"/>
                      <w:u w:val="single"/>
                      <w:lang w:val="en-US" w:bidi="ar"/>
                    </w:rPr>
                    <w:t>(mg/L)</w:t>
                  </w:r>
                </w:p>
              </w:tc>
              <w:tc>
                <w:tcPr>
                  <w:tcW w:w="405" w:type="pct"/>
                  <w:tcBorders>
                    <w:tl2br w:val="nil"/>
                    <w:tr2bl w:val="nil"/>
                  </w:tcBorders>
                  <w:vAlign w:val="center"/>
                </w:tcPr>
                <w:p w14:paraId="72396823">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300</w:t>
                  </w:r>
                </w:p>
              </w:tc>
              <w:tc>
                <w:tcPr>
                  <w:tcW w:w="447" w:type="pct"/>
                  <w:tcBorders>
                    <w:tl2br w:val="nil"/>
                    <w:tr2bl w:val="nil"/>
                  </w:tcBorders>
                  <w:vAlign w:val="center"/>
                </w:tcPr>
                <w:p w14:paraId="1F5D056C">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150</w:t>
                  </w:r>
                </w:p>
              </w:tc>
              <w:tc>
                <w:tcPr>
                  <w:tcW w:w="401" w:type="pct"/>
                  <w:tcBorders>
                    <w:tl2br w:val="nil"/>
                    <w:tr2bl w:val="nil"/>
                  </w:tcBorders>
                  <w:vAlign w:val="center"/>
                </w:tcPr>
                <w:p w14:paraId="4EA5B9B4">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120</w:t>
                  </w:r>
                </w:p>
              </w:tc>
              <w:tc>
                <w:tcPr>
                  <w:tcW w:w="349" w:type="pct"/>
                  <w:tcBorders>
                    <w:tl2br w:val="nil"/>
                    <w:tr2bl w:val="nil"/>
                  </w:tcBorders>
                  <w:vAlign w:val="center"/>
                </w:tcPr>
                <w:p w14:paraId="46D21471">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50</w:t>
                  </w:r>
                </w:p>
              </w:tc>
              <w:tc>
                <w:tcPr>
                  <w:tcW w:w="472" w:type="pct"/>
                  <w:tcBorders>
                    <w:tl2br w:val="nil"/>
                    <w:tr2bl w:val="nil"/>
                  </w:tcBorders>
                  <w:vAlign w:val="center"/>
                </w:tcPr>
                <w:p w14:paraId="04671C07">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3×10</w:t>
                  </w:r>
                  <w:r>
                    <w:rPr>
                      <w:rFonts w:ascii="Times New Roman" w:hAnsi="Times New Roman" w:cs="Times New Roman"/>
                      <w:color w:val="000000" w:themeColor="text1"/>
                      <w:sz w:val="21"/>
                      <w:szCs w:val="21"/>
                      <w:u w:val="single"/>
                      <w:vertAlign w:val="superscript"/>
                      <w:lang w:val="en-US" w:bidi="ar"/>
                    </w:rPr>
                    <w:t>8</w:t>
                  </w:r>
                  <w:r>
                    <w:rPr>
                      <w:rFonts w:hint="eastAsia"/>
                      <w:color w:val="000000" w:themeColor="text1"/>
                      <w:sz w:val="21"/>
                      <w:szCs w:val="21"/>
                      <w:u w:val="single"/>
                      <w:lang w:val="en-US" w:bidi="ar"/>
                    </w:rPr>
                    <w:t>个</w:t>
                  </w:r>
                  <w:r>
                    <w:rPr>
                      <w:rFonts w:ascii="Times New Roman" w:hAnsi="Times New Roman" w:cs="Times New Roman"/>
                      <w:color w:val="000000" w:themeColor="text1"/>
                      <w:sz w:val="21"/>
                      <w:szCs w:val="21"/>
                      <w:u w:val="single"/>
                      <w:lang w:val="en-US" w:bidi="ar"/>
                    </w:rPr>
                    <w:t>/L</w:t>
                  </w:r>
                </w:p>
              </w:tc>
              <w:tc>
                <w:tcPr>
                  <w:tcW w:w="367" w:type="pct"/>
                  <w:tcBorders>
                    <w:tl2br w:val="nil"/>
                    <w:tr2bl w:val="nil"/>
                  </w:tcBorders>
                  <w:vAlign w:val="center"/>
                </w:tcPr>
                <w:p w14:paraId="02AAFE61">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2 </w:t>
                  </w:r>
                </w:p>
              </w:tc>
              <w:tc>
                <w:tcPr>
                  <w:tcW w:w="355" w:type="pct"/>
                  <w:tcBorders>
                    <w:tl2br w:val="nil"/>
                    <w:tr2bl w:val="nil"/>
                  </w:tcBorders>
                  <w:vAlign w:val="center"/>
                </w:tcPr>
                <w:p w14:paraId="74ED8DCD">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42" w:type="pct"/>
                  <w:tcBorders>
                    <w:tl2br w:val="nil"/>
                    <w:tr2bl w:val="nil"/>
                  </w:tcBorders>
                  <w:vAlign w:val="center"/>
                </w:tcPr>
                <w:p w14:paraId="5865E503">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79" w:type="pct"/>
                  <w:tcBorders>
                    <w:tl2br w:val="nil"/>
                    <w:tr2bl w:val="nil"/>
                  </w:tcBorders>
                  <w:vAlign w:val="center"/>
                </w:tcPr>
                <w:p w14:paraId="580F9874">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5.4</w:t>
                  </w:r>
                  <w:r>
                    <w:rPr>
                      <w:rFonts w:hint="eastAsia" w:ascii="Times New Roman" w:hAnsi="Times New Roman" w:cs="Times New Roman"/>
                      <w:color w:val="000000" w:themeColor="text1"/>
                      <w:sz w:val="21"/>
                      <w:szCs w:val="21"/>
                      <w:lang w:val="en-US" w:bidi="ar"/>
                    </w:rPr>
                    <w:t>00</w:t>
                  </w:r>
                  <w:r>
                    <w:rPr>
                      <w:rFonts w:ascii="Times New Roman" w:hAnsi="Times New Roman" w:cs="Times New Roman"/>
                      <w:color w:val="000000" w:themeColor="text1"/>
                      <w:sz w:val="21"/>
                      <w:szCs w:val="21"/>
                      <w:lang w:val="en-US" w:bidi="ar"/>
                    </w:rPr>
                    <w:t xml:space="preserve"> </w:t>
                  </w:r>
                </w:p>
              </w:tc>
            </w:tr>
            <w:tr w14:paraId="4EA95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continue"/>
                  <w:tcBorders>
                    <w:tl2br w:val="nil"/>
                    <w:tr2bl w:val="nil"/>
                  </w:tcBorders>
                  <w:vAlign w:val="center"/>
                </w:tcPr>
                <w:p w14:paraId="01E7900A">
                  <w:pPr>
                    <w:widowControl/>
                    <w:jc w:val="center"/>
                    <w:rPr>
                      <w:rFonts w:ascii="Times New Roman" w:hAnsi="Times New Roman"/>
                      <w:color w:val="000000" w:themeColor="text1"/>
                      <w:sz w:val="21"/>
                      <w:szCs w:val="21"/>
                      <w:u w:val="single"/>
                    </w:rPr>
                  </w:pPr>
                </w:p>
              </w:tc>
              <w:tc>
                <w:tcPr>
                  <w:tcW w:w="515" w:type="pct"/>
                  <w:vMerge w:val="continue"/>
                  <w:tcBorders>
                    <w:tl2br w:val="nil"/>
                    <w:tr2bl w:val="nil"/>
                  </w:tcBorders>
                  <w:vAlign w:val="center"/>
                </w:tcPr>
                <w:p w14:paraId="2B8D8908">
                  <w:pPr>
                    <w:jc w:val="center"/>
                    <w:rPr>
                      <w:rFonts w:ascii="Times New Roman" w:hAnsi="Times New Roman" w:cs="Times New Roman"/>
                      <w:color w:val="000000" w:themeColor="text1"/>
                      <w:sz w:val="21"/>
                      <w:szCs w:val="21"/>
                      <w:u w:val="single"/>
                    </w:rPr>
                  </w:pPr>
                </w:p>
              </w:tc>
              <w:tc>
                <w:tcPr>
                  <w:tcW w:w="495" w:type="pct"/>
                  <w:tcBorders>
                    <w:tl2br w:val="nil"/>
                    <w:tr2bl w:val="nil"/>
                  </w:tcBorders>
                  <w:vAlign w:val="center"/>
                </w:tcPr>
                <w:p w14:paraId="6FCEB0A0">
                  <w:pPr>
                    <w:widowControl/>
                    <w:jc w:val="center"/>
                    <w:textAlignment w:val="center"/>
                    <w:rPr>
                      <w:rFonts w:ascii="Times New Roman" w:hAnsi="Times New Roman"/>
                      <w:color w:val="000000" w:themeColor="text1"/>
                      <w:sz w:val="21"/>
                      <w:szCs w:val="21"/>
                      <w:u w:val="single"/>
                    </w:rPr>
                  </w:pPr>
                  <w:r>
                    <w:rPr>
                      <w:rFonts w:hint="eastAsia"/>
                      <w:color w:val="000000" w:themeColor="text1"/>
                      <w:sz w:val="21"/>
                      <w:szCs w:val="21"/>
                      <w:u w:val="single"/>
                      <w:lang w:val="en-US" w:bidi="ar"/>
                    </w:rPr>
                    <w:t>产生量（</w:t>
                  </w:r>
                  <w:r>
                    <w:rPr>
                      <w:rFonts w:ascii="Times New Roman" w:hAnsi="Times New Roman" w:cs="Times New Roman"/>
                      <w:color w:val="000000" w:themeColor="text1"/>
                      <w:sz w:val="21"/>
                      <w:szCs w:val="21"/>
                      <w:u w:val="single"/>
                      <w:lang w:val="en-US" w:bidi="ar"/>
                    </w:rPr>
                    <w:t>t/a</w:t>
                  </w:r>
                  <w:r>
                    <w:rPr>
                      <w:rFonts w:hint="eastAsia"/>
                      <w:color w:val="000000" w:themeColor="text1"/>
                      <w:sz w:val="21"/>
                      <w:szCs w:val="21"/>
                      <w:u w:val="single"/>
                      <w:lang w:val="en-US" w:bidi="ar"/>
                    </w:rPr>
                    <w:t>）</w:t>
                  </w:r>
                </w:p>
              </w:tc>
              <w:tc>
                <w:tcPr>
                  <w:tcW w:w="405" w:type="pct"/>
                  <w:tcBorders>
                    <w:tl2br w:val="nil"/>
                    <w:tr2bl w:val="nil"/>
                  </w:tcBorders>
                  <w:vAlign w:val="center"/>
                </w:tcPr>
                <w:p w14:paraId="675AEE39">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11.044 </w:t>
                  </w:r>
                </w:p>
              </w:tc>
              <w:tc>
                <w:tcPr>
                  <w:tcW w:w="447" w:type="pct"/>
                  <w:tcBorders>
                    <w:tl2br w:val="nil"/>
                    <w:tr2bl w:val="nil"/>
                  </w:tcBorders>
                  <w:vAlign w:val="center"/>
                </w:tcPr>
                <w:p w14:paraId="2671E38A">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5.522 </w:t>
                  </w:r>
                </w:p>
              </w:tc>
              <w:tc>
                <w:tcPr>
                  <w:tcW w:w="401" w:type="pct"/>
                  <w:tcBorders>
                    <w:tl2br w:val="nil"/>
                    <w:tr2bl w:val="nil"/>
                  </w:tcBorders>
                  <w:vAlign w:val="center"/>
                </w:tcPr>
                <w:p w14:paraId="7A32EF02">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4.418 </w:t>
                  </w:r>
                </w:p>
              </w:tc>
              <w:tc>
                <w:tcPr>
                  <w:tcW w:w="349" w:type="pct"/>
                  <w:tcBorders>
                    <w:tl2br w:val="nil"/>
                    <w:tr2bl w:val="nil"/>
                  </w:tcBorders>
                  <w:vAlign w:val="center"/>
                </w:tcPr>
                <w:p w14:paraId="0F0823AE">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1.841 </w:t>
                  </w:r>
                </w:p>
              </w:tc>
              <w:tc>
                <w:tcPr>
                  <w:tcW w:w="472" w:type="pct"/>
                  <w:tcBorders>
                    <w:tl2br w:val="nil"/>
                    <w:tr2bl w:val="nil"/>
                  </w:tcBorders>
                  <w:vAlign w:val="center"/>
                </w:tcPr>
                <w:p w14:paraId="464D78BE">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w:t>
                  </w:r>
                </w:p>
              </w:tc>
              <w:tc>
                <w:tcPr>
                  <w:tcW w:w="367" w:type="pct"/>
                  <w:tcBorders>
                    <w:tl2br w:val="nil"/>
                    <w:tr2bl w:val="nil"/>
                  </w:tcBorders>
                  <w:vAlign w:val="center"/>
                </w:tcPr>
                <w:p w14:paraId="251DE326">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0.074 </w:t>
                  </w:r>
                </w:p>
              </w:tc>
              <w:tc>
                <w:tcPr>
                  <w:tcW w:w="355" w:type="pct"/>
                  <w:tcBorders>
                    <w:tl2br w:val="nil"/>
                    <w:tr2bl w:val="nil"/>
                  </w:tcBorders>
                  <w:vAlign w:val="center"/>
                </w:tcPr>
                <w:p w14:paraId="069FDF48">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42" w:type="pct"/>
                  <w:tcBorders>
                    <w:tl2br w:val="nil"/>
                    <w:tr2bl w:val="nil"/>
                  </w:tcBorders>
                  <w:vAlign w:val="center"/>
                </w:tcPr>
                <w:p w14:paraId="3E4582A8">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w:t>
                  </w:r>
                </w:p>
              </w:tc>
              <w:tc>
                <w:tcPr>
                  <w:tcW w:w="279" w:type="pct"/>
                  <w:tcBorders>
                    <w:tl2br w:val="nil"/>
                    <w:tr2bl w:val="nil"/>
                  </w:tcBorders>
                  <w:vAlign w:val="center"/>
                </w:tcPr>
                <w:p w14:paraId="0BB23509">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0.199 </w:t>
                  </w:r>
                </w:p>
              </w:tc>
            </w:tr>
            <w:tr w14:paraId="59ECC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restart"/>
                  <w:tcBorders>
                    <w:tl2br w:val="nil"/>
                    <w:tr2bl w:val="nil"/>
                  </w:tcBorders>
                  <w:vAlign w:val="center"/>
                </w:tcPr>
                <w:p w14:paraId="5099C43D">
                  <w:pPr>
                    <w:widowControl/>
                    <w:jc w:val="center"/>
                    <w:textAlignment w:val="center"/>
                    <w:rPr>
                      <w:rFonts w:ascii="Times New Roman" w:hAnsi="Times New Roman"/>
                      <w:color w:val="000000" w:themeColor="text1"/>
                      <w:sz w:val="21"/>
                      <w:szCs w:val="21"/>
                    </w:rPr>
                  </w:pPr>
                  <w:r>
                    <w:rPr>
                      <w:rFonts w:hint="eastAsia" w:ascii="Times New Roman" w:hAnsi="Times New Roman"/>
                      <w:color w:val="000000" w:themeColor="text1"/>
                      <w:sz w:val="21"/>
                      <w:szCs w:val="21"/>
                      <w:lang w:val="en-US"/>
                    </w:rPr>
                    <w:t>原项目污水（已扣除传染病楼30人职工废水）</w:t>
                  </w:r>
                </w:p>
              </w:tc>
              <w:tc>
                <w:tcPr>
                  <w:tcW w:w="515" w:type="pct"/>
                  <w:vMerge w:val="restart"/>
                  <w:tcBorders>
                    <w:tl2br w:val="nil"/>
                    <w:tr2bl w:val="nil"/>
                  </w:tcBorders>
                  <w:vAlign w:val="center"/>
                </w:tcPr>
                <w:p w14:paraId="360A37EB">
                  <w:pPr>
                    <w:widowControl/>
                    <w:jc w:val="center"/>
                    <w:textAlignment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62203.3</w:t>
                  </w:r>
                </w:p>
              </w:tc>
              <w:tc>
                <w:tcPr>
                  <w:tcW w:w="495" w:type="pct"/>
                  <w:tcBorders>
                    <w:tl2br w:val="nil"/>
                    <w:tr2bl w:val="nil"/>
                  </w:tcBorders>
                  <w:vAlign w:val="center"/>
                </w:tcPr>
                <w:p w14:paraId="41101175">
                  <w:pPr>
                    <w:widowControl/>
                    <w:jc w:val="center"/>
                    <w:textAlignment w:val="center"/>
                    <w:rPr>
                      <w:rFonts w:ascii="Times New Roman" w:hAnsi="Times New Roman"/>
                      <w:color w:val="000000" w:themeColor="text1"/>
                      <w:sz w:val="21"/>
                      <w:szCs w:val="21"/>
                      <w:lang w:val="en-US"/>
                    </w:rPr>
                  </w:pPr>
                  <w:r>
                    <w:rPr>
                      <w:rFonts w:hint="eastAsia"/>
                      <w:color w:val="000000" w:themeColor="text1"/>
                      <w:sz w:val="21"/>
                      <w:szCs w:val="21"/>
                      <w:lang w:val="en-US" w:bidi="ar"/>
                    </w:rPr>
                    <w:t>产生浓度</w:t>
                  </w:r>
                  <w:r>
                    <w:rPr>
                      <w:rFonts w:ascii="Times New Roman" w:hAnsi="Times New Roman" w:cs="Times New Roman"/>
                      <w:color w:val="000000" w:themeColor="text1"/>
                      <w:sz w:val="21"/>
                      <w:szCs w:val="21"/>
                      <w:lang w:val="en-US" w:bidi="ar"/>
                    </w:rPr>
                    <w:t>(mg/L)</w:t>
                  </w:r>
                </w:p>
              </w:tc>
              <w:tc>
                <w:tcPr>
                  <w:tcW w:w="405" w:type="pct"/>
                  <w:tcBorders>
                    <w:tl2br w:val="nil"/>
                    <w:tr2bl w:val="nil"/>
                  </w:tcBorders>
                  <w:vAlign w:val="center"/>
                </w:tcPr>
                <w:p w14:paraId="207A7C3D">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300</w:t>
                  </w:r>
                </w:p>
              </w:tc>
              <w:tc>
                <w:tcPr>
                  <w:tcW w:w="447" w:type="pct"/>
                  <w:tcBorders>
                    <w:tl2br w:val="nil"/>
                    <w:tr2bl w:val="nil"/>
                  </w:tcBorders>
                  <w:vAlign w:val="center"/>
                </w:tcPr>
                <w:p w14:paraId="15FCF59F">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150</w:t>
                  </w:r>
                </w:p>
              </w:tc>
              <w:tc>
                <w:tcPr>
                  <w:tcW w:w="401" w:type="pct"/>
                  <w:tcBorders>
                    <w:tl2br w:val="nil"/>
                    <w:tr2bl w:val="nil"/>
                  </w:tcBorders>
                  <w:vAlign w:val="center"/>
                </w:tcPr>
                <w:p w14:paraId="246796DA">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120</w:t>
                  </w:r>
                </w:p>
              </w:tc>
              <w:tc>
                <w:tcPr>
                  <w:tcW w:w="349" w:type="pct"/>
                  <w:tcBorders>
                    <w:tl2br w:val="nil"/>
                    <w:tr2bl w:val="nil"/>
                  </w:tcBorders>
                  <w:vAlign w:val="center"/>
                </w:tcPr>
                <w:p w14:paraId="3512E49D">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50</w:t>
                  </w:r>
                </w:p>
              </w:tc>
              <w:tc>
                <w:tcPr>
                  <w:tcW w:w="472" w:type="pct"/>
                  <w:tcBorders>
                    <w:tl2br w:val="nil"/>
                    <w:tr2bl w:val="nil"/>
                  </w:tcBorders>
                  <w:vAlign w:val="center"/>
                </w:tcPr>
                <w:p w14:paraId="30D93673">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3×10</w:t>
                  </w:r>
                  <w:r>
                    <w:rPr>
                      <w:rFonts w:ascii="Times New Roman" w:hAnsi="Times New Roman" w:cs="Times New Roman"/>
                      <w:color w:val="000000" w:themeColor="text1"/>
                      <w:sz w:val="21"/>
                      <w:szCs w:val="21"/>
                      <w:vertAlign w:val="superscript"/>
                      <w:lang w:val="en-US" w:bidi="ar"/>
                    </w:rPr>
                    <w:t>8</w:t>
                  </w:r>
                  <w:r>
                    <w:rPr>
                      <w:rFonts w:hint="eastAsia"/>
                      <w:color w:val="000000" w:themeColor="text1"/>
                      <w:sz w:val="21"/>
                      <w:szCs w:val="21"/>
                      <w:lang w:val="en-US" w:bidi="ar"/>
                    </w:rPr>
                    <w:t>个</w:t>
                  </w:r>
                  <w:r>
                    <w:rPr>
                      <w:rFonts w:ascii="Times New Roman" w:hAnsi="Times New Roman" w:cs="Times New Roman"/>
                      <w:color w:val="000000" w:themeColor="text1"/>
                      <w:sz w:val="21"/>
                      <w:szCs w:val="21"/>
                      <w:lang w:val="en-US" w:bidi="ar"/>
                    </w:rPr>
                    <w:t>/L</w:t>
                  </w:r>
                </w:p>
              </w:tc>
              <w:tc>
                <w:tcPr>
                  <w:tcW w:w="367" w:type="pct"/>
                  <w:tcBorders>
                    <w:tl2br w:val="nil"/>
                    <w:tr2bl w:val="nil"/>
                  </w:tcBorders>
                  <w:vAlign w:val="center"/>
                </w:tcPr>
                <w:p w14:paraId="180AA455">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2 </w:t>
                  </w:r>
                </w:p>
              </w:tc>
              <w:tc>
                <w:tcPr>
                  <w:tcW w:w="355" w:type="pct"/>
                  <w:tcBorders>
                    <w:tl2br w:val="nil"/>
                    <w:tr2bl w:val="nil"/>
                  </w:tcBorders>
                  <w:vAlign w:val="center"/>
                </w:tcPr>
                <w:p w14:paraId="6B4F2073">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0.016 </w:t>
                  </w:r>
                </w:p>
              </w:tc>
              <w:tc>
                <w:tcPr>
                  <w:tcW w:w="242" w:type="pct"/>
                  <w:tcBorders>
                    <w:tl2br w:val="nil"/>
                    <w:tr2bl w:val="nil"/>
                  </w:tcBorders>
                  <w:vAlign w:val="center"/>
                </w:tcPr>
                <w:p w14:paraId="559CD83B">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1.33 </w:t>
                  </w:r>
                </w:p>
              </w:tc>
              <w:tc>
                <w:tcPr>
                  <w:tcW w:w="279" w:type="pct"/>
                  <w:tcBorders>
                    <w:tl2br w:val="nil"/>
                    <w:tr2bl w:val="nil"/>
                  </w:tcBorders>
                  <w:vAlign w:val="center"/>
                </w:tcPr>
                <w:p w14:paraId="7D204465">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5.400 </w:t>
                  </w:r>
                </w:p>
              </w:tc>
            </w:tr>
            <w:tr w14:paraId="70295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continue"/>
                  <w:tcBorders>
                    <w:tl2br w:val="nil"/>
                    <w:tr2bl w:val="nil"/>
                  </w:tcBorders>
                  <w:vAlign w:val="center"/>
                </w:tcPr>
                <w:p w14:paraId="6B595F41">
                  <w:pPr>
                    <w:widowControl/>
                    <w:jc w:val="center"/>
                    <w:rPr>
                      <w:rFonts w:ascii="Times New Roman" w:hAnsi="Times New Roman"/>
                      <w:color w:val="000000" w:themeColor="text1"/>
                      <w:sz w:val="21"/>
                      <w:szCs w:val="21"/>
                    </w:rPr>
                  </w:pPr>
                </w:p>
              </w:tc>
              <w:tc>
                <w:tcPr>
                  <w:tcW w:w="515" w:type="pct"/>
                  <w:vMerge w:val="continue"/>
                  <w:tcBorders>
                    <w:tl2br w:val="nil"/>
                    <w:tr2bl w:val="nil"/>
                  </w:tcBorders>
                  <w:vAlign w:val="center"/>
                </w:tcPr>
                <w:p w14:paraId="5EA8235E">
                  <w:pPr>
                    <w:jc w:val="center"/>
                    <w:rPr>
                      <w:rFonts w:ascii="Times New Roman" w:hAnsi="Times New Roman" w:cs="Times New Roman"/>
                      <w:color w:val="000000" w:themeColor="text1"/>
                      <w:sz w:val="21"/>
                      <w:szCs w:val="21"/>
                    </w:rPr>
                  </w:pPr>
                </w:p>
              </w:tc>
              <w:tc>
                <w:tcPr>
                  <w:tcW w:w="495" w:type="pct"/>
                  <w:tcBorders>
                    <w:tl2br w:val="nil"/>
                    <w:tr2bl w:val="nil"/>
                  </w:tcBorders>
                  <w:vAlign w:val="center"/>
                </w:tcPr>
                <w:p w14:paraId="7361B692">
                  <w:pPr>
                    <w:widowControl/>
                    <w:jc w:val="center"/>
                    <w:textAlignment w:val="center"/>
                    <w:rPr>
                      <w:rFonts w:ascii="Times New Roman" w:hAnsi="Times New Roman"/>
                      <w:color w:val="000000" w:themeColor="text1"/>
                      <w:sz w:val="21"/>
                      <w:szCs w:val="21"/>
                      <w:lang w:val="en-US"/>
                    </w:rPr>
                  </w:pPr>
                  <w:r>
                    <w:rPr>
                      <w:rFonts w:hint="eastAsia"/>
                      <w:color w:val="000000" w:themeColor="text1"/>
                      <w:sz w:val="21"/>
                      <w:szCs w:val="21"/>
                      <w:lang w:val="en-US" w:bidi="ar"/>
                    </w:rPr>
                    <w:t>产生量（</w:t>
                  </w:r>
                  <w:r>
                    <w:rPr>
                      <w:rFonts w:ascii="Times New Roman" w:hAnsi="Times New Roman" w:cs="Times New Roman"/>
                      <w:color w:val="000000" w:themeColor="text1"/>
                      <w:sz w:val="21"/>
                      <w:szCs w:val="21"/>
                      <w:lang w:val="en-US" w:bidi="ar"/>
                    </w:rPr>
                    <w:t>t/a</w:t>
                  </w:r>
                  <w:r>
                    <w:rPr>
                      <w:rFonts w:hint="eastAsia"/>
                      <w:color w:val="000000" w:themeColor="text1"/>
                      <w:sz w:val="21"/>
                      <w:szCs w:val="21"/>
                      <w:lang w:val="en-US" w:bidi="ar"/>
                    </w:rPr>
                    <w:t>）</w:t>
                  </w:r>
                </w:p>
              </w:tc>
              <w:tc>
                <w:tcPr>
                  <w:tcW w:w="405" w:type="pct"/>
                  <w:tcBorders>
                    <w:tl2br w:val="nil"/>
                    <w:tr2bl w:val="nil"/>
                  </w:tcBorders>
                  <w:vAlign w:val="center"/>
                </w:tcPr>
                <w:p w14:paraId="06A5EEB0">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18.661 </w:t>
                  </w:r>
                </w:p>
              </w:tc>
              <w:tc>
                <w:tcPr>
                  <w:tcW w:w="447" w:type="pct"/>
                  <w:tcBorders>
                    <w:tl2br w:val="nil"/>
                    <w:tr2bl w:val="nil"/>
                  </w:tcBorders>
                  <w:vAlign w:val="center"/>
                </w:tcPr>
                <w:p w14:paraId="26C27BEE">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9.330 </w:t>
                  </w:r>
                </w:p>
              </w:tc>
              <w:tc>
                <w:tcPr>
                  <w:tcW w:w="401" w:type="pct"/>
                  <w:tcBorders>
                    <w:tl2br w:val="nil"/>
                    <w:tr2bl w:val="nil"/>
                  </w:tcBorders>
                  <w:vAlign w:val="center"/>
                </w:tcPr>
                <w:p w14:paraId="0E191076">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7.464 </w:t>
                  </w:r>
                </w:p>
              </w:tc>
              <w:tc>
                <w:tcPr>
                  <w:tcW w:w="349" w:type="pct"/>
                  <w:tcBorders>
                    <w:tl2br w:val="nil"/>
                    <w:tr2bl w:val="nil"/>
                  </w:tcBorders>
                  <w:vAlign w:val="center"/>
                </w:tcPr>
                <w:p w14:paraId="72993EC7">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3.110 </w:t>
                  </w:r>
                </w:p>
              </w:tc>
              <w:tc>
                <w:tcPr>
                  <w:tcW w:w="472" w:type="pct"/>
                  <w:tcBorders>
                    <w:tl2br w:val="nil"/>
                    <w:tr2bl w:val="nil"/>
                  </w:tcBorders>
                  <w:vAlign w:val="center"/>
                </w:tcPr>
                <w:p w14:paraId="7C0A562B">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w:t>
                  </w:r>
                </w:p>
              </w:tc>
              <w:tc>
                <w:tcPr>
                  <w:tcW w:w="367" w:type="pct"/>
                  <w:tcBorders>
                    <w:tl2br w:val="nil"/>
                    <w:tr2bl w:val="nil"/>
                  </w:tcBorders>
                  <w:vAlign w:val="center"/>
                </w:tcPr>
                <w:p w14:paraId="3398B5D2">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0.124 </w:t>
                  </w:r>
                </w:p>
              </w:tc>
              <w:tc>
                <w:tcPr>
                  <w:tcW w:w="355" w:type="pct"/>
                  <w:tcBorders>
                    <w:tl2br w:val="nil"/>
                    <w:tr2bl w:val="nil"/>
                  </w:tcBorders>
                  <w:vAlign w:val="center"/>
                </w:tcPr>
                <w:p w14:paraId="0483F90F">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0.001 </w:t>
                  </w:r>
                </w:p>
              </w:tc>
              <w:tc>
                <w:tcPr>
                  <w:tcW w:w="242" w:type="pct"/>
                  <w:tcBorders>
                    <w:tl2br w:val="nil"/>
                    <w:tr2bl w:val="nil"/>
                  </w:tcBorders>
                  <w:vAlign w:val="center"/>
                </w:tcPr>
                <w:p w14:paraId="55F657AA">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0.083 </w:t>
                  </w:r>
                </w:p>
              </w:tc>
              <w:tc>
                <w:tcPr>
                  <w:tcW w:w="279" w:type="pct"/>
                  <w:tcBorders>
                    <w:tl2br w:val="nil"/>
                    <w:tr2bl w:val="nil"/>
                  </w:tcBorders>
                  <w:vAlign w:val="center"/>
                </w:tcPr>
                <w:p w14:paraId="668DFCD5">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0.336 </w:t>
                  </w:r>
                </w:p>
              </w:tc>
            </w:tr>
            <w:tr w14:paraId="6EBA8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restart"/>
                  <w:tcBorders>
                    <w:tl2br w:val="nil"/>
                    <w:tr2bl w:val="nil"/>
                  </w:tcBorders>
                  <w:vAlign w:val="center"/>
                </w:tcPr>
                <w:p w14:paraId="7DD56F3A">
                  <w:pPr>
                    <w:widowControl/>
                    <w:jc w:val="center"/>
                    <w:rPr>
                      <w:rFonts w:ascii="Times New Roman" w:hAnsi="Times New Roman"/>
                      <w:color w:val="000000" w:themeColor="text1"/>
                      <w:sz w:val="21"/>
                      <w:szCs w:val="21"/>
                      <w:lang w:val="en-US"/>
                    </w:rPr>
                  </w:pPr>
                  <w:r>
                    <w:rPr>
                      <w:rFonts w:hint="eastAsia" w:ascii="Times New Roman" w:hAnsi="Times New Roman"/>
                      <w:color w:val="000000" w:themeColor="text1"/>
                      <w:sz w:val="21"/>
                      <w:szCs w:val="21"/>
                      <w:lang w:val="en-US"/>
                    </w:rPr>
                    <w:t>在建项目污水</w:t>
                  </w:r>
                </w:p>
              </w:tc>
              <w:tc>
                <w:tcPr>
                  <w:tcW w:w="515" w:type="pct"/>
                  <w:vMerge w:val="restart"/>
                  <w:tcBorders>
                    <w:tl2br w:val="nil"/>
                    <w:tr2bl w:val="nil"/>
                  </w:tcBorders>
                  <w:vAlign w:val="center"/>
                </w:tcPr>
                <w:p w14:paraId="0018F331">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64480.9</w:t>
                  </w:r>
                </w:p>
              </w:tc>
              <w:tc>
                <w:tcPr>
                  <w:tcW w:w="495" w:type="pct"/>
                  <w:tcBorders>
                    <w:tl2br w:val="nil"/>
                    <w:tr2bl w:val="nil"/>
                  </w:tcBorders>
                  <w:vAlign w:val="center"/>
                </w:tcPr>
                <w:p w14:paraId="583660A9">
                  <w:pPr>
                    <w:widowControl/>
                    <w:jc w:val="center"/>
                    <w:textAlignment w:val="center"/>
                    <w:rPr>
                      <w:rFonts w:ascii="Times New Roman" w:hAnsi="Times New Roman"/>
                      <w:color w:val="000000" w:themeColor="text1"/>
                      <w:sz w:val="21"/>
                      <w:szCs w:val="21"/>
                      <w:lang w:val="en-US"/>
                    </w:rPr>
                  </w:pPr>
                  <w:r>
                    <w:rPr>
                      <w:rFonts w:hint="eastAsia"/>
                      <w:color w:val="000000" w:themeColor="text1"/>
                      <w:sz w:val="21"/>
                      <w:szCs w:val="21"/>
                      <w:lang w:val="en-US" w:bidi="ar"/>
                    </w:rPr>
                    <w:t>产生浓度</w:t>
                  </w:r>
                  <w:r>
                    <w:rPr>
                      <w:rFonts w:ascii="Times New Roman" w:hAnsi="Times New Roman" w:cs="Times New Roman"/>
                      <w:color w:val="000000" w:themeColor="text1"/>
                      <w:sz w:val="21"/>
                      <w:szCs w:val="21"/>
                      <w:lang w:val="en-US" w:bidi="ar"/>
                    </w:rPr>
                    <w:t>(mg/L)</w:t>
                  </w:r>
                </w:p>
              </w:tc>
              <w:tc>
                <w:tcPr>
                  <w:tcW w:w="405" w:type="pct"/>
                  <w:tcBorders>
                    <w:tl2br w:val="nil"/>
                    <w:tr2bl w:val="nil"/>
                  </w:tcBorders>
                  <w:vAlign w:val="center"/>
                </w:tcPr>
                <w:p w14:paraId="392726A3">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300</w:t>
                  </w:r>
                </w:p>
              </w:tc>
              <w:tc>
                <w:tcPr>
                  <w:tcW w:w="447" w:type="pct"/>
                  <w:tcBorders>
                    <w:tl2br w:val="nil"/>
                    <w:tr2bl w:val="nil"/>
                  </w:tcBorders>
                  <w:vAlign w:val="center"/>
                </w:tcPr>
                <w:p w14:paraId="2E020A44">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150</w:t>
                  </w:r>
                </w:p>
              </w:tc>
              <w:tc>
                <w:tcPr>
                  <w:tcW w:w="401" w:type="pct"/>
                  <w:tcBorders>
                    <w:tl2br w:val="nil"/>
                    <w:tr2bl w:val="nil"/>
                  </w:tcBorders>
                  <w:vAlign w:val="center"/>
                </w:tcPr>
                <w:p w14:paraId="1F509E62">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120</w:t>
                  </w:r>
                </w:p>
              </w:tc>
              <w:tc>
                <w:tcPr>
                  <w:tcW w:w="349" w:type="pct"/>
                  <w:tcBorders>
                    <w:tl2br w:val="nil"/>
                    <w:tr2bl w:val="nil"/>
                  </w:tcBorders>
                  <w:vAlign w:val="center"/>
                </w:tcPr>
                <w:p w14:paraId="72D8DA9C">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50</w:t>
                  </w:r>
                </w:p>
              </w:tc>
              <w:tc>
                <w:tcPr>
                  <w:tcW w:w="472" w:type="pct"/>
                  <w:tcBorders>
                    <w:tl2br w:val="nil"/>
                    <w:tr2bl w:val="nil"/>
                  </w:tcBorders>
                  <w:vAlign w:val="center"/>
                </w:tcPr>
                <w:p w14:paraId="044777AE">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3×10</w:t>
                  </w:r>
                  <w:r>
                    <w:rPr>
                      <w:rFonts w:ascii="Times New Roman" w:hAnsi="Times New Roman" w:cs="Times New Roman"/>
                      <w:color w:val="000000" w:themeColor="text1"/>
                      <w:sz w:val="21"/>
                      <w:szCs w:val="21"/>
                      <w:vertAlign w:val="superscript"/>
                      <w:lang w:val="en-US" w:bidi="ar"/>
                    </w:rPr>
                    <w:t>8</w:t>
                  </w:r>
                  <w:r>
                    <w:rPr>
                      <w:rFonts w:hint="eastAsia"/>
                      <w:color w:val="000000" w:themeColor="text1"/>
                      <w:sz w:val="21"/>
                      <w:szCs w:val="21"/>
                      <w:lang w:val="en-US" w:bidi="ar"/>
                    </w:rPr>
                    <w:t>个</w:t>
                  </w:r>
                  <w:r>
                    <w:rPr>
                      <w:rFonts w:ascii="Times New Roman" w:hAnsi="Times New Roman" w:cs="Times New Roman"/>
                      <w:color w:val="000000" w:themeColor="text1"/>
                      <w:sz w:val="21"/>
                      <w:szCs w:val="21"/>
                      <w:lang w:val="en-US" w:bidi="ar"/>
                    </w:rPr>
                    <w:t>/L</w:t>
                  </w:r>
                </w:p>
              </w:tc>
              <w:tc>
                <w:tcPr>
                  <w:tcW w:w="367" w:type="pct"/>
                  <w:tcBorders>
                    <w:tl2br w:val="nil"/>
                    <w:tr2bl w:val="nil"/>
                  </w:tcBorders>
                  <w:vAlign w:val="center"/>
                </w:tcPr>
                <w:p w14:paraId="44C6FBFE">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2 </w:t>
                  </w:r>
                </w:p>
              </w:tc>
              <w:tc>
                <w:tcPr>
                  <w:tcW w:w="355" w:type="pct"/>
                  <w:tcBorders>
                    <w:tl2br w:val="nil"/>
                    <w:tr2bl w:val="nil"/>
                  </w:tcBorders>
                  <w:vAlign w:val="center"/>
                </w:tcPr>
                <w:p w14:paraId="20BE1871">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w:t>
                  </w:r>
                </w:p>
              </w:tc>
              <w:tc>
                <w:tcPr>
                  <w:tcW w:w="242" w:type="pct"/>
                  <w:tcBorders>
                    <w:tl2br w:val="nil"/>
                    <w:tr2bl w:val="nil"/>
                  </w:tcBorders>
                  <w:vAlign w:val="center"/>
                </w:tcPr>
                <w:p w14:paraId="37BC605F">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w:t>
                  </w:r>
                </w:p>
              </w:tc>
              <w:tc>
                <w:tcPr>
                  <w:tcW w:w="279" w:type="pct"/>
                  <w:tcBorders>
                    <w:tl2br w:val="nil"/>
                    <w:tr2bl w:val="nil"/>
                  </w:tcBorders>
                  <w:vAlign w:val="center"/>
                </w:tcPr>
                <w:p w14:paraId="50C9F4A0">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5.400 </w:t>
                  </w:r>
                </w:p>
              </w:tc>
            </w:tr>
            <w:tr w14:paraId="1A91F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continue"/>
                  <w:tcBorders>
                    <w:tl2br w:val="nil"/>
                    <w:tr2bl w:val="nil"/>
                  </w:tcBorders>
                  <w:vAlign w:val="center"/>
                </w:tcPr>
                <w:p w14:paraId="0619E80E">
                  <w:pPr>
                    <w:widowControl/>
                    <w:jc w:val="center"/>
                    <w:rPr>
                      <w:rFonts w:ascii="Times New Roman" w:hAnsi="Times New Roman"/>
                      <w:color w:val="000000" w:themeColor="text1"/>
                      <w:sz w:val="21"/>
                      <w:szCs w:val="21"/>
                    </w:rPr>
                  </w:pPr>
                </w:p>
              </w:tc>
              <w:tc>
                <w:tcPr>
                  <w:tcW w:w="515" w:type="pct"/>
                  <w:vMerge w:val="continue"/>
                  <w:tcBorders>
                    <w:tl2br w:val="nil"/>
                    <w:tr2bl w:val="nil"/>
                  </w:tcBorders>
                  <w:vAlign w:val="center"/>
                </w:tcPr>
                <w:p w14:paraId="2AE826D9">
                  <w:pPr>
                    <w:jc w:val="center"/>
                    <w:rPr>
                      <w:rFonts w:ascii="Times New Roman" w:hAnsi="Times New Roman" w:cs="Times New Roman"/>
                      <w:color w:val="000000" w:themeColor="text1"/>
                      <w:sz w:val="21"/>
                      <w:szCs w:val="21"/>
                    </w:rPr>
                  </w:pPr>
                </w:p>
              </w:tc>
              <w:tc>
                <w:tcPr>
                  <w:tcW w:w="495" w:type="pct"/>
                  <w:tcBorders>
                    <w:tl2br w:val="nil"/>
                    <w:tr2bl w:val="nil"/>
                  </w:tcBorders>
                  <w:vAlign w:val="center"/>
                </w:tcPr>
                <w:p w14:paraId="27270A6E">
                  <w:pPr>
                    <w:widowControl/>
                    <w:jc w:val="center"/>
                    <w:textAlignment w:val="center"/>
                    <w:rPr>
                      <w:rFonts w:ascii="Times New Roman" w:hAnsi="Times New Roman"/>
                      <w:color w:val="000000" w:themeColor="text1"/>
                      <w:sz w:val="21"/>
                      <w:szCs w:val="21"/>
                      <w:lang w:val="en-US"/>
                    </w:rPr>
                  </w:pPr>
                  <w:r>
                    <w:rPr>
                      <w:rFonts w:hint="eastAsia"/>
                      <w:color w:val="000000" w:themeColor="text1"/>
                      <w:sz w:val="21"/>
                      <w:szCs w:val="21"/>
                      <w:lang w:val="en-US" w:bidi="ar"/>
                    </w:rPr>
                    <w:t>产生量（</w:t>
                  </w:r>
                  <w:r>
                    <w:rPr>
                      <w:rFonts w:ascii="Times New Roman" w:hAnsi="Times New Roman" w:cs="Times New Roman"/>
                      <w:color w:val="000000" w:themeColor="text1"/>
                      <w:sz w:val="21"/>
                      <w:szCs w:val="21"/>
                      <w:lang w:val="en-US" w:bidi="ar"/>
                    </w:rPr>
                    <w:t>t/a</w:t>
                  </w:r>
                  <w:r>
                    <w:rPr>
                      <w:rFonts w:hint="eastAsia"/>
                      <w:color w:val="000000" w:themeColor="text1"/>
                      <w:sz w:val="21"/>
                      <w:szCs w:val="21"/>
                      <w:lang w:val="en-US" w:bidi="ar"/>
                    </w:rPr>
                    <w:t>）</w:t>
                  </w:r>
                </w:p>
              </w:tc>
              <w:tc>
                <w:tcPr>
                  <w:tcW w:w="405" w:type="pct"/>
                  <w:tcBorders>
                    <w:tl2br w:val="nil"/>
                    <w:tr2bl w:val="nil"/>
                  </w:tcBorders>
                  <w:vAlign w:val="center"/>
                </w:tcPr>
                <w:p w14:paraId="1FC7EF43">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19.344 </w:t>
                  </w:r>
                </w:p>
              </w:tc>
              <w:tc>
                <w:tcPr>
                  <w:tcW w:w="447" w:type="pct"/>
                  <w:tcBorders>
                    <w:tl2br w:val="nil"/>
                    <w:tr2bl w:val="nil"/>
                  </w:tcBorders>
                  <w:vAlign w:val="center"/>
                </w:tcPr>
                <w:p w14:paraId="543293E3">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9.672 </w:t>
                  </w:r>
                </w:p>
              </w:tc>
              <w:tc>
                <w:tcPr>
                  <w:tcW w:w="401" w:type="pct"/>
                  <w:tcBorders>
                    <w:tl2br w:val="nil"/>
                    <w:tr2bl w:val="nil"/>
                  </w:tcBorders>
                  <w:vAlign w:val="center"/>
                </w:tcPr>
                <w:p w14:paraId="33604E4C">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7.738 </w:t>
                  </w:r>
                </w:p>
              </w:tc>
              <w:tc>
                <w:tcPr>
                  <w:tcW w:w="349" w:type="pct"/>
                  <w:tcBorders>
                    <w:tl2br w:val="nil"/>
                    <w:tr2bl w:val="nil"/>
                  </w:tcBorders>
                  <w:vAlign w:val="center"/>
                </w:tcPr>
                <w:p w14:paraId="10A8837E">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3.224 </w:t>
                  </w:r>
                </w:p>
              </w:tc>
              <w:tc>
                <w:tcPr>
                  <w:tcW w:w="472" w:type="pct"/>
                  <w:tcBorders>
                    <w:tl2br w:val="nil"/>
                    <w:tr2bl w:val="nil"/>
                  </w:tcBorders>
                  <w:vAlign w:val="center"/>
                </w:tcPr>
                <w:p w14:paraId="2BC92FFF">
                  <w:pPr>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w:t>
                  </w:r>
                </w:p>
              </w:tc>
              <w:tc>
                <w:tcPr>
                  <w:tcW w:w="367" w:type="pct"/>
                  <w:tcBorders>
                    <w:tl2br w:val="nil"/>
                    <w:tr2bl w:val="nil"/>
                  </w:tcBorders>
                  <w:vAlign w:val="center"/>
                </w:tcPr>
                <w:p w14:paraId="60431E74">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0.129 </w:t>
                  </w:r>
                </w:p>
              </w:tc>
              <w:tc>
                <w:tcPr>
                  <w:tcW w:w="355" w:type="pct"/>
                  <w:tcBorders>
                    <w:tl2br w:val="nil"/>
                    <w:tr2bl w:val="nil"/>
                  </w:tcBorders>
                  <w:vAlign w:val="center"/>
                </w:tcPr>
                <w:p w14:paraId="09F439A9">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w:t>
                  </w:r>
                </w:p>
              </w:tc>
              <w:tc>
                <w:tcPr>
                  <w:tcW w:w="242" w:type="pct"/>
                  <w:tcBorders>
                    <w:tl2br w:val="nil"/>
                    <w:tr2bl w:val="nil"/>
                  </w:tcBorders>
                  <w:vAlign w:val="center"/>
                </w:tcPr>
                <w:p w14:paraId="7954C2FC">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w:t>
                  </w:r>
                </w:p>
              </w:tc>
              <w:tc>
                <w:tcPr>
                  <w:tcW w:w="279" w:type="pct"/>
                  <w:tcBorders>
                    <w:tl2br w:val="nil"/>
                    <w:tr2bl w:val="nil"/>
                  </w:tcBorders>
                  <w:vAlign w:val="center"/>
                </w:tcPr>
                <w:p w14:paraId="43C93F66">
                  <w:pPr>
                    <w:widowControl/>
                    <w:jc w:val="center"/>
                    <w:textAlignment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
                    </w:rPr>
                    <w:t xml:space="preserve">0.348 </w:t>
                  </w:r>
                </w:p>
              </w:tc>
            </w:tr>
            <w:tr w14:paraId="28046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restart"/>
                  <w:tcBorders>
                    <w:tl2br w:val="nil"/>
                    <w:tr2bl w:val="nil"/>
                  </w:tcBorders>
                  <w:vAlign w:val="center"/>
                </w:tcPr>
                <w:p w14:paraId="6DBCC216">
                  <w:pPr>
                    <w:widowControl/>
                    <w:jc w:val="center"/>
                    <w:textAlignment w:val="center"/>
                    <w:rPr>
                      <w:rFonts w:ascii="Times New Roman" w:hAnsi="Times New Roman"/>
                      <w:color w:val="000000" w:themeColor="text1"/>
                      <w:sz w:val="21"/>
                      <w:szCs w:val="21"/>
                      <w:u w:val="single"/>
                    </w:rPr>
                  </w:pPr>
                  <w:r>
                    <w:rPr>
                      <w:rFonts w:hint="eastAsia" w:ascii="Times New Roman" w:hAnsi="Times New Roman"/>
                      <w:color w:val="000000" w:themeColor="text1"/>
                      <w:sz w:val="21"/>
                      <w:szCs w:val="21"/>
                      <w:u w:val="single"/>
                      <w:lang w:val="en-US"/>
                    </w:rPr>
                    <w:t>混合后综合污水</w:t>
                  </w:r>
                </w:p>
              </w:tc>
              <w:tc>
                <w:tcPr>
                  <w:tcW w:w="515" w:type="pct"/>
                  <w:vMerge w:val="restart"/>
                  <w:tcBorders>
                    <w:tl2br w:val="nil"/>
                    <w:tr2bl w:val="nil"/>
                  </w:tcBorders>
                  <w:vAlign w:val="center"/>
                </w:tcPr>
                <w:p w14:paraId="7D6EBEB3">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166682.54 </w:t>
                  </w:r>
                </w:p>
              </w:tc>
              <w:tc>
                <w:tcPr>
                  <w:tcW w:w="495" w:type="pct"/>
                  <w:tcBorders>
                    <w:tl2br w:val="nil"/>
                    <w:tr2bl w:val="nil"/>
                  </w:tcBorders>
                  <w:vAlign w:val="center"/>
                </w:tcPr>
                <w:p w14:paraId="1C96CAD9">
                  <w:pPr>
                    <w:widowControl/>
                    <w:jc w:val="center"/>
                    <w:textAlignment w:val="center"/>
                    <w:rPr>
                      <w:rFonts w:ascii="Times New Roman" w:hAnsi="Times New Roman"/>
                      <w:color w:val="000000" w:themeColor="text1"/>
                      <w:sz w:val="21"/>
                      <w:szCs w:val="21"/>
                      <w:u w:val="single"/>
                    </w:rPr>
                  </w:pPr>
                  <w:r>
                    <w:rPr>
                      <w:rFonts w:hint="eastAsia"/>
                      <w:color w:val="000000" w:themeColor="text1"/>
                      <w:sz w:val="21"/>
                      <w:szCs w:val="21"/>
                      <w:u w:val="single"/>
                      <w:lang w:val="en-US" w:bidi="ar"/>
                    </w:rPr>
                    <w:t>产生浓度</w:t>
                  </w:r>
                  <w:r>
                    <w:rPr>
                      <w:rFonts w:ascii="Times New Roman" w:hAnsi="Times New Roman" w:cs="Times New Roman"/>
                      <w:color w:val="000000" w:themeColor="text1"/>
                      <w:sz w:val="21"/>
                      <w:szCs w:val="21"/>
                      <w:u w:val="single"/>
                      <w:lang w:val="en-US" w:bidi="ar"/>
                    </w:rPr>
                    <w:t>(mg/L)</w:t>
                  </w:r>
                </w:p>
              </w:tc>
              <w:tc>
                <w:tcPr>
                  <w:tcW w:w="405" w:type="pct"/>
                  <w:tcBorders>
                    <w:tl2br w:val="nil"/>
                    <w:tr2bl w:val="nil"/>
                  </w:tcBorders>
                  <w:vAlign w:val="center"/>
                </w:tcPr>
                <w:p w14:paraId="5FF09702">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300</w:t>
                  </w:r>
                </w:p>
              </w:tc>
              <w:tc>
                <w:tcPr>
                  <w:tcW w:w="447" w:type="pct"/>
                  <w:tcBorders>
                    <w:tl2br w:val="nil"/>
                    <w:tr2bl w:val="nil"/>
                  </w:tcBorders>
                  <w:vAlign w:val="center"/>
                </w:tcPr>
                <w:p w14:paraId="2BDE2010">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150</w:t>
                  </w:r>
                </w:p>
              </w:tc>
              <w:tc>
                <w:tcPr>
                  <w:tcW w:w="401" w:type="pct"/>
                  <w:tcBorders>
                    <w:tl2br w:val="nil"/>
                    <w:tr2bl w:val="nil"/>
                  </w:tcBorders>
                  <w:vAlign w:val="center"/>
                </w:tcPr>
                <w:p w14:paraId="0380D4B7">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120</w:t>
                  </w:r>
                </w:p>
              </w:tc>
              <w:tc>
                <w:tcPr>
                  <w:tcW w:w="349" w:type="pct"/>
                  <w:tcBorders>
                    <w:tl2br w:val="nil"/>
                    <w:tr2bl w:val="nil"/>
                  </w:tcBorders>
                  <w:vAlign w:val="center"/>
                </w:tcPr>
                <w:p w14:paraId="006D2E3A">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50</w:t>
                  </w:r>
                </w:p>
              </w:tc>
              <w:tc>
                <w:tcPr>
                  <w:tcW w:w="472" w:type="pct"/>
                  <w:tcBorders>
                    <w:tl2br w:val="nil"/>
                    <w:tr2bl w:val="nil"/>
                  </w:tcBorders>
                  <w:vAlign w:val="center"/>
                </w:tcPr>
                <w:p w14:paraId="77930DF4">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3×10</w:t>
                  </w:r>
                  <w:r>
                    <w:rPr>
                      <w:rFonts w:ascii="Times New Roman" w:hAnsi="Times New Roman" w:cs="Times New Roman"/>
                      <w:color w:val="000000" w:themeColor="text1"/>
                      <w:sz w:val="21"/>
                      <w:szCs w:val="21"/>
                      <w:u w:val="single"/>
                      <w:vertAlign w:val="superscript"/>
                      <w:lang w:val="en-US" w:bidi="ar"/>
                    </w:rPr>
                    <w:t>8</w:t>
                  </w:r>
                  <w:r>
                    <w:rPr>
                      <w:rFonts w:hint="eastAsia"/>
                      <w:color w:val="000000" w:themeColor="text1"/>
                      <w:sz w:val="21"/>
                      <w:szCs w:val="21"/>
                      <w:u w:val="single"/>
                      <w:lang w:val="en-US" w:bidi="ar"/>
                    </w:rPr>
                    <w:t>个</w:t>
                  </w:r>
                  <w:r>
                    <w:rPr>
                      <w:rFonts w:ascii="Times New Roman" w:hAnsi="Times New Roman" w:cs="Times New Roman"/>
                      <w:color w:val="000000" w:themeColor="text1"/>
                      <w:sz w:val="21"/>
                      <w:szCs w:val="21"/>
                      <w:u w:val="single"/>
                      <w:lang w:val="en-US" w:bidi="ar"/>
                    </w:rPr>
                    <w:t>/L</w:t>
                  </w:r>
                </w:p>
              </w:tc>
              <w:tc>
                <w:tcPr>
                  <w:tcW w:w="367" w:type="pct"/>
                  <w:tcBorders>
                    <w:tl2br w:val="nil"/>
                    <w:tr2bl w:val="nil"/>
                  </w:tcBorders>
                  <w:vAlign w:val="center"/>
                </w:tcPr>
                <w:p w14:paraId="5F8B5442">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2 </w:t>
                  </w:r>
                </w:p>
              </w:tc>
              <w:tc>
                <w:tcPr>
                  <w:tcW w:w="355" w:type="pct"/>
                  <w:tcBorders>
                    <w:tl2br w:val="nil"/>
                    <w:tr2bl w:val="nil"/>
                  </w:tcBorders>
                  <w:vAlign w:val="center"/>
                </w:tcPr>
                <w:p w14:paraId="7F2C4EB3">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0.016 </w:t>
                  </w:r>
                </w:p>
              </w:tc>
              <w:tc>
                <w:tcPr>
                  <w:tcW w:w="242" w:type="pct"/>
                  <w:tcBorders>
                    <w:tl2br w:val="nil"/>
                    <w:tr2bl w:val="nil"/>
                  </w:tcBorders>
                  <w:vAlign w:val="center"/>
                </w:tcPr>
                <w:p w14:paraId="61D42A5A">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1.33 </w:t>
                  </w:r>
                </w:p>
              </w:tc>
              <w:tc>
                <w:tcPr>
                  <w:tcW w:w="279" w:type="pct"/>
                  <w:tcBorders>
                    <w:tl2br w:val="nil"/>
                    <w:tr2bl w:val="nil"/>
                  </w:tcBorders>
                  <w:vAlign w:val="center"/>
                </w:tcPr>
                <w:p w14:paraId="2369AC51">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5.299 </w:t>
                  </w:r>
                </w:p>
              </w:tc>
            </w:tr>
            <w:tr w14:paraId="7B9C8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continue"/>
                  <w:tcBorders>
                    <w:tl2br w:val="nil"/>
                    <w:tr2bl w:val="nil"/>
                  </w:tcBorders>
                  <w:vAlign w:val="center"/>
                </w:tcPr>
                <w:p w14:paraId="4D2EA893">
                  <w:pPr>
                    <w:widowControl/>
                    <w:jc w:val="center"/>
                    <w:rPr>
                      <w:rFonts w:ascii="Times New Roman" w:hAnsi="Times New Roman"/>
                      <w:color w:val="000000" w:themeColor="text1"/>
                      <w:sz w:val="21"/>
                      <w:szCs w:val="21"/>
                      <w:u w:val="single"/>
                    </w:rPr>
                  </w:pPr>
                </w:p>
              </w:tc>
              <w:tc>
                <w:tcPr>
                  <w:tcW w:w="515" w:type="pct"/>
                  <w:vMerge w:val="continue"/>
                  <w:tcBorders>
                    <w:tl2br w:val="nil"/>
                    <w:tr2bl w:val="nil"/>
                  </w:tcBorders>
                  <w:vAlign w:val="center"/>
                </w:tcPr>
                <w:p w14:paraId="1205F3CF">
                  <w:pPr>
                    <w:jc w:val="center"/>
                    <w:rPr>
                      <w:rFonts w:ascii="Times New Roman" w:hAnsi="Times New Roman" w:cs="Times New Roman"/>
                      <w:color w:val="000000" w:themeColor="text1"/>
                      <w:sz w:val="21"/>
                      <w:szCs w:val="21"/>
                      <w:u w:val="single"/>
                    </w:rPr>
                  </w:pPr>
                </w:p>
              </w:tc>
              <w:tc>
                <w:tcPr>
                  <w:tcW w:w="495" w:type="pct"/>
                  <w:tcBorders>
                    <w:tl2br w:val="nil"/>
                    <w:tr2bl w:val="nil"/>
                  </w:tcBorders>
                  <w:vAlign w:val="center"/>
                </w:tcPr>
                <w:p w14:paraId="09670EF7">
                  <w:pPr>
                    <w:widowControl/>
                    <w:jc w:val="center"/>
                    <w:textAlignment w:val="center"/>
                    <w:rPr>
                      <w:rFonts w:ascii="Times New Roman" w:hAnsi="Times New Roman"/>
                      <w:color w:val="000000" w:themeColor="text1"/>
                      <w:sz w:val="21"/>
                      <w:szCs w:val="21"/>
                      <w:u w:val="single"/>
                    </w:rPr>
                  </w:pPr>
                  <w:r>
                    <w:rPr>
                      <w:rFonts w:hint="eastAsia"/>
                      <w:color w:val="000000" w:themeColor="text1"/>
                      <w:sz w:val="21"/>
                      <w:szCs w:val="21"/>
                      <w:u w:val="single"/>
                      <w:lang w:val="en-US" w:bidi="ar"/>
                    </w:rPr>
                    <w:t>产生量（</w:t>
                  </w:r>
                  <w:r>
                    <w:rPr>
                      <w:rFonts w:ascii="Times New Roman" w:hAnsi="Times New Roman" w:cs="Times New Roman"/>
                      <w:color w:val="000000" w:themeColor="text1"/>
                      <w:sz w:val="21"/>
                      <w:szCs w:val="21"/>
                      <w:u w:val="single"/>
                      <w:lang w:val="en-US" w:bidi="ar"/>
                    </w:rPr>
                    <w:t>t/a</w:t>
                  </w:r>
                  <w:r>
                    <w:rPr>
                      <w:rFonts w:hint="eastAsia"/>
                      <w:color w:val="000000" w:themeColor="text1"/>
                      <w:sz w:val="21"/>
                      <w:szCs w:val="21"/>
                      <w:u w:val="single"/>
                      <w:lang w:val="en-US" w:bidi="ar"/>
                    </w:rPr>
                    <w:t>）</w:t>
                  </w:r>
                </w:p>
              </w:tc>
              <w:tc>
                <w:tcPr>
                  <w:tcW w:w="405" w:type="pct"/>
                  <w:tcBorders>
                    <w:tl2br w:val="nil"/>
                    <w:tr2bl w:val="nil"/>
                  </w:tcBorders>
                  <w:vAlign w:val="center"/>
                </w:tcPr>
                <w:p w14:paraId="51B5C723">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50.005 </w:t>
                  </w:r>
                </w:p>
              </w:tc>
              <w:tc>
                <w:tcPr>
                  <w:tcW w:w="447" w:type="pct"/>
                  <w:tcBorders>
                    <w:tl2br w:val="nil"/>
                    <w:tr2bl w:val="nil"/>
                  </w:tcBorders>
                  <w:vAlign w:val="center"/>
                </w:tcPr>
                <w:p w14:paraId="45A56667">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25.002 </w:t>
                  </w:r>
                </w:p>
              </w:tc>
              <w:tc>
                <w:tcPr>
                  <w:tcW w:w="401" w:type="pct"/>
                  <w:tcBorders>
                    <w:tl2br w:val="nil"/>
                    <w:tr2bl w:val="nil"/>
                  </w:tcBorders>
                  <w:vAlign w:val="center"/>
                </w:tcPr>
                <w:p w14:paraId="75564B57">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20.002 </w:t>
                  </w:r>
                </w:p>
              </w:tc>
              <w:tc>
                <w:tcPr>
                  <w:tcW w:w="349" w:type="pct"/>
                  <w:tcBorders>
                    <w:tl2br w:val="nil"/>
                    <w:tr2bl w:val="nil"/>
                  </w:tcBorders>
                  <w:vAlign w:val="center"/>
                </w:tcPr>
                <w:p w14:paraId="0A954537">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8.334 </w:t>
                  </w:r>
                </w:p>
              </w:tc>
              <w:tc>
                <w:tcPr>
                  <w:tcW w:w="472" w:type="pct"/>
                  <w:tcBorders>
                    <w:tl2br w:val="nil"/>
                    <w:tr2bl w:val="nil"/>
                  </w:tcBorders>
                  <w:vAlign w:val="center"/>
                </w:tcPr>
                <w:p w14:paraId="1B8D0528">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w:t>
                  </w:r>
                </w:p>
              </w:tc>
              <w:tc>
                <w:tcPr>
                  <w:tcW w:w="367" w:type="pct"/>
                  <w:tcBorders>
                    <w:tl2br w:val="nil"/>
                    <w:tr2bl w:val="nil"/>
                  </w:tcBorders>
                  <w:vAlign w:val="center"/>
                </w:tcPr>
                <w:p w14:paraId="0C0B8F86">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0.333 </w:t>
                  </w:r>
                </w:p>
              </w:tc>
              <w:tc>
                <w:tcPr>
                  <w:tcW w:w="355" w:type="pct"/>
                  <w:tcBorders>
                    <w:tl2br w:val="nil"/>
                    <w:tr2bl w:val="nil"/>
                  </w:tcBorders>
                  <w:vAlign w:val="center"/>
                </w:tcPr>
                <w:p w14:paraId="328DBFCD">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0.003 </w:t>
                  </w:r>
                </w:p>
              </w:tc>
              <w:tc>
                <w:tcPr>
                  <w:tcW w:w="242" w:type="pct"/>
                  <w:tcBorders>
                    <w:tl2br w:val="nil"/>
                    <w:tr2bl w:val="nil"/>
                  </w:tcBorders>
                  <w:vAlign w:val="center"/>
                </w:tcPr>
                <w:p w14:paraId="0303F730">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0.222 </w:t>
                  </w:r>
                </w:p>
              </w:tc>
              <w:tc>
                <w:tcPr>
                  <w:tcW w:w="279" w:type="pct"/>
                  <w:tcBorders>
                    <w:tl2br w:val="nil"/>
                    <w:tr2bl w:val="nil"/>
                  </w:tcBorders>
                  <w:vAlign w:val="center"/>
                </w:tcPr>
                <w:p w14:paraId="4A2EAC80">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0.883 </w:t>
                  </w:r>
                </w:p>
              </w:tc>
            </w:tr>
            <w:tr w14:paraId="45528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restart"/>
                  <w:tcBorders>
                    <w:tl2br w:val="nil"/>
                    <w:tr2bl w:val="nil"/>
                  </w:tcBorders>
                  <w:vAlign w:val="center"/>
                </w:tcPr>
                <w:p w14:paraId="404B723C">
                  <w:pPr>
                    <w:widowControl/>
                    <w:jc w:val="center"/>
                    <w:textAlignment w:val="center"/>
                    <w:rPr>
                      <w:rFonts w:ascii="Times New Roman" w:hAnsi="Times New Roman"/>
                      <w:color w:val="000000" w:themeColor="text1"/>
                      <w:sz w:val="21"/>
                      <w:szCs w:val="21"/>
                      <w:u w:val="single"/>
                    </w:rPr>
                  </w:pPr>
                  <w:r>
                    <w:rPr>
                      <w:rFonts w:hint="eastAsia" w:ascii="Times New Roman" w:hAnsi="Times New Roman"/>
                      <w:color w:val="000000" w:themeColor="text1"/>
                      <w:sz w:val="21"/>
                      <w:szCs w:val="21"/>
                      <w:u w:val="single"/>
                      <w:lang w:val="en-US"/>
                    </w:rPr>
                    <w:t>综合污水处理站工艺采用格栅池→调节池→厌氧滤池→接触氧化池→二沉池→消毒池→脱氯池→排放工艺</w:t>
                  </w:r>
                </w:p>
              </w:tc>
              <w:tc>
                <w:tcPr>
                  <w:tcW w:w="515" w:type="pct"/>
                  <w:vMerge w:val="restart"/>
                  <w:tcBorders>
                    <w:tl2br w:val="nil"/>
                    <w:tr2bl w:val="nil"/>
                  </w:tcBorders>
                  <w:vAlign w:val="center"/>
                </w:tcPr>
                <w:p w14:paraId="296A4589">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 xml:space="preserve">166682.54 </w:t>
                  </w:r>
                </w:p>
              </w:tc>
              <w:tc>
                <w:tcPr>
                  <w:tcW w:w="495" w:type="pct"/>
                  <w:tcBorders>
                    <w:tl2br w:val="nil"/>
                    <w:tr2bl w:val="nil"/>
                  </w:tcBorders>
                  <w:vAlign w:val="center"/>
                </w:tcPr>
                <w:p w14:paraId="6CFA5529">
                  <w:pPr>
                    <w:widowControl/>
                    <w:jc w:val="center"/>
                    <w:textAlignment w:val="center"/>
                    <w:rPr>
                      <w:rFonts w:ascii="Times New Roman" w:hAnsi="Times New Roman"/>
                      <w:color w:val="000000" w:themeColor="text1"/>
                      <w:sz w:val="21"/>
                      <w:szCs w:val="21"/>
                      <w:u w:val="single"/>
                    </w:rPr>
                  </w:pPr>
                  <w:r>
                    <w:rPr>
                      <w:rFonts w:hint="eastAsia"/>
                      <w:color w:val="000000" w:themeColor="text1"/>
                      <w:sz w:val="21"/>
                      <w:szCs w:val="21"/>
                      <w:u w:val="single"/>
                      <w:lang w:val="en-US" w:bidi="ar"/>
                    </w:rPr>
                    <w:t>处理效率（</w:t>
                  </w:r>
                  <w:r>
                    <w:rPr>
                      <w:rFonts w:ascii="Times New Roman" w:hAnsi="Times New Roman" w:cs="Times New Roman"/>
                      <w:color w:val="000000" w:themeColor="text1"/>
                      <w:sz w:val="21"/>
                      <w:szCs w:val="21"/>
                      <w:u w:val="single"/>
                      <w:lang w:val="en-US" w:bidi="ar"/>
                    </w:rPr>
                    <w:t>%</w:t>
                  </w:r>
                  <w:r>
                    <w:rPr>
                      <w:rFonts w:hint="eastAsia"/>
                      <w:color w:val="000000" w:themeColor="text1"/>
                      <w:sz w:val="21"/>
                      <w:szCs w:val="21"/>
                      <w:u w:val="single"/>
                      <w:lang w:val="en-US" w:bidi="ar"/>
                    </w:rPr>
                    <w:t>）</w:t>
                  </w:r>
                </w:p>
              </w:tc>
              <w:tc>
                <w:tcPr>
                  <w:tcW w:w="405" w:type="pct"/>
                  <w:tcBorders>
                    <w:tl2br w:val="nil"/>
                    <w:tr2bl w:val="nil"/>
                  </w:tcBorders>
                  <w:vAlign w:val="center"/>
                </w:tcPr>
                <w:p w14:paraId="5AA1EF2B">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80</w:t>
                  </w:r>
                </w:p>
              </w:tc>
              <w:tc>
                <w:tcPr>
                  <w:tcW w:w="447" w:type="pct"/>
                  <w:tcBorders>
                    <w:tl2br w:val="nil"/>
                    <w:tr2bl w:val="nil"/>
                  </w:tcBorders>
                  <w:vAlign w:val="center"/>
                </w:tcPr>
                <w:p w14:paraId="11612668">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70</w:t>
                  </w:r>
                </w:p>
              </w:tc>
              <w:tc>
                <w:tcPr>
                  <w:tcW w:w="401" w:type="pct"/>
                  <w:tcBorders>
                    <w:tl2br w:val="nil"/>
                    <w:tr2bl w:val="nil"/>
                  </w:tcBorders>
                  <w:vAlign w:val="center"/>
                </w:tcPr>
                <w:p w14:paraId="570B18D4">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90</w:t>
                  </w:r>
                </w:p>
              </w:tc>
              <w:tc>
                <w:tcPr>
                  <w:tcW w:w="349" w:type="pct"/>
                  <w:tcBorders>
                    <w:tl2br w:val="nil"/>
                    <w:tr2bl w:val="nil"/>
                  </w:tcBorders>
                  <w:vAlign w:val="center"/>
                </w:tcPr>
                <w:p w14:paraId="5FC46DEE">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70</w:t>
                  </w:r>
                </w:p>
              </w:tc>
              <w:tc>
                <w:tcPr>
                  <w:tcW w:w="472" w:type="pct"/>
                  <w:tcBorders>
                    <w:tl2br w:val="nil"/>
                    <w:tr2bl w:val="nil"/>
                  </w:tcBorders>
                  <w:vAlign w:val="center"/>
                </w:tcPr>
                <w:p w14:paraId="0DBA3967">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w:t>
                  </w:r>
                </w:p>
              </w:tc>
              <w:tc>
                <w:tcPr>
                  <w:tcW w:w="367" w:type="pct"/>
                  <w:tcBorders>
                    <w:tl2br w:val="nil"/>
                    <w:tr2bl w:val="nil"/>
                  </w:tcBorders>
                  <w:vAlign w:val="center"/>
                </w:tcPr>
                <w:p w14:paraId="3C38D426">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60.000 </w:t>
                  </w:r>
                </w:p>
              </w:tc>
              <w:tc>
                <w:tcPr>
                  <w:tcW w:w="355" w:type="pct"/>
                  <w:tcBorders>
                    <w:tl2br w:val="nil"/>
                    <w:tr2bl w:val="nil"/>
                  </w:tcBorders>
                  <w:vAlign w:val="center"/>
                </w:tcPr>
                <w:p w14:paraId="6B2F8454">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50 </w:t>
                  </w:r>
                </w:p>
              </w:tc>
              <w:tc>
                <w:tcPr>
                  <w:tcW w:w="242" w:type="pct"/>
                  <w:tcBorders>
                    <w:tl2br w:val="nil"/>
                    <w:tr2bl w:val="nil"/>
                  </w:tcBorders>
                  <w:vAlign w:val="center"/>
                </w:tcPr>
                <w:p w14:paraId="18F47225">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70 </w:t>
                  </w:r>
                </w:p>
              </w:tc>
              <w:tc>
                <w:tcPr>
                  <w:tcW w:w="279" w:type="pct"/>
                  <w:tcBorders>
                    <w:tl2br w:val="nil"/>
                    <w:tr2bl w:val="nil"/>
                  </w:tcBorders>
                  <w:vAlign w:val="center"/>
                </w:tcPr>
                <w:p w14:paraId="74CBB102">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70 </w:t>
                  </w:r>
                </w:p>
              </w:tc>
            </w:tr>
            <w:tr w14:paraId="7BBE3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continue"/>
                  <w:tcBorders>
                    <w:tl2br w:val="nil"/>
                    <w:tr2bl w:val="nil"/>
                  </w:tcBorders>
                  <w:vAlign w:val="center"/>
                </w:tcPr>
                <w:p w14:paraId="097B58BB">
                  <w:pPr>
                    <w:widowControl/>
                    <w:jc w:val="center"/>
                    <w:rPr>
                      <w:rFonts w:ascii="Times New Roman" w:hAnsi="Times New Roman"/>
                      <w:color w:val="000000" w:themeColor="text1"/>
                      <w:sz w:val="21"/>
                      <w:szCs w:val="21"/>
                      <w:u w:val="single"/>
                    </w:rPr>
                  </w:pPr>
                </w:p>
              </w:tc>
              <w:tc>
                <w:tcPr>
                  <w:tcW w:w="515" w:type="pct"/>
                  <w:vMerge w:val="continue"/>
                  <w:tcBorders>
                    <w:tl2br w:val="nil"/>
                    <w:tr2bl w:val="nil"/>
                  </w:tcBorders>
                  <w:vAlign w:val="center"/>
                </w:tcPr>
                <w:p w14:paraId="5C07B5D4">
                  <w:pPr>
                    <w:jc w:val="center"/>
                    <w:rPr>
                      <w:rFonts w:ascii="Times New Roman" w:hAnsi="Times New Roman" w:cs="Times New Roman"/>
                      <w:color w:val="000000" w:themeColor="text1"/>
                      <w:sz w:val="21"/>
                      <w:szCs w:val="21"/>
                      <w:u w:val="single"/>
                    </w:rPr>
                  </w:pPr>
                </w:p>
              </w:tc>
              <w:tc>
                <w:tcPr>
                  <w:tcW w:w="495" w:type="pct"/>
                  <w:tcBorders>
                    <w:tl2br w:val="nil"/>
                    <w:tr2bl w:val="nil"/>
                  </w:tcBorders>
                  <w:vAlign w:val="center"/>
                </w:tcPr>
                <w:p w14:paraId="2ED77330">
                  <w:pPr>
                    <w:widowControl/>
                    <w:jc w:val="center"/>
                    <w:textAlignment w:val="center"/>
                    <w:rPr>
                      <w:rFonts w:ascii="Times New Roman" w:hAnsi="Times New Roman"/>
                      <w:color w:val="000000" w:themeColor="text1"/>
                      <w:sz w:val="21"/>
                      <w:szCs w:val="21"/>
                      <w:u w:val="single"/>
                    </w:rPr>
                  </w:pPr>
                  <w:r>
                    <w:rPr>
                      <w:rFonts w:hint="eastAsia"/>
                      <w:color w:val="000000" w:themeColor="text1"/>
                      <w:sz w:val="21"/>
                      <w:szCs w:val="21"/>
                      <w:u w:val="single"/>
                      <w:lang w:val="en-US" w:bidi="ar"/>
                    </w:rPr>
                    <w:t>处理后浓度</w:t>
                  </w:r>
                  <w:r>
                    <w:rPr>
                      <w:rFonts w:ascii="Times New Roman" w:hAnsi="Times New Roman" w:cs="Times New Roman"/>
                      <w:color w:val="000000" w:themeColor="text1"/>
                      <w:sz w:val="21"/>
                      <w:szCs w:val="21"/>
                      <w:u w:val="single"/>
                      <w:lang w:val="en-US" w:bidi="ar"/>
                    </w:rPr>
                    <w:t>(mg/L)</w:t>
                  </w:r>
                </w:p>
              </w:tc>
              <w:tc>
                <w:tcPr>
                  <w:tcW w:w="405" w:type="pct"/>
                  <w:tcBorders>
                    <w:tl2br w:val="nil"/>
                    <w:tr2bl w:val="nil"/>
                  </w:tcBorders>
                  <w:vAlign w:val="center"/>
                </w:tcPr>
                <w:p w14:paraId="1A6AC4DE">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60</w:t>
                  </w:r>
                </w:p>
              </w:tc>
              <w:tc>
                <w:tcPr>
                  <w:tcW w:w="447" w:type="pct"/>
                  <w:tcBorders>
                    <w:tl2br w:val="nil"/>
                    <w:tr2bl w:val="nil"/>
                  </w:tcBorders>
                  <w:vAlign w:val="center"/>
                </w:tcPr>
                <w:p w14:paraId="0D0F369E">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45</w:t>
                  </w:r>
                </w:p>
              </w:tc>
              <w:tc>
                <w:tcPr>
                  <w:tcW w:w="401" w:type="pct"/>
                  <w:tcBorders>
                    <w:tl2br w:val="nil"/>
                    <w:tr2bl w:val="nil"/>
                  </w:tcBorders>
                  <w:vAlign w:val="center"/>
                </w:tcPr>
                <w:p w14:paraId="1BAF0732">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12</w:t>
                  </w:r>
                </w:p>
              </w:tc>
              <w:tc>
                <w:tcPr>
                  <w:tcW w:w="349" w:type="pct"/>
                  <w:tcBorders>
                    <w:tl2br w:val="nil"/>
                    <w:tr2bl w:val="nil"/>
                  </w:tcBorders>
                  <w:vAlign w:val="center"/>
                </w:tcPr>
                <w:p w14:paraId="24B3BAB2">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15</w:t>
                  </w:r>
                </w:p>
              </w:tc>
              <w:tc>
                <w:tcPr>
                  <w:tcW w:w="472" w:type="pct"/>
                  <w:tcBorders>
                    <w:tl2br w:val="nil"/>
                    <w:tr2bl w:val="nil"/>
                  </w:tcBorders>
                  <w:vAlign w:val="center"/>
                </w:tcPr>
                <w:p w14:paraId="1E0DF49D">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4500</w:t>
                  </w:r>
                  <w:r>
                    <w:rPr>
                      <w:rFonts w:hint="eastAsia"/>
                      <w:color w:val="000000" w:themeColor="text1"/>
                      <w:sz w:val="21"/>
                      <w:szCs w:val="21"/>
                      <w:u w:val="single"/>
                      <w:lang w:val="en-US" w:bidi="ar"/>
                    </w:rPr>
                    <w:t>（</w:t>
                  </w:r>
                  <w:r>
                    <w:rPr>
                      <w:rFonts w:ascii="Times New Roman" w:hAnsi="Times New Roman" w:cs="Times New Roman"/>
                      <w:color w:val="000000" w:themeColor="text1"/>
                      <w:sz w:val="21"/>
                      <w:szCs w:val="21"/>
                      <w:u w:val="single"/>
                      <w:lang w:val="en-US" w:bidi="ar"/>
                    </w:rPr>
                    <w:t>MPN/L</w:t>
                  </w:r>
                  <w:r>
                    <w:rPr>
                      <w:rFonts w:hint="eastAsia"/>
                      <w:color w:val="000000" w:themeColor="text1"/>
                      <w:sz w:val="21"/>
                      <w:szCs w:val="21"/>
                      <w:u w:val="single"/>
                      <w:lang w:val="en-US" w:bidi="ar"/>
                    </w:rPr>
                    <w:t>）</w:t>
                  </w:r>
                </w:p>
              </w:tc>
              <w:tc>
                <w:tcPr>
                  <w:tcW w:w="367" w:type="pct"/>
                  <w:tcBorders>
                    <w:tl2br w:val="nil"/>
                    <w:tr2bl w:val="nil"/>
                  </w:tcBorders>
                  <w:vAlign w:val="center"/>
                </w:tcPr>
                <w:p w14:paraId="186DFC7C">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0.8 </w:t>
                  </w:r>
                </w:p>
              </w:tc>
              <w:tc>
                <w:tcPr>
                  <w:tcW w:w="355" w:type="pct"/>
                  <w:tcBorders>
                    <w:tl2br w:val="nil"/>
                    <w:tr2bl w:val="nil"/>
                  </w:tcBorders>
                  <w:vAlign w:val="center"/>
                </w:tcPr>
                <w:p w14:paraId="4E7BE588">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0.008 </w:t>
                  </w:r>
                </w:p>
              </w:tc>
              <w:tc>
                <w:tcPr>
                  <w:tcW w:w="242" w:type="pct"/>
                  <w:tcBorders>
                    <w:tl2br w:val="nil"/>
                    <w:tr2bl w:val="nil"/>
                  </w:tcBorders>
                  <w:vAlign w:val="center"/>
                </w:tcPr>
                <w:p w14:paraId="02216D00">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0.399 </w:t>
                  </w:r>
                </w:p>
              </w:tc>
              <w:tc>
                <w:tcPr>
                  <w:tcW w:w="279" w:type="pct"/>
                  <w:tcBorders>
                    <w:tl2br w:val="nil"/>
                    <w:tr2bl w:val="nil"/>
                  </w:tcBorders>
                  <w:vAlign w:val="center"/>
                </w:tcPr>
                <w:p w14:paraId="575F3D44">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1.590 </w:t>
                  </w:r>
                </w:p>
              </w:tc>
            </w:tr>
            <w:tr w14:paraId="71AE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665" w:type="pct"/>
                  <w:vMerge w:val="continue"/>
                  <w:tcBorders>
                    <w:tl2br w:val="nil"/>
                    <w:tr2bl w:val="nil"/>
                  </w:tcBorders>
                  <w:vAlign w:val="center"/>
                </w:tcPr>
                <w:p w14:paraId="4A4DC9DC">
                  <w:pPr>
                    <w:widowControl/>
                    <w:jc w:val="center"/>
                    <w:rPr>
                      <w:rFonts w:ascii="Times New Roman" w:hAnsi="Times New Roman"/>
                      <w:color w:val="000000" w:themeColor="text1"/>
                      <w:sz w:val="21"/>
                      <w:szCs w:val="21"/>
                      <w:u w:val="single"/>
                    </w:rPr>
                  </w:pPr>
                </w:p>
              </w:tc>
              <w:tc>
                <w:tcPr>
                  <w:tcW w:w="515" w:type="pct"/>
                  <w:vMerge w:val="continue"/>
                  <w:tcBorders>
                    <w:tl2br w:val="nil"/>
                    <w:tr2bl w:val="nil"/>
                  </w:tcBorders>
                  <w:vAlign w:val="center"/>
                </w:tcPr>
                <w:p w14:paraId="2545E932">
                  <w:pPr>
                    <w:jc w:val="center"/>
                    <w:rPr>
                      <w:rFonts w:ascii="Times New Roman" w:hAnsi="Times New Roman" w:cs="Times New Roman"/>
                      <w:color w:val="000000" w:themeColor="text1"/>
                      <w:sz w:val="21"/>
                      <w:szCs w:val="21"/>
                      <w:u w:val="single"/>
                    </w:rPr>
                  </w:pPr>
                </w:p>
              </w:tc>
              <w:tc>
                <w:tcPr>
                  <w:tcW w:w="495" w:type="pct"/>
                  <w:tcBorders>
                    <w:tl2br w:val="nil"/>
                    <w:tr2bl w:val="nil"/>
                  </w:tcBorders>
                  <w:vAlign w:val="center"/>
                </w:tcPr>
                <w:p w14:paraId="060FE8B4">
                  <w:pPr>
                    <w:widowControl/>
                    <w:jc w:val="center"/>
                    <w:textAlignment w:val="center"/>
                    <w:rPr>
                      <w:rFonts w:ascii="Times New Roman" w:hAnsi="Times New Roman"/>
                      <w:color w:val="000000" w:themeColor="text1"/>
                      <w:sz w:val="21"/>
                      <w:szCs w:val="21"/>
                      <w:u w:val="single"/>
                    </w:rPr>
                  </w:pPr>
                  <w:r>
                    <w:rPr>
                      <w:rFonts w:hint="eastAsia"/>
                      <w:color w:val="000000" w:themeColor="text1"/>
                      <w:sz w:val="21"/>
                      <w:szCs w:val="21"/>
                      <w:u w:val="single"/>
                      <w:lang w:val="en-US" w:bidi="ar"/>
                    </w:rPr>
                    <w:t>排放量（</w:t>
                  </w:r>
                  <w:r>
                    <w:rPr>
                      <w:rFonts w:ascii="Times New Roman" w:hAnsi="Times New Roman" w:cs="Times New Roman"/>
                      <w:color w:val="000000" w:themeColor="text1"/>
                      <w:sz w:val="21"/>
                      <w:szCs w:val="21"/>
                      <w:u w:val="single"/>
                      <w:lang w:val="en-US" w:bidi="ar"/>
                    </w:rPr>
                    <w:t>t/a</w:t>
                  </w:r>
                  <w:r>
                    <w:rPr>
                      <w:rFonts w:hint="eastAsia"/>
                      <w:color w:val="000000" w:themeColor="text1"/>
                      <w:sz w:val="21"/>
                      <w:szCs w:val="21"/>
                      <w:u w:val="single"/>
                      <w:lang w:val="en-US" w:bidi="ar"/>
                    </w:rPr>
                    <w:t>）</w:t>
                  </w:r>
                </w:p>
              </w:tc>
              <w:tc>
                <w:tcPr>
                  <w:tcW w:w="405" w:type="pct"/>
                  <w:tcBorders>
                    <w:tl2br w:val="nil"/>
                    <w:tr2bl w:val="nil"/>
                  </w:tcBorders>
                  <w:vAlign w:val="center"/>
                </w:tcPr>
                <w:p w14:paraId="2B5EE416">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10.001 </w:t>
                  </w:r>
                </w:p>
              </w:tc>
              <w:tc>
                <w:tcPr>
                  <w:tcW w:w="447" w:type="pct"/>
                  <w:tcBorders>
                    <w:tl2br w:val="nil"/>
                    <w:tr2bl w:val="nil"/>
                  </w:tcBorders>
                  <w:vAlign w:val="center"/>
                </w:tcPr>
                <w:p w14:paraId="7260D749">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7.501 </w:t>
                  </w:r>
                </w:p>
              </w:tc>
              <w:tc>
                <w:tcPr>
                  <w:tcW w:w="401" w:type="pct"/>
                  <w:tcBorders>
                    <w:tl2br w:val="nil"/>
                    <w:tr2bl w:val="nil"/>
                  </w:tcBorders>
                  <w:vAlign w:val="center"/>
                </w:tcPr>
                <w:p w14:paraId="08300DAC">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2.000 </w:t>
                  </w:r>
                </w:p>
              </w:tc>
              <w:tc>
                <w:tcPr>
                  <w:tcW w:w="349" w:type="pct"/>
                  <w:tcBorders>
                    <w:tl2br w:val="nil"/>
                    <w:tr2bl w:val="nil"/>
                  </w:tcBorders>
                  <w:vAlign w:val="center"/>
                </w:tcPr>
                <w:p w14:paraId="36894698">
                  <w:pPr>
                    <w:widowControl/>
                    <w:jc w:val="center"/>
                    <w:textAlignment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lang w:val="en-US" w:bidi="ar"/>
                    </w:rPr>
                    <w:t xml:space="preserve">2.500 </w:t>
                  </w:r>
                </w:p>
              </w:tc>
              <w:tc>
                <w:tcPr>
                  <w:tcW w:w="472" w:type="pct"/>
                  <w:tcBorders>
                    <w:tl2br w:val="nil"/>
                    <w:tr2bl w:val="nil"/>
                  </w:tcBorders>
                  <w:vAlign w:val="center"/>
                </w:tcPr>
                <w:p w14:paraId="4B65F728">
                  <w:pPr>
                    <w:widowControl/>
                    <w:jc w:val="center"/>
                    <w:textAlignment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lang w:val="en-US" w:bidi="ar"/>
                    </w:rPr>
                    <w:t>/</w:t>
                  </w:r>
                </w:p>
              </w:tc>
              <w:tc>
                <w:tcPr>
                  <w:tcW w:w="367" w:type="pct"/>
                  <w:tcBorders>
                    <w:tl2br w:val="nil"/>
                    <w:tr2bl w:val="nil"/>
                  </w:tcBorders>
                  <w:vAlign w:val="center"/>
                </w:tcPr>
                <w:p w14:paraId="21C78D61">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0.133 </w:t>
                  </w:r>
                </w:p>
              </w:tc>
              <w:tc>
                <w:tcPr>
                  <w:tcW w:w="355" w:type="pct"/>
                  <w:tcBorders>
                    <w:tl2br w:val="nil"/>
                    <w:tr2bl w:val="nil"/>
                  </w:tcBorders>
                  <w:vAlign w:val="center"/>
                </w:tcPr>
                <w:p w14:paraId="7F877F87">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0.001 </w:t>
                  </w:r>
                </w:p>
              </w:tc>
              <w:tc>
                <w:tcPr>
                  <w:tcW w:w="242" w:type="pct"/>
                  <w:tcBorders>
                    <w:tl2br w:val="nil"/>
                    <w:tr2bl w:val="nil"/>
                  </w:tcBorders>
                  <w:vAlign w:val="center"/>
                </w:tcPr>
                <w:p w14:paraId="0C344E37">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0.067 </w:t>
                  </w:r>
                </w:p>
              </w:tc>
              <w:tc>
                <w:tcPr>
                  <w:tcW w:w="279" w:type="pct"/>
                  <w:tcBorders>
                    <w:tl2br w:val="nil"/>
                    <w:tr2bl w:val="nil"/>
                  </w:tcBorders>
                  <w:vAlign w:val="center"/>
                </w:tcPr>
                <w:p w14:paraId="4DA9444F">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0.130 </w:t>
                  </w:r>
                </w:p>
              </w:tc>
            </w:tr>
            <w:tr w14:paraId="711D8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76" w:type="pct"/>
                  <w:gridSpan w:val="3"/>
                  <w:tcBorders>
                    <w:tl2br w:val="nil"/>
                    <w:tr2bl w:val="nil"/>
                  </w:tcBorders>
                  <w:vAlign w:val="center"/>
                </w:tcPr>
                <w:p w14:paraId="4B3CA954">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rPr>
                    <w:t>《医疗机构水污染物排放标准》（</w:t>
                  </w:r>
                  <w:r>
                    <w:rPr>
                      <w:rStyle w:val="66"/>
                      <w:color w:val="000000" w:themeColor="text1"/>
                      <w:sz w:val="21"/>
                      <w:szCs w:val="21"/>
                      <w:lang w:val="en-US"/>
                    </w:rPr>
                    <w:t>GB18466-2005</w:t>
                  </w:r>
                  <w:r>
                    <w:rPr>
                      <w:rStyle w:val="68"/>
                      <w:rFonts w:hint="default" w:ascii="Times New Roman" w:hAnsi="Times New Roman"/>
                      <w:color w:val="000000" w:themeColor="text1"/>
                      <w:sz w:val="21"/>
                      <w:szCs w:val="21"/>
                      <w:lang w:val="en-US"/>
                    </w:rPr>
                    <w:t>）表</w:t>
                  </w:r>
                  <w:r>
                    <w:rPr>
                      <w:rStyle w:val="66"/>
                      <w:color w:val="000000" w:themeColor="text1"/>
                      <w:sz w:val="21"/>
                      <w:szCs w:val="21"/>
                      <w:lang w:val="en-US"/>
                    </w:rPr>
                    <w:t>2</w:t>
                  </w:r>
                  <w:r>
                    <w:rPr>
                      <w:rStyle w:val="68"/>
                      <w:rFonts w:hint="default" w:ascii="Times New Roman" w:hAnsi="Times New Roman"/>
                      <w:color w:val="000000" w:themeColor="text1"/>
                      <w:sz w:val="21"/>
                      <w:szCs w:val="21"/>
                      <w:lang w:val="en-US"/>
                    </w:rPr>
                    <w:t>中预处理标准</w:t>
                  </w:r>
                  <w:r>
                    <w:rPr>
                      <w:rStyle w:val="66"/>
                      <w:color w:val="000000" w:themeColor="text1"/>
                      <w:sz w:val="21"/>
                      <w:szCs w:val="21"/>
                      <w:lang w:val="en-US"/>
                    </w:rPr>
                    <w:t>(mg/L)</w:t>
                  </w:r>
                </w:p>
              </w:tc>
              <w:tc>
                <w:tcPr>
                  <w:tcW w:w="405" w:type="pct"/>
                  <w:tcBorders>
                    <w:tl2br w:val="nil"/>
                    <w:tr2bl w:val="nil"/>
                  </w:tcBorders>
                  <w:vAlign w:val="center"/>
                </w:tcPr>
                <w:p w14:paraId="7138E071">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250</w:t>
                  </w:r>
                </w:p>
              </w:tc>
              <w:tc>
                <w:tcPr>
                  <w:tcW w:w="447" w:type="pct"/>
                  <w:tcBorders>
                    <w:tl2br w:val="nil"/>
                    <w:tr2bl w:val="nil"/>
                  </w:tcBorders>
                  <w:vAlign w:val="center"/>
                </w:tcPr>
                <w:p w14:paraId="2E074297">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100</w:t>
                  </w:r>
                </w:p>
              </w:tc>
              <w:tc>
                <w:tcPr>
                  <w:tcW w:w="401" w:type="pct"/>
                  <w:tcBorders>
                    <w:tl2br w:val="nil"/>
                    <w:tr2bl w:val="nil"/>
                  </w:tcBorders>
                  <w:vAlign w:val="center"/>
                </w:tcPr>
                <w:p w14:paraId="6792784A">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60</w:t>
                  </w:r>
                </w:p>
              </w:tc>
              <w:tc>
                <w:tcPr>
                  <w:tcW w:w="349" w:type="pct"/>
                  <w:tcBorders>
                    <w:tl2br w:val="nil"/>
                    <w:tr2bl w:val="nil"/>
                  </w:tcBorders>
                  <w:vAlign w:val="center"/>
                </w:tcPr>
                <w:p w14:paraId="791D9C20">
                  <w:pPr>
                    <w:widowControl/>
                    <w:jc w:val="center"/>
                    <w:textAlignment w:val="center"/>
                    <w:rPr>
                      <w:rFonts w:ascii="Times New Roman" w:hAnsi="Times New Roman"/>
                      <w:color w:val="000000" w:themeColor="text1"/>
                      <w:sz w:val="21"/>
                      <w:szCs w:val="21"/>
                    </w:rPr>
                  </w:pPr>
                  <w:r>
                    <w:rPr>
                      <w:rFonts w:hint="eastAsia"/>
                      <w:color w:val="000000" w:themeColor="text1"/>
                      <w:sz w:val="21"/>
                      <w:szCs w:val="21"/>
                      <w:lang w:val="en-US" w:bidi="ar"/>
                    </w:rPr>
                    <w:t>－</w:t>
                  </w:r>
                </w:p>
              </w:tc>
              <w:tc>
                <w:tcPr>
                  <w:tcW w:w="472" w:type="pct"/>
                  <w:tcBorders>
                    <w:tl2br w:val="nil"/>
                    <w:tr2bl w:val="nil"/>
                  </w:tcBorders>
                  <w:vAlign w:val="center"/>
                </w:tcPr>
                <w:p w14:paraId="7FFB7161">
                  <w:pPr>
                    <w:widowControl/>
                    <w:jc w:val="center"/>
                    <w:textAlignment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bidi="ar"/>
                    </w:rPr>
                    <w:t>5000</w:t>
                  </w:r>
                  <w:r>
                    <w:rPr>
                      <w:rFonts w:hint="eastAsia"/>
                      <w:color w:val="000000" w:themeColor="text1"/>
                      <w:sz w:val="21"/>
                      <w:szCs w:val="21"/>
                      <w:lang w:val="en-US" w:bidi="ar"/>
                    </w:rPr>
                    <w:t>（</w:t>
                  </w:r>
                  <w:r>
                    <w:rPr>
                      <w:rFonts w:ascii="Times New Roman" w:hAnsi="Times New Roman" w:cs="Times New Roman"/>
                      <w:color w:val="000000" w:themeColor="text1"/>
                      <w:sz w:val="21"/>
                      <w:szCs w:val="21"/>
                      <w:lang w:val="en-US" w:bidi="ar"/>
                    </w:rPr>
                    <w:t>MPN/L</w:t>
                  </w:r>
                  <w:r>
                    <w:rPr>
                      <w:rFonts w:hint="eastAsia"/>
                      <w:color w:val="000000" w:themeColor="text1"/>
                      <w:sz w:val="21"/>
                      <w:szCs w:val="21"/>
                      <w:lang w:val="en-US" w:bidi="ar"/>
                    </w:rPr>
                    <w:t>）</w:t>
                  </w:r>
                </w:p>
              </w:tc>
              <w:tc>
                <w:tcPr>
                  <w:tcW w:w="367" w:type="pct"/>
                  <w:tcBorders>
                    <w:tl2br w:val="nil"/>
                    <w:tr2bl w:val="nil"/>
                  </w:tcBorders>
                  <w:vAlign w:val="center"/>
                </w:tcPr>
                <w:p w14:paraId="6C399CE2">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10</w:t>
                  </w:r>
                </w:p>
              </w:tc>
              <w:tc>
                <w:tcPr>
                  <w:tcW w:w="355" w:type="pct"/>
                  <w:tcBorders>
                    <w:tl2br w:val="nil"/>
                    <w:tr2bl w:val="nil"/>
                  </w:tcBorders>
                  <w:vAlign w:val="center"/>
                </w:tcPr>
                <w:p w14:paraId="794473AC">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0.5</w:t>
                  </w:r>
                </w:p>
              </w:tc>
              <w:tc>
                <w:tcPr>
                  <w:tcW w:w="242" w:type="pct"/>
                  <w:tcBorders>
                    <w:tl2br w:val="nil"/>
                    <w:tr2bl w:val="nil"/>
                  </w:tcBorders>
                  <w:vAlign w:val="center"/>
                </w:tcPr>
                <w:p w14:paraId="52168B23">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20</w:t>
                  </w:r>
                </w:p>
              </w:tc>
              <w:tc>
                <w:tcPr>
                  <w:tcW w:w="279" w:type="pct"/>
                  <w:tcBorders>
                    <w:tl2br w:val="nil"/>
                    <w:tr2bl w:val="nil"/>
                  </w:tcBorders>
                  <w:vAlign w:val="center"/>
                </w:tcPr>
                <w:p w14:paraId="45E4AF15">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20</w:t>
                  </w:r>
                </w:p>
              </w:tc>
            </w:tr>
            <w:tr w14:paraId="67AF8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5000" w:type="pct"/>
                  <w:gridSpan w:val="12"/>
                  <w:tcBorders>
                    <w:tl2br w:val="nil"/>
                    <w:tr2bl w:val="nil"/>
                  </w:tcBorders>
                  <w:vAlign w:val="center"/>
                </w:tcPr>
                <w:p w14:paraId="1583430A">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备注：医院废水中（总）氰化物、石油类主要来自原有项目检验室使用少量的含氰试剂、石油醚、矿物油等试剂进行实验产生的检验废水。</w:t>
                  </w:r>
                </w:p>
              </w:tc>
            </w:tr>
          </w:tbl>
          <w:p w14:paraId="52F9355D">
            <w:pPr>
              <w:autoSpaceDE/>
              <w:autoSpaceDN/>
              <w:jc w:val="center"/>
              <w:rPr>
                <w:rFonts w:ascii="Times New Roman" w:hAnsi="Times New Roman" w:cs="Times New Roman"/>
                <w:b/>
                <w:bCs/>
                <w:color w:val="000000" w:themeColor="text1"/>
                <w:kern w:val="2"/>
                <w:sz w:val="24"/>
                <w:szCs w:val="24"/>
                <w:lang w:val="en-US" w:bidi="ar-SA"/>
              </w:rPr>
            </w:pPr>
          </w:p>
          <w:p w14:paraId="3D8105FB">
            <w:pPr>
              <w:pStyle w:val="2"/>
              <w:ind w:right="0"/>
              <w:jc w:val="both"/>
              <w:rPr>
                <w:rFonts w:ascii="Times New Roman" w:hAnsi="Times New Roman" w:eastAsia="宋体" w:cs="Times New Roman"/>
                <w:b/>
                <w:bCs/>
                <w:sz w:val="30"/>
                <w:szCs w:val="30"/>
                <w:lang w:val="en-US"/>
              </w:rPr>
            </w:pPr>
          </w:p>
        </w:tc>
      </w:tr>
    </w:tbl>
    <w:p w14:paraId="3D505F47">
      <w:pPr>
        <w:pStyle w:val="2"/>
        <w:ind w:left="0" w:right="0"/>
        <w:jc w:val="both"/>
        <w:rPr>
          <w:rFonts w:ascii="Times New Roman" w:hAnsi="Times New Roman" w:eastAsia="宋体" w:cs="Times New Roman"/>
          <w:b/>
          <w:bCs/>
          <w:sz w:val="30"/>
          <w:szCs w:val="30"/>
          <w:lang w:val="en-US"/>
        </w:rPr>
      </w:pPr>
    </w:p>
    <w:p w14:paraId="4F640427">
      <w:pPr>
        <w:pStyle w:val="2"/>
        <w:ind w:left="0" w:right="0"/>
        <w:jc w:val="both"/>
        <w:rPr>
          <w:rFonts w:ascii="Times New Roman" w:hAnsi="Times New Roman" w:eastAsia="宋体" w:cs="Times New Roman"/>
          <w:b/>
          <w:bCs/>
          <w:sz w:val="30"/>
          <w:szCs w:val="30"/>
          <w:lang w:val="en-US"/>
        </w:rPr>
      </w:pPr>
    </w:p>
    <w:p w14:paraId="4B003272">
      <w:pPr>
        <w:rPr>
          <w:rFonts w:ascii="Times New Roman" w:hAnsi="Times New Roman" w:cs="Times New Roman"/>
          <w:b/>
          <w:bCs/>
          <w:sz w:val="30"/>
          <w:szCs w:val="30"/>
          <w:lang w:val="en-US"/>
        </w:rPr>
      </w:pPr>
    </w:p>
    <w:p w14:paraId="619C16EE">
      <w:pPr>
        <w:rPr>
          <w:rFonts w:ascii="Times New Roman" w:hAnsi="Times New Roman" w:cs="Times New Roman"/>
          <w:b/>
          <w:bCs/>
          <w:sz w:val="30"/>
          <w:szCs w:val="30"/>
          <w:lang w:val="en-US"/>
        </w:rPr>
      </w:pPr>
    </w:p>
    <w:p w14:paraId="3C28884B">
      <w:pPr>
        <w:rPr>
          <w:rFonts w:ascii="Times New Roman" w:hAnsi="Times New Roman" w:cs="Times New Roman"/>
          <w:b/>
          <w:bCs/>
          <w:sz w:val="30"/>
          <w:szCs w:val="30"/>
          <w:lang w:val="en-US"/>
        </w:rPr>
        <w:sectPr>
          <w:footerReference r:id="rId11" w:type="default"/>
          <w:footerReference r:id="rId12" w:type="even"/>
          <w:pgSz w:w="16840" w:h="11910" w:orient="landscape"/>
          <w:pgMar w:top="1300" w:right="1580" w:bottom="1300" w:left="1000" w:header="0" w:footer="817" w:gutter="0"/>
          <w:cols w:space="720" w:num="1"/>
        </w:sectPr>
      </w:pPr>
    </w:p>
    <w:tbl>
      <w:tblPr>
        <w:tblStyle w:val="27"/>
        <w:tblW w:w="5093"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21"/>
        <w:gridCol w:w="8683"/>
      </w:tblGrid>
      <w:tr w14:paraId="69D4C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4" w:hRule="atLeast"/>
        </w:trPr>
        <w:tc>
          <w:tcPr>
            <w:tcW w:w="432" w:type="pct"/>
            <w:tcBorders>
              <w:top w:val="single" w:color="000000" w:sz="4" w:space="0"/>
              <w:right w:val="single" w:color="000000" w:sz="4" w:space="0"/>
            </w:tcBorders>
            <w:vAlign w:val="center"/>
          </w:tcPr>
          <w:p w14:paraId="7A018B4C">
            <w:pPr>
              <w:pStyle w:val="40"/>
              <w:spacing w:before="1" w:line="242" w:lineRule="auto"/>
              <w:ind w:left="160"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运营期环境影响和保护措施</w:t>
            </w:r>
          </w:p>
        </w:tc>
        <w:tc>
          <w:tcPr>
            <w:tcW w:w="4567" w:type="pct"/>
            <w:tcBorders>
              <w:top w:val="single" w:color="000000" w:sz="4" w:space="0"/>
              <w:left w:val="single" w:color="000000" w:sz="4" w:space="0"/>
            </w:tcBorders>
          </w:tcPr>
          <w:p w14:paraId="2849CB96">
            <w:pPr>
              <w:autoSpaceDE/>
              <w:autoSpaceDN/>
              <w:spacing w:line="360" w:lineRule="auto"/>
              <w:ind w:firstLine="480" w:firstLineChars="200"/>
              <w:jc w:val="both"/>
              <w:rPr>
                <w:rFonts w:ascii="Times New Roman" w:hAnsi="Times New Roman"/>
                <w:color w:val="000000" w:themeColor="text1"/>
                <w:sz w:val="24"/>
                <w:lang w:val="en-US"/>
              </w:rPr>
            </w:pPr>
            <w:r>
              <w:rPr>
                <w:rFonts w:hint="eastAsia"/>
                <w:color w:val="000000" w:themeColor="text1"/>
                <w:sz w:val="24"/>
              </w:rPr>
              <w:t>②</w:t>
            </w:r>
            <w:r>
              <w:rPr>
                <w:rFonts w:hint="eastAsia"/>
                <w:color w:val="000000" w:themeColor="text1"/>
                <w:sz w:val="24"/>
                <w:lang w:val="en-US"/>
              </w:rPr>
              <w:t>食堂废水</w:t>
            </w:r>
          </w:p>
          <w:p w14:paraId="3213FF67">
            <w:pPr>
              <w:autoSpaceDE/>
              <w:spacing w:line="360" w:lineRule="auto"/>
              <w:ind w:firstLine="480"/>
              <w:jc w:val="both"/>
              <w:rPr>
                <w:rFonts w:ascii="Times New Roman" w:hAnsi="Times New Roman"/>
                <w:color w:val="000000" w:themeColor="text1"/>
                <w:sz w:val="24"/>
              </w:rPr>
            </w:pPr>
            <w:r>
              <w:rPr>
                <w:rFonts w:hint="eastAsia" w:ascii="Times New Roman" w:hAnsi="Times New Roman" w:cs="Times New Roman"/>
                <w:color w:val="000000" w:themeColor="text1"/>
                <w:sz w:val="24"/>
              </w:rPr>
              <w:t>根据上文工程分析公用工程章节</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项目依托医院原有食堂，为员工和病人服务，项目职工为内部调配，全院无新增职工，</w:t>
            </w:r>
            <w:r>
              <w:rPr>
                <w:rFonts w:hint="eastAsia" w:ascii="Times New Roman" w:hAnsi="Times New Roman" w:cs="Times New Roman"/>
                <w:color w:val="000000" w:themeColor="text1"/>
                <w:kern w:val="2"/>
                <w:sz w:val="24"/>
                <w:szCs w:val="24"/>
                <w:lang w:val="en-US" w:bidi="ar-SA"/>
              </w:rPr>
              <w:t>根据前文原有项目污染物产排情况及环保措施-废水章节、</w:t>
            </w:r>
            <w:r>
              <w:rPr>
                <w:rFonts w:hint="eastAsia" w:ascii="Times New Roman" w:hAnsi="Times New Roman"/>
                <w:bCs/>
                <w:color w:val="000000" w:themeColor="text1"/>
                <w:sz w:val="24"/>
                <w:szCs w:val="24"/>
                <w:lang w:val="en-US"/>
              </w:rPr>
              <w:t>在建项目污染物产排情况及环保措施-</w:t>
            </w:r>
            <w:r>
              <w:rPr>
                <w:rFonts w:hint="eastAsia" w:ascii="Times New Roman" w:hAnsi="Times New Roman" w:cs="Times New Roman"/>
                <w:color w:val="000000" w:themeColor="text1"/>
                <w:kern w:val="2"/>
                <w:sz w:val="24"/>
                <w:szCs w:val="24"/>
                <w:lang w:val="en-US" w:bidi="ar-SA"/>
              </w:rPr>
              <w:t>废水章节可知</w:t>
            </w:r>
            <w:r>
              <w:rPr>
                <w:rFonts w:hint="eastAsia" w:ascii="Times New Roman" w:hAnsi="Times New Roman"/>
                <w:bCs/>
                <w:color w:val="000000" w:themeColor="text1"/>
                <w:sz w:val="24"/>
                <w:szCs w:val="24"/>
                <w:lang w:val="en-US"/>
              </w:rPr>
              <w:t>，原有项目食堂废水</w:t>
            </w:r>
            <w:r>
              <w:rPr>
                <w:rFonts w:hint="eastAsia" w:ascii="Times New Roman" w:hAnsi="Times New Roman" w:cs="Times New Roman"/>
                <w:color w:val="000000" w:themeColor="text1"/>
                <w:kern w:val="2"/>
                <w:sz w:val="24"/>
                <w:szCs w:val="24"/>
                <w:lang w:val="en-US" w:bidi="ar-SA"/>
              </w:rPr>
              <w:t>、在建项目食堂废水量分别为4547.9</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kern w:val="2"/>
                <w:sz w:val="24"/>
                <w:szCs w:val="24"/>
                <w:lang w:val="en-US" w:bidi="ar-SA"/>
              </w:rPr>
              <w:t>、912.5</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eastAsiaTheme="minorEastAsia"/>
                <w:color w:val="000000" w:themeColor="text1"/>
                <w:kern w:val="2"/>
                <w:sz w:val="24"/>
                <w:szCs w:val="24"/>
                <w:lang w:val="en-US" w:bidi="ar-SA"/>
              </w:rPr>
              <w:t>。</w:t>
            </w:r>
            <w:r>
              <w:rPr>
                <w:rFonts w:hint="eastAsia" w:ascii="Times New Roman" w:hAnsi="Times New Roman" w:cs="Times New Roman"/>
                <w:color w:val="000000" w:themeColor="text1"/>
                <w:sz w:val="24"/>
                <w:lang w:val="en-US"/>
              </w:rPr>
              <w:t>本项目新增住院病人食堂废水量为</w:t>
            </w:r>
            <w:r>
              <w:rPr>
                <w:rFonts w:hint="eastAsia" w:ascii="Times New Roman" w:hAnsi="Times New Roman" w:cs="Times New Roman"/>
                <w:color w:val="000000" w:themeColor="text1"/>
                <w:kern w:val="2"/>
                <w:sz w:val="24"/>
                <w:szCs w:val="24"/>
                <w:lang w:val="en-US" w:bidi="ar-SA"/>
              </w:rPr>
              <w:t>3.26</w:t>
            </w:r>
            <w:r>
              <w:rPr>
                <w:rFonts w:ascii="Times New Roman" w:hAnsi="Times New Roman" w:cs="Times New Roman"/>
                <w:color w:val="000000" w:themeColor="text1"/>
                <w:kern w:val="2"/>
                <w:sz w:val="24"/>
                <w:szCs w:val="24"/>
                <w:lang w:val="en-US" w:bidi="ar-SA"/>
              </w:rPr>
              <w:t>m</w:t>
            </w:r>
            <w:r>
              <w:rPr>
                <w:rFonts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1191.36</w:t>
            </w:r>
            <w:r>
              <w:rPr>
                <w:rFonts w:ascii="Times New Roman" w:hAnsi="Times New Roman" w:cs="Times New Roman"/>
                <w:color w:val="000000" w:themeColor="text1"/>
                <w:kern w:val="2"/>
                <w:sz w:val="24"/>
                <w:szCs w:val="24"/>
                <w:lang w:val="en-US" w:bidi="ar-SA"/>
              </w:rPr>
              <w:t>m</w:t>
            </w:r>
            <w:r>
              <w:rPr>
                <w:rFonts w:hint="eastAsia" w:ascii="Times New Roman" w:hAnsi="Times New Roman" w:cs="Times New Roman"/>
                <w:color w:val="000000" w:themeColor="text1"/>
                <w:kern w:val="2"/>
                <w:sz w:val="24"/>
                <w:szCs w:val="24"/>
                <w:vertAlign w:val="superscript"/>
                <w:lang w:val="en-US" w:bidi="ar-SA"/>
              </w:rPr>
              <w:t>3</w:t>
            </w:r>
            <w:r>
              <w:rPr>
                <w:rFonts w:ascii="Times New Roman" w:hAnsi="Times New Roman" w:cs="Times New Roman"/>
                <w:color w:val="000000" w:themeColor="text1"/>
                <w:kern w:val="2"/>
                <w:sz w:val="24"/>
                <w:szCs w:val="24"/>
                <w:lang w:val="en-US" w:bidi="ar-SA"/>
              </w:rPr>
              <w:t>/a）</w:t>
            </w:r>
            <w:r>
              <w:rPr>
                <w:rFonts w:hint="eastAsia" w:ascii="Times New Roman" w:hAnsi="Times New Roman" w:cs="Times New Roman"/>
                <w:color w:val="000000" w:themeColor="text1"/>
                <w:sz w:val="24"/>
                <w:szCs w:val="24"/>
              </w:rPr>
              <w:t>，</w:t>
            </w:r>
            <w:r>
              <w:rPr>
                <w:rFonts w:hint="eastAsia" w:ascii="Times New Roman" w:hAnsi="Times New Roman"/>
                <w:color w:val="000000" w:themeColor="text1"/>
                <w:sz w:val="24"/>
                <w:lang w:val="en-US"/>
              </w:rPr>
              <w:t>医院食堂废水经原有项目隔油池+化粪池处理达到《污水综合排放标准》（GB 8978-1996）表4三级标准后</w:t>
            </w:r>
            <w:r>
              <w:rPr>
                <w:rFonts w:ascii="Times New Roman" w:hAnsi="Times New Roman"/>
                <w:color w:val="000000" w:themeColor="text1"/>
                <w:sz w:val="24"/>
              </w:rPr>
              <w:t>排入</w:t>
            </w:r>
            <w:r>
              <w:rPr>
                <w:rFonts w:hint="eastAsia" w:ascii="Times New Roman" w:hAnsi="Times New Roman"/>
                <w:color w:val="000000" w:themeColor="text1"/>
                <w:sz w:val="24"/>
              </w:rPr>
              <w:t>永福县益源污水处理厂，本项目</w:t>
            </w:r>
            <w:r>
              <w:rPr>
                <w:rFonts w:hint="eastAsia" w:ascii="Times New Roman" w:hAnsi="Times New Roman"/>
                <w:color w:val="000000" w:themeColor="text1"/>
                <w:sz w:val="24"/>
                <w:lang w:val="en-US"/>
              </w:rPr>
              <w:t>食堂废</w:t>
            </w:r>
            <w:r>
              <w:rPr>
                <w:rFonts w:hint="eastAsia" w:ascii="Times New Roman" w:hAnsi="Times New Roman"/>
                <w:color w:val="000000" w:themeColor="text1"/>
                <w:sz w:val="24"/>
              </w:rPr>
              <w:t>水污染物排放量详见4-</w:t>
            </w:r>
            <w:r>
              <w:rPr>
                <w:rFonts w:hint="eastAsia" w:ascii="Times New Roman" w:hAnsi="Times New Roman"/>
                <w:color w:val="000000" w:themeColor="text1"/>
                <w:sz w:val="24"/>
                <w:lang w:val="en-US"/>
              </w:rPr>
              <w:t>4</w:t>
            </w:r>
            <w:r>
              <w:rPr>
                <w:rFonts w:hint="eastAsia" w:ascii="Times New Roman" w:hAnsi="Times New Roman"/>
                <w:color w:val="000000" w:themeColor="text1"/>
                <w:sz w:val="24"/>
              </w:rPr>
              <w:t>。</w:t>
            </w:r>
          </w:p>
          <w:p w14:paraId="4439D7F4">
            <w:pPr>
              <w:autoSpaceDE/>
              <w:autoSpaceDN/>
              <w:jc w:val="center"/>
              <w:rPr>
                <w:rFonts w:ascii="Times New Roman" w:hAnsi="Times New Roman" w:cs="Times New Roman"/>
                <w:b/>
                <w:bCs/>
                <w:color w:val="000000" w:themeColor="text1"/>
                <w:kern w:val="2"/>
                <w:sz w:val="24"/>
                <w:szCs w:val="24"/>
                <w:lang w:val="en-US" w:bidi="ar-SA"/>
              </w:rPr>
            </w:pPr>
            <w:r>
              <w:rPr>
                <w:rFonts w:ascii="Times New Roman" w:hAnsi="Times New Roman" w:cs="Times New Roman"/>
                <w:b/>
                <w:bCs/>
                <w:color w:val="000000" w:themeColor="text1"/>
                <w:kern w:val="2"/>
                <w:sz w:val="24"/>
                <w:szCs w:val="24"/>
                <w:lang w:val="en-US" w:bidi="ar-SA"/>
              </w:rPr>
              <w:t>表4-</w:t>
            </w:r>
            <w:r>
              <w:rPr>
                <w:rFonts w:hint="eastAsia" w:ascii="Times New Roman" w:hAnsi="Times New Roman" w:cs="Times New Roman"/>
                <w:b/>
                <w:bCs/>
                <w:color w:val="000000" w:themeColor="text1"/>
                <w:kern w:val="2"/>
                <w:sz w:val="24"/>
                <w:szCs w:val="24"/>
                <w:lang w:val="en-US" w:bidi="ar-SA"/>
              </w:rPr>
              <w:t>4</w:t>
            </w:r>
            <w:r>
              <w:rPr>
                <w:rFonts w:ascii="Times New Roman" w:hAnsi="Times New Roman" w:cs="Times New Roman"/>
                <w:b/>
                <w:bCs/>
                <w:color w:val="000000" w:themeColor="text1"/>
                <w:kern w:val="2"/>
                <w:sz w:val="24"/>
                <w:szCs w:val="24"/>
                <w:lang w:val="en-US" w:bidi="ar-SA"/>
              </w:rPr>
              <w:t>项目生活污水中主要污染物产排情况表</w:t>
            </w:r>
          </w:p>
          <w:tbl>
            <w:tblPr>
              <w:tblStyle w:val="27"/>
              <w:tblW w:w="4973" w:type="pct"/>
              <w:jc w:val="center"/>
              <w:tblLayout w:type="autofit"/>
              <w:tblCellMar>
                <w:top w:w="0" w:type="dxa"/>
                <w:left w:w="108" w:type="dxa"/>
                <w:bottom w:w="0" w:type="dxa"/>
                <w:right w:w="108" w:type="dxa"/>
              </w:tblCellMar>
            </w:tblPr>
            <w:tblGrid>
              <w:gridCol w:w="823"/>
              <w:gridCol w:w="1028"/>
              <w:gridCol w:w="1104"/>
              <w:gridCol w:w="1099"/>
              <w:gridCol w:w="949"/>
              <w:gridCol w:w="787"/>
              <w:gridCol w:w="788"/>
              <w:gridCol w:w="1102"/>
              <w:gridCol w:w="941"/>
            </w:tblGrid>
            <w:tr w14:paraId="65A25B47">
              <w:tblPrEx>
                <w:tblCellMar>
                  <w:top w:w="0" w:type="dxa"/>
                  <w:left w:w="108" w:type="dxa"/>
                  <w:bottom w:w="0" w:type="dxa"/>
                  <w:right w:w="108" w:type="dxa"/>
                </w:tblCellMar>
              </w:tblPrEx>
              <w:trPr>
                <w:trHeight w:val="547"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vAlign w:val="center"/>
                </w:tcPr>
                <w:p w14:paraId="7A1E74B1">
                  <w:pPr>
                    <w:jc w:val="center"/>
                    <w:textAlignment w:val="center"/>
                    <w:rPr>
                      <w:rFonts w:ascii="Times New Roman" w:hAnsi="Times New Roman" w:cs="Times New Roman" w:eastAsiaTheme="minorEastAsia"/>
                      <w:color w:val="000000" w:themeColor="text1"/>
                      <w:sz w:val="21"/>
                      <w:szCs w:val="21"/>
                    </w:rPr>
                  </w:pPr>
                  <w:r>
                    <w:rPr>
                      <w:rFonts w:ascii="Times New Roman" w:hAnsi="Times New Roman" w:cs="Times New Roman" w:eastAsiaTheme="minorEastAsia"/>
                      <w:color w:val="000000" w:themeColor="text1"/>
                      <w:sz w:val="21"/>
                      <w:szCs w:val="21"/>
                    </w:rPr>
                    <w:t>废水类型</w:t>
                  </w:r>
                </w:p>
              </w:tc>
              <w:tc>
                <w:tcPr>
                  <w:tcW w:w="596" w:type="pct"/>
                  <w:vMerge w:val="restart"/>
                  <w:tcBorders>
                    <w:top w:val="single" w:color="000000" w:sz="4" w:space="0"/>
                    <w:left w:val="single" w:color="000000" w:sz="4" w:space="0"/>
                    <w:bottom w:val="single" w:color="000000" w:sz="4" w:space="0"/>
                    <w:right w:val="single" w:color="000000" w:sz="4" w:space="0"/>
                  </w:tcBorders>
                  <w:vAlign w:val="center"/>
                </w:tcPr>
                <w:p w14:paraId="7D6FAE52">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废水量（m</w:t>
                  </w:r>
                  <w:r>
                    <w:rPr>
                      <w:rFonts w:ascii="Times New Roman" w:hAnsi="Times New Roman" w:cs="Times New Roman" w:eastAsiaTheme="minorEastAsia"/>
                      <w:color w:val="000000" w:themeColor="text1"/>
                      <w:sz w:val="21"/>
                      <w:szCs w:val="21"/>
                      <w:vertAlign w:val="superscript"/>
                      <w:lang w:bidi="ar"/>
                    </w:rPr>
                    <w:t>3</w:t>
                  </w:r>
                  <w:r>
                    <w:rPr>
                      <w:rFonts w:ascii="Times New Roman" w:hAnsi="Times New Roman" w:cs="Times New Roman" w:eastAsiaTheme="minorEastAsia"/>
                      <w:color w:val="000000" w:themeColor="text1"/>
                      <w:sz w:val="21"/>
                      <w:szCs w:val="21"/>
                      <w:lang w:bidi="ar"/>
                    </w:rPr>
                    <w:t>/a）</w:t>
                  </w:r>
                </w:p>
              </w:tc>
              <w:tc>
                <w:tcPr>
                  <w:tcW w:w="1827" w:type="pct"/>
                  <w:gridSpan w:val="3"/>
                  <w:tcBorders>
                    <w:top w:val="single" w:color="000000" w:sz="4" w:space="0"/>
                    <w:left w:val="single" w:color="000000" w:sz="4" w:space="0"/>
                    <w:bottom w:val="single" w:color="000000" w:sz="4" w:space="0"/>
                    <w:right w:val="single" w:color="000000" w:sz="4" w:space="0"/>
                  </w:tcBorders>
                  <w:vAlign w:val="center"/>
                </w:tcPr>
                <w:p w14:paraId="407F8217">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水污染物产生情况</w:t>
                  </w:r>
                </w:p>
              </w:tc>
              <w:tc>
                <w:tcPr>
                  <w:tcW w:w="913" w:type="pct"/>
                  <w:gridSpan w:val="2"/>
                  <w:tcBorders>
                    <w:top w:val="single" w:color="000000" w:sz="4" w:space="0"/>
                    <w:left w:val="single" w:color="000000" w:sz="4" w:space="0"/>
                    <w:bottom w:val="single" w:color="000000" w:sz="4" w:space="0"/>
                    <w:right w:val="single" w:color="000000" w:sz="4" w:space="0"/>
                  </w:tcBorders>
                  <w:vAlign w:val="center"/>
                </w:tcPr>
                <w:p w14:paraId="76AE8165">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处理措施及效率</w:t>
                  </w:r>
                </w:p>
              </w:tc>
              <w:tc>
                <w:tcPr>
                  <w:tcW w:w="1184" w:type="pct"/>
                  <w:gridSpan w:val="2"/>
                  <w:tcBorders>
                    <w:top w:val="single" w:color="000000" w:sz="4" w:space="0"/>
                    <w:left w:val="single" w:color="000000" w:sz="4" w:space="0"/>
                    <w:bottom w:val="single" w:color="000000" w:sz="4" w:space="0"/>
                    <w:right w:val="single" w:color="000000" w:sz="4" w:space="0"/>
                  </w:tcBorders>
                  <w:vAlign w:val="center"/>
                </w:tcPr>
                <w:p w14:paraId="1FA7061D">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水污染物排放情况</w:t>
                  </w:r>
                </w:p>
              </w:tc>
            </w:tr>
            <w:tr w14:paraId="69C67BFA">
              <w:tblPrEx>
                <w:tblCellMar>
                  <w:top w:w="0" w:type="dxa"/>
                  <w:left w:w="108" w:type="dxa"/>
                  <w:bottom w:w="0" w:type="dxa"/>
                  <w:right w:w="108" w:type="dxa"/>
                </w:tblCellMar>
              </w:tblPrEx>
              <w:trPr>
                <w:trHeight w:val="516"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vAlign w:val="center"/>
                </w:tcPr>
                <w:p w14:paraId="20949D58">
                  <w:pPr>
                    <w:jc w:val="center"/>
                    <w:rPr>
                      <w:rFonts w:ascii="Times New Roman" w:hAnsi="Times New Roman" w:cs="Times New Roman" w:eastAsiaTheme="minorEastAsia"/>
                      <w:b/>
                      <w:bCs/>
                      <w:color w:val="000000" w:themeColor="text1"/>
                      <w:sz w:val="21"/>
                      <w:szCs w:val="21"/>
                    </w:rPr>
                  </w:pPr>
                </w:p>
              </w:tc>
              <w:tc>
                <w:tcPr>
                  <w:tcW w:w="596" w:type="pct"/>
                  <w:vMerge w:val="continue"/>
                  <w:tcBorders>
                    <w:top w:val="single" w:color="000000" w:sz="4" w:space="0"/>
                    <w:left w:val="single" w:color="000000" w:sz="4" w:space="0"/>
                    <w:bottom w:val="single" w:color="000000" w:sz="4" w:space="0"/>
                    <w:right w:val="single" w:color="000000" w:sz="4" w:space="0"/>
                  </w:tcBorders>
                  <w:vAlign w:val="center"/>
                </w:tcPr>
                <w:p w14:paraId="0064F7B0">
                  <w:pPr>
                    <w:jc w:val="center"/>
                    <w:rPr>
                      <w:rFonts w:ascii="Times New Roman" w:hAnsi="Times New Roman" w:cs="Times New Roman" w:eastAsiaTheme="minorEastAsia"/>
                      <w:b/>
                      <w:bCs/>
                      <w:color w:val="000000" w:themeColor="text1"/>
                      <w:sz w:val="21"/>
                      <w:szCs w:val="21"/>
                    </w:rPr>
                  </w:pPr>
                </w:p>
              </w:tc>
              <w:tc>
                <w:tcPr>
                  <w:tcW w:w="640" w:type="pct"/>
                  <w:vMerge w:val="restart"/>
                  <w:tcBorders>
                    <w:top w:val="single" w:color="000000" w:sz="4" w:space="0"/>
                    <w:left w:val="single" w:color="000000" w:sz="4" w:space="0"/>
                    <w:bottom w:val="single" w:color="000000" w:sz="4" w:space="0"/>
                    <w:right w:val="single" w:color="000000" w:sz="4" w:space="0"/>
                  </w:tcBorders>
                  <w:vAlign w:val="center"/>
                </w:tcPr>
                <w:p w14:paraId="3C7ECFB0">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污染物</w:t>
                  </w:r>
                  <w:r>
                    <w:rPr>
                      <w:rFonts w:ascii="Times New Roman" w:hAnsi="Times New Roman" w:cs="Times New Roman" w:eastAsiaTheme="minorEastAsia"/>
                      <w:color w:val="000000" w:themeColor="text1"/>
                      <w:sz w:val="21"/>
                      <w:szCs w:val="21"/>
                      <w:lang w:bidi="ar"/>
                    </w:rPr>
                    <w:br w:type="textWrapping"/>
                  </w:r>
                  <w:r>
                    <w:rPr>
                      <w:rFonts w:ascii="Times New Roman" w:hAnsi="Times New Roman" w:cs="Times New Roman" w:eastAsiaTheme="minorEastAsia"/>
                      <w:color w:val="000000" w:themeColor="text1"/>
                      <w:sz w:val="21"/>
                      <w:szCs w:val="21"/>
                      <w:lang w:bidi="ar"/>
                    </w:rPr>
                    <w:t>名称</w:t>
                  </w:r>
                </w:p>
              </w:tc>
              <w:tc>
                <w:tcPr>
                  <w:tcW w:w="637" w:type="pct"/>
                  <w:vMerge w:val="restart"/>
                  <w:tcBorders>
                    <w:top w:val="single" w:color="000000" w:sz="4" w:space="0"/>
                    <w:left w:val="single" w:color="000000" w:sz="4" w:space="0"/>
                    <w:bottom w:val="single" w:color="000000" w:sz="4" w:space="0"/>
                    <w:right w:val="single" w:color="000000" w:sz="4" w:space="0"/>
                  </w:tcBorders>
                  <w:vAlign w:val="center"/>
                </w:tcPr>
                <w:p w14:paraId="67F267FB">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浓度（mg/L）</w:t>
                  </w:r>
                </w:p>
              </w:tc>
              <w:tc>
                <w:tcPr>
                  <w:tcW w:w="549" w:type="pct"/>
                  <w:vMerge w:val="restart"/>
                  <w:tcBorders>
                    <w:top w:val="single" w:color="000000" w:sz="4" w:space="0"/>
                    <w:left w:val="single" w:color="000000" w:sz="4" w:space="0"/>
                    <w:bottom w:val="single" w:color="000000" w:sz="4" w:space="0"/>
                    <w:right w:val="single" w:color="000000" w:sz="4" w:space="0"/>
                  </w:tcBorders>
                  <w:vAlign w:val="center"/>
                </w:tcPr>
                <w:p w14:paraId="598BF6A0">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产生量（t/a）</w:t>
                  </w:r>
                </w:p>
              </w:tc>
              <w:tc>
                <w:tcPr>
                  <w:tcW w:w="456" w:type="pct"/>
                  <w:vMerge w:val="restart"/>
                  <w:tcBorders>
                    <w:top w:val="single" w:color="000000" w:sz="4" w:space="0"/>
                    <w:left w:val="single" w:color="000000" w:sz="4" w:space="0"/>
                    <w:bottom w:val="single" w:color="000000" w:sz="4" w:space="0"/>
                    <w:right w:val="single" w:color="000000" w:sz="4" w:space="0"/>
                  </w:tcBorders>
                  <w:vAlign w:val="center"/>
                </w:tcPr>
                <w:p w14:paraId="69814E49">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措施</w:t>
                  </w:r>
                </w:p>
              </w:tc>
              <w:tc>
                <w:tcPr>
                  <w:tcW w:w="456" w:type="pct"/>
                  <w:vMerge w:val="restart"/>
                  <w:tcBorders>
                    <w:top w:val="single" w:color="000000" w:sz="4" w:space="0"/>
                    <w:left w:val="single" w:color="000000" w:sz="4" w:space="0"/>
                    <w:bottom w:val="single" w:color="000000" w:sz="4" w:space="0"/>
                    <w:right w:val="single" w:color="000000" w:sz="4" w:space="0"/>
                  </w:tcBorders>
                  <w:vAlign w:val="center"/>
                </w:tcPr>
                <w:p w14:paraId="20A53185">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去除率</w:t>
                  </w:r>
                </w:p>
              </w:tc>
              <w:tc>
                <w:tcPr>
                  <w:tcW w:w="639" w:type="pct"/>
                  <w:vMerge w:val="restart"/>
                  <w:tcBorders>
                    <w:top w:val="single" w:color="000000" w:sz="4" w:space="0"/>
                    <w:left w:val="single" w:color="000000" w:sz="4" w:space="0"/>
                    <w:bottom w:val="single" w:color="000000" w:sz="4" w:space="0"/>
                    <w:right w:val="single" w:color="000000" w:sz="4" w:space="0"/>
                  </w:tcBorders>
                  <w:vAlign w:val="center"/>
                </w:tcPr>
                <w:p w14:paraId="7C697D7A">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浓度</w:t>
                  </w:r>
                  <w:r>
                    <w:rPr>
                      <w:rFonts w:ascii="Times New Roman" w:hAnsi="Times New Roman" w:cs="Times New Roman" w:eastAsiaTheme="minorEastAsia"/>
                      <w:color w:val="000000" w:themeColor="text1"/>
                      <w:sz w:val="21"/>
                      <w:szCs w:val="21"/>
                      <w:lang w:bidi="ar"/>
                    </w:rPr>
                    <w:br w:type="textWrapping"/>
                  </w:r>
                  <w:r>
                    <w:rPr>
                      <w:rFonts w:ascii="Times New Roman" w:hAnsi="Times New Roman" w:cs="Times New Roman" w:eastAsiaTheme="minorEastAsia"/>
                      <w:color w:val="000000" w:themeColor="text1"/>
                      <w:sz w:val="21"/>
                      <w:szCs w:val="21"/>
                      <w:lang w:bidi="ar"/>
                    </w:rPr>
                    <w:t>（mg/L）</w:t>
                  </w:r>
                </w:p>
              </w:tc>
              <w:tc>
                <w:tcPr>
                  <w:tcW w:w="545" w:type="pct"/>
                  <w:vMerge w:val="restart"/>
                  <w:tcBorders>
                    <w:top w:val="single" w:color="000000" w:sz="4" w:space="0"/>
                    <w:left w:val="single" w:color="000000" w:sz="4" w:space="0"/>
                    <w:bottom w:val="single" w:color="000000" w:sz="4" w:space="0"/>
                    <w:right w:val="single" w:color="000000" w:sz="4" w:space="0"/>
                  </w:tcBorders>
                  <w:vAlign w:val="center"/>
                </w:tcPr>
                <w:p w14:paraId="75FF9A11">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排放量（t/a）</w:t>
                  </w:r>
                </w:p>
              </w:tc>
            </w:tr>
            <w:tr w14:paraId="5D2B39D2">
              <w:tblPrEx>
                <w:tblCellMar>
                  <w:top w:w="0" w:type="dxa"/>
                  <w:left w:w="108" w:type="dxa"/>
                  <w:bottom w:w="0" w:type="dxa"/>
                  <w:right w:w="108" w:type="dxa"/>
                </w:tblCellMar>
              </w:tblPrEx>
              <w:trPr>
                <w:trHeight w:val="516"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vAlign w:val="center"/>
                </w:tcPr>
                <w:p w14:paraId="7E8F251F">
                  <w:pPr>
                    <w:jc w:val="center"/>
                    <w:rPr>
                      <w:rFonts w:ascii="Times New Roman" w:hAnsi="Times New Roman" w:cs="Times New Roman" w:eastAsiaTheme="minorEastAsia"/>
                      <w:b/>
                      <w:bCs/>
                      <w:color w:val="000000" w:themeColor="text1"/>
                      <w:sz w:val="21"/>
                      <w:szCs w:val="21"/>
                    </w:rPr>
                  </w:pPr>
                </w:p>
              </w:tc>
              <w:tc>
                <w:tcPr>
                  <w:tcW w:w="596" w:type="pct"/>
                  <w:vMerge w:val="continue"/>
                  <w:tcBorders>
                    <w:top w:val="single" w:color="000000" w:sz="4" w:space="0"/>
                    <w:left w:val="single" w:color="000000" w:sz="4" w:space="0"/>
                    <w:bottom w:val="single" w:color="000000" w:sz="4" w:space="0"/>
                    <w:right w:val="single" w:color="000000" w:sz="4" w:space="0"/>
                  </w:tcBorders>
                  <w:vAlign w:val="center"/>
                </w:tcPr>
                <w:p w14:paraId="54900767">
                  <w:pPr>
                    <w:jc w:val="center"/>
                    <w:rPr>
                      <w:rFonts w:ascii="Times New Roman" w:hAnsi="Times New Roman" w:cs="Times New Roman" w:eastAsiaTheme="minorEastAsia"/>
                      <w:b/>
                      <w:bCs/>
                      <w:color w:val="000000" w:themeColor="text1"/>
                      <w:sz w:val="21"/>
                      <w:szCs w:val="21"/>
                    </w:rPr>
                  </w:pPr>
                </w:p>
              </w:tc>
              <w:tc>
                <w:tcPr>
                  <w:tcW w:w="640" w:type="pct"/>
                  <w:vMerge w:val="continue"/>
                  <w:tcBorders>
                    <w:top w:val="single" w:color="000000" w:sz="4" w:space="0"/>
                    <w:left w:val="single" w:color="000000" w:sz="4" w:space="0"/>
                    <w:bottom w:val="single" w:color="000000" w:sz="4" w:space="0"/>
                    <w:right w:val="single" w:color="000000" w:sz="4" w:space="0"/>
                  </w:tcBorders>
                  <w:vAlign w:val="center"/>
                </w:tcPr>
                <w:p w14:paraId="3478DF0C">
                  <w:pPr>
                    <w:jc w:val="center"/>
                    <w:rPr>
                      <w:rFonts w:ascii="Times New Roman" w:hAnsi="Times New Roman" w:cs="Times New Roman" w:eastAsiaTheme="minorEastAsia"/>
                      <w:b/>
                      <w:bCs/>
                      <w:color w:val="000000" w:themeColor="text1"/>
                      <w:sz w:val="21"/>
                      <w:szCs w:val="21"/>
                    </w:rPr>
                  </w:pPr>
                </w:p>
              </w:tc>
              <w:tc>
                <w:tcPr>
                  <w:tcW w:w="637" w:type="pct"/>
                  <w:vMerge w:val="continue"/>
                  <w:tcBorders>
                    <w:top w:val="single" w:color="000000" w:sz="4" w:space="0"/>
                    <w:left w:val="single" w:color="000000" w:sz="4" w:space="0"/>
                    <w:bottom w:val="single" w:color="000000" w:sz="4" w:space="0"/>
                    <w:right w:val="single" w:color="000000" w:sz="4" w:space="0"/>
                  </w:tcBorders>
                  <w:vAlign w:val="center"/>
                </w:tcPr>
                <w:p w14:paraId="1C11A707">
                  <w:pPr>
                    <w:jc w:val="center"/>
                    <w:rPr>
                      <w:rFonts w:ascii="Times New Roman" w:hAnsi="Times New Roman" w:cs="Times New Roman" w:eastAsiaTheme="minorEastAsia"/>
                      <w:b/>
                      <w:bCs/>
                      <w:color w:val="000000" w:themeColor="text1"/>
                      <w:sz w:val="21"/>
                      <w:szCs w:val="21"/>
                    </w:rPr>
                  </w:pPr>
                </w:p>
              </w:tc>
              <w:tc>
                <w:tcPr>
                  <w:tcW w:w="549" w:type="pct"/>
                  <w:vMerge w:val="continue"/>
                  <w:tcBorders>
                    <w:top w:val="single" w:color="000000" w:sz="4" w:space="0"/>
                    <w:left w:val="single" w:color="000000" w:sz="4" w:space="0"/>
                    <w:bottom w:val="single" w:color="000000" w:sz="4" w:space="0"/>
                    <w:right w:val="single" w:color="000000" w:sz="4" w:space="0"/>
                  </w:tcBorders>
                  <w:vAlign w:val="center"/>
                </w:tcPr>
                <w:p w14:paraId="6C417EF2">
                  <w:pPr>
                    <w:jc w:val="center"/>
                    <w:rPr>
                      <w:rFonts w:ascii="Times New Roman" w:hAnsi="Times New Roman" w:cs="Times New Roman" w:eastAsiaTheme="minorEastAsia"/>
                      <w:b/>
                      <w:bCs/>
                      <w:color w:val="000000" w:themeColor="text1"/>
                      <w:sz w:val="21"/>
                      <w:szCs w:val="21"/>
                    </w:rPr>
                  </w:pPr>
                </w:p>
              </w:tc>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7B00E17">
                  <w:pPr>
                    <w:jc w:val="center"/>
                    <w:rPr>
                      <w:rFonts w:ascii="Times New Roman" w:hAnsi="Times New Roman" w:cs="Times New Roman" w:eastAsiaTheme="minorEastAsia"/>
                      <w:b/>
                      <w:bCs/>
                      <w:color w:val="000000" w:themeColor="text1"/>
                      <w:sz w:val="21"/>
                      <w:szCs w:val="21"/>
                    </w:rPr>
                  </w:pPr>
                </w:p>
              </w:tc>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8194BB8">
                  <w:pPr>
                    <w:jc w:val="center"/>
                    <w:rPr>
                      <w:rFonts w:ascii="Times New Roman" w:hAnsi="Times New Roman" w:cs="Times New Roman" w:eastAsiaTheme="minorEastAsia"/>
                      <w:b/>
                      <w:bCs/>
                      <w:color w:val="000000" w:themeColor="text1"/>
                      <w:sz w:val="21"/>
                      <w:szCs w:val="21"/>
                    </w:rPr>
                  </w:pPr>
                </w:p>
              </w:tc>
              <w:tc>
                <w:tcPr>
                  <w:tcW w:w="639" w:type="pct"/>
                  <w:vMerge w:val="continue"/>
                  <w:tcBorders>
                    <w:top w:val="single" w:color="000000" w:sz="4" w:space="0"/>
                    <w:left w:val="single" w:color="000000" w:sz="4" w:space="0"/>
                    <w:bottom w:val="single" w:color="000000" w:sz="4" w:space="0"/>
                    <w:right w:val="single" w:color="000000" w:sz="4" w:space="0"/>
                  </w:tcBorders>
                  <w:vAlign w:val="center"/>
                </w:tcPr>
                <w:p w14:paraId="6D7A90A2">
                  <w:pPr>
                    <w:jc w:val="center"/>
                    <w:rPr>
                      <w:rFonts w:ascii="Times New Roman" w:hAnsi="Times New Roman" w:cs="Times New Roman" w:eastAsiaTheme="minorEastAsia"/>
                      <w:b/>
                      <w:bCs/>
                      <w:color w:val="000000" w:themeColor="text1"/>
                      <w:sz w:val="21"/>
                      <w:szCs w:val="21"/>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120B78F0">
                  <w:pPr>
                    <w:jc w:val="center"/>
                    <w:rPr>
                      <w:rFonts w:ascii="Times New Roman" w:hAnsi="Times New Roman" w:cs="Times New Roman" w:eastAsiaTheme="minorEastAsia"/>
                      <w:b/>
                      <w:bCs/>
                      <w:color w:val="000000" w:themeColor="text1"/>
                      <w:sz w:val="21"/>
                      <w:szCs w:val="21"/>
                    </w:rPr>
                  </w:pPr>
                </w:p>
              </w:tc>
            </w:tr>
            <w:tr w14:paraId="303A4A0B">
              <w:tblPrEx>
                <w:tblCellMar>
                  <w:top w:w="0" w:type="dxa"/>
                  <w:left w:w="108" w:type="dxa"/>
                  <w:bottom w:w="0" w:type="dxa"/>
                  <w:right w:w="108" w:type="dxa"/>
                </w:tblCellMar>
              </w:tblPrEx>
              <w:trPr>
                <w:trHeight w:val="346"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vAlign w:val="center"/>
                </w:tcPr>
                <w:p w14:paraId="5E5614B0">
                  <w:pPr>
                    <w:jc w:val="center"/>
                    <w:textAlignment w:val="center"/>
                    <w:rPr>
                      <w:rFonts w:ascii="Times New Roman" w:hAnsi="Times New Roman" w:cs="Times New Roman" w:eastAsiaTheme="minorEastAsia"/>
                      <w:color w:val="000000" w:themeColor="text1"/>
                      <w:sz w:val="21"/>
                      <w:szCs w:val="21"/>
                      <w:lang w:val="en-US" w:bidi="ar"/>
                    </w:rPr>
                  </w:pPr>
                  <w:r>
                    <w:rPr>
                      <w:rFonts w:hint="eastAsia" w:ascii="Times New Roman" w:hAnsi="Times New Roman" w:cs="Times New Roman" w:eastAsiaTheme="minorEastAsia"/>
                      <w:color w:val="000000" w:themeColor="text1"/>
                      <w:sz w:val="21"/>
                      <w:szCs w:val="21"/>
                      <w:lang w:val="en-US" w:bidi="ar"/>
                    </w:rPr>
                    <w:t>本项目食堂废水</w:t>
                  </w:r>
                </w:p>
              </w:tc>
              <w:tc>
                <w:tcPr>
                  <w:tcW w:w="596" w:type="pct"/>
                  <w:vMerge w:val="restart"/>
                  <w:tcBorders>
                    <w:top w:val="single" w:color="000000" w:sz="4" w:space="0"/>
                    <w:left w:val="single" w:color="000000" w:sz="4" w:space="0"/>
                    <w:bottom w:val="single" w:color="000000" w:sz="4" w:space="0"/>
                    <w:right w:val="single" w:color="000000" w:sz="4" w:space="0"/>
                  </w:tcBorders>
                  <w:vAlign w:val="center"/>
                </w:tcPr>
                <w:p w14:paraId="27649741">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1191.36</w:t>
                  </w:r>
                </w:p>
              </w:tc>
              <w:tc>
                <w:tcPr>
                  <w:tcW w:w="640" w:type="pct"/>
                  <w:tcBorders>
                    <w:top w:val="single" w:color="000000" w:sz="4" w:space="0"/>
                    <w:left w:val="single" w:color="000000" w:sz="4" w:space="0"/>
                    <w:bottom w:val="single" w:color="000000" w:sz="4" w:space="0"/>
                    <w:right w:val="single" w:color="000000" w:sz="4" w:space="0"/>
                  </w:tcBorders>
                  <w:vAlign w:val="center"/>
                </w:tcPr>
                <w:p w14:paraId="590B60FE">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CODcr</w:t>
                  </w:r>
                </w:p>
              </w:tc>
              <w:tc>
                <w:tcPr>
                  <w:tcW w:w="637" w:type="pct"/>
                  <w:tcBorders>
                    <w:top w:val="single" w:color="000000" w:sz="4" w:space="0"/>
                    <w:left w:val="single" w:color="000000" w:sz="4" w:space="0"/>
                    <w:bottom w:val="single" w:color="000000" w:sz="4" w:space="0"/>
                    <w:right w:val="single" w:color="000000" w:sz="4" w:space="0"/>
                  </w:tcBorders>
                  <w:vAlign w:val="center"/>
                </w:tcPr>
                <w:p w14:paraId="2494DBF3">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250</w:t>
                  </w:r>
                </w:p>
              </w:tc>
              <w:tc>
                <w:tcPr>
                  <w:tcW w:w="941" w:type="dxa"/>
                  <w:tcBorders>
                    <w:top w:val="single" w:color="000000" w:sz="4" w:space="0"/>
                    <w:left w:val="single" w:color="000000" w:sz="4" w:space="0"/>
                    <w:bottom w:val="single" w:color="000000" w:sz="4" w:space="0"/>
                    <w:right w:val="single" w:color="000000" w:sz="4" w:space="0"/>
                  </w:tcBorders>
                  <w:vAlign w:val="center"/>
                </w:tcPr>
                <w:p w14:paraId="7DC6AD6D">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 xml:space="preserve">0.298 </w:t>
                  </w:r>
                </w:p>
              </w:tc>
              <w:tc>
                <w:tcPr>
                  <w:tcW w:w="456" w:type="pct"/>
                  <w:vMerge w:val="restart"/>
                  <w:tcBorders>
                    <w:top w:val="single" w:color="000000" w:sz="4" w:space="0"/>
                    <w:left w:val="single" w:color="000000" w:sz="4" w:space="0"/>
                    <w:right w:val="single" w:color="000000" w:sz="4" w:space="0"/>
                  </w:tcBorders>
                  <w:vAlign w:val="center"/>
                </w:tcPr>
                <w:p w14:paraId="49F8189F">
                  <w:pPr>
                    <w:jc w:val="center"/>
                    <w:textAlignment w:val="center"/>
                    <w:rPr>
                      <w:rFonts w:ascii="Times New Roman" w:hAnsi="Times New Roman" w:cs="Times New Roman" w:eastAsiaTheme="minorEastAsia"/>
                      <w:color w:val="000000" w:themeColor="text1"/>
                      <w:sz w:val="21"/>
                      <w:szCs w:val="21"/>
                      <w:lang w:bidi="ar"/>
                    </w:rPr>
                  </w:pPr>
                  <w:r>
                    <w:rPr>
                      <w:rFonts w:hint="eastAsia" w:ascii="Times New Roman" w:hAnsi="Times New Roman" w:cs="Times New Roman" w:eastAsiaTheme="minorEastAsia"/>
                      <w:color w:val="000000" w:themeColor="text1"/>
                      <w:sz w:val="21"/>
                      <w:szCs w:val="21"/>
                      <w:lang w:val="en-US" w:bidi="ar"/>
                    </w:rPr>
                    <w:t>隔油池+化粪池</w:t>
                  </w:r>
                </w:p>
              </w:tc>
              <w:tc>
                <w:tcPr>
                  <w:tcW w:w="456" w:type="pct"/>
                  <w:tcBorders>
                    <w:top w:val="single" w:color="000000" w:sz="4" w:space="0"/>
                    <w:left w:val="single" w:color="000000" w:sz="4" w:space="0"/>
                    <w:bottom w:val="single" w:color="000000" w:sz="4" w:space="0"/>
                    <w:right w:val="single" w:color="000000" w:sz="4" w:space="0"/>
                  </w:tcBorders>
                  <w:vAlign w:val="center"/>
                </w:tcPr>
                <w:p w14:paraId="4DD56680">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30%</w:t>
                  </w:r>
                </w:p>
              </w:tc>
              <w:tc>
                <w:tcPr>
                  <w:tcW w:w="639" w:type="pct"/>
                  <w:tcBorders>
                    <w:top w:val="single" w:color="000000" w:sz="4" w:space="0"/>
                    <w:left w:val="single" w:color="000000" w:sz="4" w:space="0"/>
                    <w:bottom w:val="single" w:color="000000" w:sz="4" w:space="0"/>
                    <w:right w:val="single" w:color="000000" w:sz="4" w:space="0"/>
                  </w:tcBorders>
                  <w:vAlign w:val="center"/>
                </w:tcPr>
                <w:p w14:paraId="0ECA1512">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175</w:t>
                  </w:r>
                </w:p>
              </w:tc>
              <w:tc>
                <w:tcPr>
                  <w:tcW w:w="932" w:type="dxa"/>
                  <w:tcBorders>
                    <w:top w:val="single" w:color="000000" w:sz="4" w:space="0"/>
                    <w:left w:val="single" w:color="000000" w:sz="4" w:space="0"/>
                    <w:bottom w:val="single" w:color="000000" w:sz="4" w:space="0"/>
                    <w:right w:val="single" w:color="000000" w:sz="4" w:space="0"/>
                  </w:tcBorders>
                  <w:vAlign w:val="center"/>
                </w:tcPr>
                <w:p w14:paraId="7996FB79">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 xml:space="preserve">0.208 </w:t>
                  </w:r>
                </w:p>
              </w:tc>
            </w:tr>
            <w:tr w14:paraId="6128E1F5">
              <w:tblPrEx>
                <w:tblCellMar>
                  <w:top w:w="0" w:type="dxa"/>
                  <w:left w:w="108" w:type="dxa"/>
                  <w:bottom w:w="0" w:type="dxa"/>
                  <w:right w:w="108" w:type="dxa"/>
                </w:tblCellMar>
              </w:tblPrEx>
              <w:trPr>
                <w:trHeight w:val="346"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vAlign w:val="center"/>
                </w:tcPr>
                <w:p w14:paraId="47374FDA">
                  <w:pPr>
                    <w:jc w:val="center"/>
                    <w:textAlignment w:val="center"/>
                    <w:rPr>
                      <w:rFonts w:ascii="Times New Roman" w:hAnsi="Times New Roman" w:cs="Times New Roman" w:eastAsiaTheme="minorEastAsia"/>
                      <w:color w:val="000000" w:themeColor="text1"/>
                      <w:sz w:val="21"/>
                      <w:szCs w:val="21"/>
                      <w:lang w:bidi="ar"/>
                    </w:rPr>
                  </w:pPr>
                </w:p>
              </w:tc>
              <w:tc>
                <w:tcPr>
                  <w:tcW w:w="596" w:type="pct"/>
                  <w:vMerge w:val="continue"/>
                  <w:tcBorders>
                    <w:top w:val="single" w:color="000000" w:sz="4" w:space="0"/>
                    <w:left w:val="single" w:color="000000" w:sz="4" w:space="0"/>
                    <w:bottom w:val="single" w:color="000000" w:sz="4" w:space="0"/>
                    <w:right w:val="single" w:color="000000" w:sz="4" w:space="0"/>
                  </w:tcBorders>
                  <w:vAlign w:val="center"/>
                </w:tcPr>
                <w:p w14:paraId="2FFF3F74">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6E321623">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BOD</w:t>
                  </w:r>
                  <w:r>
                    <w:rPr>
                      <w:rFonts w:ascii="Times New Roman" w:hAnsi="Times New Roman" w:cs="Times New Roman" w:eastAsiaTheme="minorEastAsia"/>
                      <w:color w:val="000000" w:themeColor="text1"/>
                      <w:sz w:val="21"/>
                      <w:szCs w:val="21"/>
                      <w:vertAlign w:val="subscript"/>
                      <w:lang w:bidi="ar"/>
                    </w:rPr>
                    <w:t>5</w:t>
                  </w:r>
                </w:p>
              </w:tc>
              <w:tc>
                <w:tcPr>
                  <w:tcW w:w="637" w:type="pct"/>
                  <w:tcBorders>
                    <w:top w:val="single" w:color="000000" w:sz="4" w:space="0"/>
                    <w:left w:val="single" w:color="000000" w:sz="4" w:space="0"/>
                    <w:bottom w:val="single" w:color="000000" w:sz="4" w:space="0"/>
                    <w:right w:val="single" w:color="000000" w:sz="4" w:space="0"/>
                  </w:tcBorders>
                  <w:vAlign w:val="center"/>
                </w:tcPr>
                <w:p w14:paraId="1288241E">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150</w:t>
                  </w:r>
                </w:p>
              </w:tc>
              <w:tc>
                <w:tcPr>
                  <w:tcW w:w="941" w:type="dxa"/>
                  <w:tcBorders>
                    <w:top w:val="single" w:color="000000" w:sz="4" w:space="0"/>
                    <w:left w:val="single" w:color="000000" w:sz="4" w:space="0"/>
                    <w:bottom w:val="single" w:color="000000" w:sz="4" w:space="0"/>
                    <w:right w:val="single" w:color="000000" w:sz="4" w:space="0"/>
                  </w:tcBorders>
                  <w:vAlign w:val="center"/>
                </w:tcPr>
                <w:p w14:paraId="0BDE5FDA">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 xml:space="preserve">0.179 </w:t>
                  </w:r>
                </w:p>
              </w:tc>
              <w:tc>
                <w:tcPr>
                  <w:tcW w:w="456" w:type="pct"/>
                  <w:vMerge w:val="continue"/>
                  <w:tcBorders>
                    <w:left w:val="single" w:color="000000" w:sz="4" w:space="0"/>
                    <w:right w:val="single" w:color="000000" w:sz="4" w:space="0"/>
                  </w:tcBorders>
                  <w:vAlign w:val="center"/>
                </w:tcPr>
                <w:p w14:paraId="6D0FF693">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18735114">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40%</w:t>
                  </w:r>
                </w:p>
              </w:tc>
              <w:tc>
                <w:tcPr>
                  <w:tcW w:w="639" w:type="pct"/>
                  <w:tcBorders>
                    <w:top w:val="single" w:color="000000" w:sz="4" w:space="0"/>
                    <w:left w:val="single" w:color="000000" w:sz="4" w:space="0"/>
                    <w:bottom w:val="single" w:color="000000" w:sz="4" w:space="0"/>
                    <w:right w:val="single" w:color="000000" w:sz="4" w:space="0"/>
                  </w:tcBorders>
                  <w:vAlign w:val="center"/>
                </w:tcPr>
                <w:p w14:paraId="1AFA207E">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90</w:t>
                  </w:r>
                </w:p>
              </w:tc>
              <w:tc>
                <w:tcPr>
                  <w:tcW w:w="932" w:type="dxa"/>
                  <w:tcBorders>
                    <w:top w:val="single" w:color="000000" w:sz="4" w:space="0"/>
                    <w:left w:val="single" w:color="000000" w:sz="4" w:space="0"/>
                    <w:bottom w:val="single" w:color="000000" w:sz="4" w:space="0"/>
                    <w:right w:val="single" w:color="000000" w:sz="4" w:space="0"/>
                  </w:tcBorders>
                  <w:vAlign w:val="center"/>
                </w:tcPr>
                <w:p w14:paraId="08BD4C68">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 xml:space="preserve">0.107 </w:t>
                  </w:r>
                </w:p>
              </w:tc>
            </w:tr>
            <w:tr w14:paraId="51B9C373">
              <w:tblPrEx>
                <w:tblCellMar>
                  <w:top w:w="0" w:type="dxa"/>
                  <w:left w:w="108" w:type="dxa"/>
                  <w:bottom w:w="0" w:type="dxa"/>
                  <w:right w:w="108" w:type="dxa"/>
                </w:tblCellMar>
              </w:tblPrEx>
              <w:trPr>
                <w:trHeight w:val="346"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vAlign w:val="center"/>
                </w:tcPr>
                <w:p w14:paraId="78716C56">
                  <w:pPr>
                    <w:jc w:val="center"/>
                    <w:textAlignment w:val="center"/>
                    <w:rPr>
                      <w:rFonts w:ascii="Times New Roman" w:hAnsi="Times New Roman" w:cs="Times New Roman" w:eastAsiaTheme="minorEastAsia"/>
                      <w:color w:val="000000" w:themeColor="text1"/>
                      <w:sz w:val="21"/>
                      <w:szCs w:val="21"/>
                      <w:lang w:bidi="ar"/>
                    </w:rPr>
                  </w:pPr>
                </w:p>
              </w:tc>
              <w:tc>
                <w:tcPr>
                  <w:tcW w:w="596" w:type="pct"/>
                  <w:vMerge w:val="continue"/>
                  <w:tcBorders>
                    <w:top w:val="single" w:color="000000" w:sz="4" w:space="0"/>
                    <w:left w:val="single" w:color="000000" w:sz="4" w:space="0"/>
                    <w:bottom w:val="single" w:color="000000" w:sz="4" w:space="0"/>
                    <w:right w:val="single" w:color="000000" w:sz="4" w:space="0"/>
                  </w:tcBorders>
                  <w:vAlign w:val="center"/>
                </w:tcPr>
                <w:p w14:paraId="32561482">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2B5D7D0B">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氨氮</w:t>
                  </w:r>
                </w:p>
              </w:tc>
              <w:tc>
                <w:tcPr>
                  <w:tcW w:w="637" w:type="pct"/>
                  <w:tcBorders>
                    <w:top w:val="single" w:color="000000" w:sz="4" w:space="0"/>
                    <w:left w:val="single" w:color="000000" w:sz="4" w:space="0"/>
                    <w:bottom w:val="single" w:color="000000" w:sz="4" w:space="0"/>
                    <w:right w:val="single" w:color="000000" w:sz="4" w:space="0"/>
                  </w:tcBorders>
                  <w:vAlign w:val="center"/>
                </w:tcPr>
                <w:p w14:paraId="3C92E337">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25</w:t>
                  </w:r>
                </w:p>
              </w:tc>
              <w:tc>
                <w:tcPr>
                  <w:tcW w:w="941" w:type="dxa"/>
                  <w:tcBorders>
                    <w:top w:val="single" w:color="000000" w:sz="4" w:space="0"/>
                    <w:left w:val="single" w:color="000000" w:sz="4" w:space="0"/>
                    <w:bottom w:val="single" w:color="000000" w:sz="4" w:space="0"/>
                    <w:right w:val="single" w:color="000000" w:sz="4" w:space="0"/>
                  </w:tcBorders>
                  <w:vAlign w:val="center"/>
                </w:tcPr>
                <w:p w14:paraId="6A23951C">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 xml:space="preserve">0.030 </w:t>
                  </w:r>
                </w:p>
              </w:tc>
              <w:tc>
                <w:tcPr>
                  <w:tcW w:w="456" w:type="pct"/>
                  <w:vMerge w:val="continue"/>
                  <w:tcBorders>
                    <w:left w:val="single" w:color="000000" w:sz="4" w:space="0"/>
                    <w:right w:val="single" w:color="000000" w:sz="4" w:space="0"/>
                  </w:tcBorders>
                  <w:vAlign w:val="center"/>
                </w:tcPr>
                <w:p w14:paraId="721C5518">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43F97893">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0</w:t>
                  </w:r>
                </w:p>
              </w:tc>
              <w:tc>
                <w:tcPr>
                  <w:tcW w:w="639" w:type="pct"/>
                  <w:tcBorders>
                    <w:top w:val="single" w:color="000000" w:sz="4" w:space="0"/>
                    <w:left w:val="single" w:color="000000" w:sz="4" w:space="0"/>
                    <w:bottom w:val="single" w:color="000000" w:sz="4" w:space="0"/>
                    <w:right w:val="single" w:color="000000" w:sz="4" w:space="0"/>
                  </w:tcBorders>
                  <w:vAlign w:val="center"/>
                </w:tcPr>
                <w:p w14:paraId="549366CF">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25</w:t>
                  </w:r>
                </w:p>
              </w:tc>
              <w:tc>
                <w:tcPr>
                  <w:tcW w:w="932" w:type="dxa"/>
                  <w:tcBorders>
                    <w:top w:val="single" w:color="000000" w:sz="4" w:space="0"/>
                    <w:left w:val="single" w:color="000000" w:sz="4" w:space="0"/>
                    <w:bottom w:val="single" w:color="000000" w:sz="4" w:space="0"/>
                    <w:right w:val="single" w:color="000000" w:sz="4" w:space="0"/>
                  </w:tcBorders>
                  <w:vAlign w:val="center"/>
                </w:tcPr>
                <w:p w14:paraId="35DBF103">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 xml:space="preserve">0.030 </w:t>
                  </w:r>
                </w:p>
              </w:tc>
            </w:tr>
            <w:tr w14:paraId="62DE499C">
              <w:tblPrEx>
                <w:tblCellMar>
                  <w:top w:w="0" w:type="dxa"/>
                  <w:left w:w="108" w:type="dxa"/>
                  <w:bottom w:w="0" w:type="dxa"/>
                  <w:right w:w="108" w:type="dxa"/>
                </w:tblCellMar>
              </w:tblPrEx>
              <w:trPr>
                <w:trHeight w:val="346"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vAlign w:val="center"/>
                </w:tcPr>
                <w:p w14:paraId="5E8BF7EE">
                  <w:pPr>
                    <w:jc w:val="center"/>
                    <w:textAlignment w:val="center"/>
                    <w:rPr>
                      <w:rFonts w:ascii="Times New Roman" w:hAnsi="Times New Roman" w:cs="Times New Roman" w:eastAsiaTheme="minorEastAsia"/>
                      <w:color w:val="000000" w:themeColor="text1"/>
                      <w:sz w:val="21"/>
                      <w:szCs w:val="21"/>
                      <w:lang w:bidi="ar"/>
                    </w:rPr>
                  </w:pPr>
                </w:p>
              </w:tc>
              <w:tc>
                <w:tcPr>
                  <w:tcW w:w="596" w:type="pct"/>
                  <w:vMerge w:val="continue"/>
                  <w:tcBorders>
                    <w:top w:val="single" w:color="000000" w:sz="4" w:space="0"/>
                    <w:left w:val="single" w:color="000000" w:sz="4" w:space="0"/>
                    <w:bottom w:val="single" w:color="000000" w:sz="4" w:space="0"/>
                    <w:right w:val="single" w:color="000000" w:sz="4" w:space="0"/>
                  </w:tcBorders>
                  <w:vAlign w:val="center"/>
                </w:tcPr>
                <w:p w14:paraId="3AB3478B">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0ACC706C">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SS</w:t>
                  </w:r>
                </w:p>
              </w:tc>
              <w:tc>
                <w:tcPr>
                  <w:tcW w:w="637" w:type="pct"/>
                  <w:tcBorders>
                    <w:top w:val="single" w:color="000000" w:sz="4" w:space="0"/>
                    <w:left w:val="single" w:color="000000" w:sz="4" w:space="0"/>
                    <w:bottom w:val="single" w:color="000000" w:sz="4" w:space="0"/>
                    <w:right w:val="single" w:color="000000" w:sz="4" w:space="0"/>
                  </w:tcBorders>
                  <w:vAlign w:val="center"/>
                </w:tcPr>
                <w:p w14:paraId="6001994D">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150</w:t>
                  </w:r>
                </w:p>
              </w:tc>
              <w:tc>
                <w:tcPr>
                  <w:tcW w:w="941" w:type="dxa"/>
                  <w:tcBorders>
                    <w:top w:val="single" w:color="000000" w:sz="4" w:space="0"/>
                    <w:left w:val="single" w:color="000000" w:sz="4" w:space="0"/>
                    <w:bottom w:val="single" w:color="000000" w:sz="4" w:space="0"/>
                    <w:right w:val="single" w:color="000000" w:sz="4" w:space="0"/>
                  </w:tcBorders>
                  <w:vAlign w:val="center"/>
                </w:tcPr>
                <w:p w14:paraId="38631669">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 xml:space="preserve">0.179 </w:t>
                  </w:r>
                </w:p>
              </w:tc>
              <w:tc>
                <w:tcPr>
                  <w:tcW w:w="456" w:type="pct"/>
                  <w:vMerge w:val="continue"/>
                  <w:tcBorders>
                    <w:left w:val="single" w:color="000000" w:sz="4" w:space="0"/>
                    <w:right w:val="single" w:color="000000" w:sz="4" w:space="0"/>
                  </w:tcBorders>
                  <w:vAlign w:val="center"/>
                </w:tcPr>
                <w:p w14:paraId="4C5F8226">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0710DB01">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70%</w:t>
                  </w:r>
                </w:p>
              </w:tc>
              <w:tc>
                <w:tcPr>
                  <w:tcW w:w="639" w:type="pct"/>
                  <w:tcBorders>
                    <w:top w:val="single" w:color="000000" w:sz="4" w:space="0"/>
                    <w:left w:val="single" w:color="000000" w:sz="4" w:space="0"/>
                    <w:bottom w:val="single" w:color="000000" w:sz="4" w:space="0"/>
                    <w:right w:val="single" w:color="000000" w:sz="4" w:space="0"/>
                  </w:tcBorders>
                  <w:vAlign w:val="center"/>
                </w:tcPr>
                <w:p w14:paraId="2CAE57C2">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45</w:t>
                  </w:r>
                </w:p>
              </w:tc>
              <w:tc>
                <w:tcPr>
                  <w:tcW w:w="932" w:type="dxa"/>
                  <w:tcBorders>
                    <w:top w:val="single" w:color="000000" w:sz="4" w:space="0"/>
                    <w:left w:val="single" w:color="000000" w:sz="4" w:space="0"/>
                    <w:bottom w:val="single" w:color="000000" w:sz="4" w:space="0"/>
                    <w:right w:val="single" w:color="000000" w:sz="4" w:space="0"/>
                  </w:tcBorders>
                  <w:vAlign w:val="center"/>
                </w:tcPr>
                <w:p w14:paraId="37696F44">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 xml:space="preserve">0.054 </w:t>
                  </w:r>
                </w:p>
              </w:tc>
            </w:tr>
            <w:tr w14:paraId="055CF200">
              <w:tblPrEx>
                <w:tblCellMar>
                  <w:top w:w="0" w:type="dxa"/>
                  <w:left w:w="108" w:type="dxa"/>
                  <w:bottom w:w="0" w:type="dxa"/>
                  <w:right w:w="108" w:type="dxa"/>
                </w:tblCellMar>
              </w:tblPrEx>
              <w:trPr>
                <w:trHeight w:val="356"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vAlign w:val="center"/>
                </w:tcPr>
                <w:p w14:paraId="04BAD193">
                  <w:pPr>
                    <w:jc w:val="center"/>
                    <w:textAlignment w:val="center"/>
                    <w:rPr>
                      <w:rFonts w:ascii="Times New Roman" w:hAnsi="Times New Roman" w:cs="Times New Roman" w:eastAsiaTheme="minorEastAsia"/>
                      <w:color w:val="000000" w:themeColor="text1"/>
                      <w:sz w:val="21"/>
                      <w:szCs w:val="21"/>
                      <w:lang w:bidi="ar"/>
                    </w:rPr>
                  </w:pPr>
                </w:p>
              </w:tc>
              <w:tc>
                <w:tcPr>
                  <w:tcW w:w="596" w:type="pct"/>
                  <w:vMerge w:val="continue"/>
                  <w:tcBorders>
                    <w:top w:val="single" w:color="000000" w:sz="4" w:space="0"/>
                    <w:left w:val="single" w:color="000000" w:sz="4" w:space="0"/>
                    <w:bottom w:val="single" w:color="000000" w:sz="4" w:space="0"/>
                    <w:right w:val="single" w:color="000000" w:sz="4" w:space="0"/>
                  </w:tcBorders>
                  <w:vAlign w:val="center"/>
                </w:tcPr>
                <w:p w14:paraId="0E069719">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2DDF5161">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动植物油</w:t>
                  </w:r>
                </w:p>
              </w:tc>
              <w:tc>
                <w:tcPr>
                  <w:tcW w:w="637" w:type="pct"/>
                  <w:tcBorders>
                    <w:top w:val="single" w:color="000000" w:sz="4" w:space="0"/>
                    <w:left w:val="single" w:color="000000" w:sz="4" w:space="0"/>
                    <w:bottom w:val="single" w:color="000000" w:sz="4" w:space="0"/>
                    <w:right w:val="single" w:color="000000" w:sz="4" w:space="0"/>
                  </w:tcBorders>
                  <w:vAlign w:val="center"/>
                </w:tcPr>
                <w:p w14:paraId="6B41D206">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15</w:t>
                  </w:r>
                </w:p>
              </w:tc>
              <w:tc>
                <w:tcPr>
                  <w:tcW w:w="941" w:type="dxa"/>
                  <w:tcBorders>
                    <w:top w:val="single" w:color="000000" w:sz="4" w:space="0"/>
                    <w:left w:val="single" w:color="000000" w:sz="4" w:space="0"/>
                    <w:bottom w:val="single" w:color="000000" w:sz="4" w:space="0"/>
                    <w:right w:val="single" w:color="000000" w:sz="4" w:space="0"/>
                  </w:tcBorders>
                  <w:vAlign w:val="center"/>
                </w:tcPr>
                <w:p w14:paraId="57231D93">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 xml:space="preserve">0.018 </w:t>
                  </w:r>
                </w:p>
              </w:tc>
              <w:tc>
                <w:tcPr>
                  <w:tcW w:w="456" w:type="pct"/>
                  <w:vMerge w:val="continue"/>
                  <w:tcBorders>
                    <w:left w:val="single" w:color="000000" w:sz="4" w:space="0"/>
                    <w:right w:val="single" w:color="000000" w:sz="4" w:space="0"/>
                  </w:tcBorders>
                  <w:vAlign w:val="center"/>
                </w:tcPr>
                <w:p w14:paraId="793271BB">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1F421144">
                  <w:pPr>
                    <w:jc w:val="center"/>
                    <w:textAlignment w:val="center"/>
                    <w:rPr>
                      <w:rFonts w:ascii="Times New Roman" w:hAnsi="Times New Roman" w:cs="Times New Roman" w:eastAsiaTheme="minorEastAsia"/>
                      <w:color w:val="000000" w:themeColor="text1"/>
                      <w:sz w:val="21"/>
                      <w:szCs w:val="21"/>
                      <w:lang w:bidi="ar"/>
                    </w:rPr>
                  </w:pPr>
                  <w:r>
                    <w:rPr>
                      <w:rFonts w:hint="eastAsia" w:ascii="Times New Roman" w:hAnsi="Times New Roman" w:cs="Times New Roman" w:eastAsiaTheme="minorEastAsia"/>
                      <w:color w:val="000000" w:themeColor="text1"/>
                      <w:sz w:val="21"/>
                      <w:szCs w:val="21"/>
                      <w:lang w:val="en-US" w:bidi="ar"/>
                    </w:rPr>
                    <w:t>80</w:t>
                  </w:r>
                  <w:r>
                    <w:rPr>
                      <w:rFonts w:ascii="Times New Roman" w:hAnsi="Times New Roman" w:cs="Times New Roman" w:eastAsiaTheme="minorEastAsia"/>
                      <w:color w:val="000000" w:themeColor="text1"/>
                      <w:sz w:val="21"/>
                      <w:szCs w:val="21"/>
                      <w:lang w:bidi="ar"/>
                    </w:rPr>
                    <w:t>%</w:t>
                  </w:r>
                </w:p>
              </w:tc>
              <w:tc>
                <w:tcPr>
                  <w:tcW w:w="639" w:type="pct"/>
                  <w:tcBorders>
                    <w:top w:val="single" w:color="000000" w:sz="4" w:space="0"/>
                    <w:left w:val="single" w:color="000000" w:sz="4" w:space="0"/>
                    <w:bottom w:val="single" w:color="000000" w:sz="4" w:space="0"/>
                    <w:right w:val="single" w:color="000000" w:sz="4" w:space="0"/>
                  </w:tcBorders>
                  <w:vAlign w:val="center"/>
                </w:tcPr>
                <w:p w14:paraId="449D1AC5">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3</w:t>
                  </w:r>
                </w:p>
              </w:tc>
              <w:tc>
                <w:tcPr>
                  <w:tcW w:w="932" w:type="dxa"/>
                  <w:tcBorders>
                    <w:top w:val="single" w:color="000000" w:sz="4" w:space="0"/>
                    <w:left w:val="single" w:color="000000" w:sz="4" w:space="0"/>
                    <w:bottom w:val="single" w:color="000000" w:sz="4" w:space="0"/>
                    <w:right w:val="single" w:color="000000" w:sz="4" w:space="0"/>
                  </w:tcBorders>
                  <w:vAlign w:val="center"/>
                </w:tcPr>
                <w:p w14:paraId="5A18D2D4">
                  <w:pPr>
                    <w:widowControl/>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color w:val="000000" w:themeColor="text1"/>
                      <w:sz w:val="21"/>
                      <w:szCs w:val="21"/>
                      <w:lang w:val="en-US" w:bidi="ar"/>
                    </w:rPr>
                    <w:t xml:space="preserve">0.004 </w:t>
                  </w:r>
                </w:p>
              </w:tc>
            </w:tr>
            <w:tr w14:paraId="4193689D">
              <w:tblPrEx>
                <w:tblCellMar>
                  <w:top w:w="0" w:type="dxa"/>
                  <w:left w:w="108" w:type="dxa"/>
                  <w:bottom w:w="0" w:type="dxa"/>
                  <w:right w:w="108" w:type="dxa"/>
                </w:tblCellMar>
              </w:tblPrEx>
              <w:trPr>
                <w:trHeight w:val="356" w:hRule="atLeast"/>
                <w:jc w:val="center"/>
              </w:trPr>
              <w:tc>
                <w:tcPr>
                  <w:tcW w:w="477" w:type="pct"/>
                  <w:vMerge w:val="restart"/>
                  <w:tcBorders>
                    <w:top w:val="single" w:color="000000" w:sz="4" w:space="0"/>
                    <w:left w:val="single" w:color="000000" w:sz="4" w:space="0"/>
                    <w:right w:val="single" w:color="000000" w:sz="4" w:space="0"/>
                  </w:tcBorders>
                  <w:vAlign w:val="center"/>
                </w:tcPr>
                <w:p w14:paraId="59BC9B74">
                  <w:pPr>
                    <w:jc w:val="center"/>
                    <w:textAlignment w:val="center"/>
                    <w:rPr>
                      <w:rFonts w:ascii="Times New Roman" w:hAnsi="Times New Roman" w:cs="Times New Roman" w:eastAsiaTheme="minorEastAsia"/>
                      <w:color w:val="000000" w:themeColor="text1"/>
                      <w:sz w:val="21"/>
                      <w:szCs w:val="21"/>
                      <w:lang w:val="en-US" w:bidi="ar"/>
                    </w:rPr>
                  </w:pPr>
                  <w:r>
                    <w:rPr>
                      <w:rFonts w:hint="eastAsia" w:ascii="Times New Roman" w:hAnsi="Times New Roman" w:cs="Times New Roman" w:eastAsiaTheme="minorEastAsia"/>
                      <w:color w:val="000000" w:themeColor="text1"/>
                      <w:sz w:val="21"/>
                      <w:szCs w:val="21"/>
                      <w:lang w:val="en-US" w:bidi="ar"/>
                    </w:rPr>
                    <w:t>原有项目食堂废水</w:t>
                  </w:r>
                </w:p>
              </w:tc>
              <w:tc>
                <w:tcPr>
                  <w:tcW w:w="596" w:type="pct"/>
                  <w:vMerge w:val="restart"/>
                  <w:tcBorders>
                    <w:top w:val="single" w:color="000000" w:sz="4" w:space="0"/>
                    <w:left w:val="single" w:color="000000" w:sz="4" w:space="0"/>
                    <w:right w:val="single" w:color="000000" w:sz="4" w:space="0"/>
                  </w:tcBorders>
                  <w:vAlign w:val="center"/>
                </w:tcPr>
                <w:p w14:paraId="33A4867C">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4547.9</w:t>
                  </w:r>
                </w:p>
              </w:tc>
              <w:tc>
                <w:tcPr>
                  <w:tcW w:w="640" w:type="pct"/>
                  <w:tcBorders>
                    <w:top w:val="single" w:color="000000" w:sz="4" w:space="0"/>
                    <w:left w:val="single" w:color="000000" w:sz="4" w:space="0"/>
                    <w:bottom w:val="single" w:color="000000" w:sz="4" w:space="0"/>
                    <w:right w:val="single" w:color="000000" w:sz="4" w:space="0"/>
                  </w:tcBorders>
                  <w:vAlign w:val="center"/>
                </w:tcPr>
                <w:p w14:paraId="49C8189D">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CODcr</w:t>
                  </w:r>
                </w:p>
              </w:tc>
              <w:tc>
                <w:tcPr>
                  <w:tcW w:w="637" w:type="pct"/>
                  <w:tcBorders>
                    <w:top w:val="single" w:color="000000" w:sz="4" w:space="0"/>
                    <w:left w:val="single" w:color="000000" w:sz="4" w:space="0"/>
                    <w:bottom w:val="single" w:color="000000" w:sz="4" w:space="0"/>
                    <w:right w:val="single" w:color="000000" w:sz="4" w:space="0"/>
                  </w:tcBorders>
                  <w:vAlign w:val="center"/>
                </w:tcPr>
                <w:p w14:paraId="1C652983">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250</w:t>
                  </w:r>
                </w:p>
              </w:tc>
              <w:tc>
                <w:tcPr>
                  <w:tcW w:w="941" w:type="dxa"/>
                  <w:tcBorders>
                    <w:top w:val="single" w:color="000000" w:sz="4" w:space="0"/>
                    <w:left w:val="single" w:color="000000" w:sz="4" w:space="0"/>
                    <w:bottom w:val="single" w:color="000000" w:sz="4" w:space="0"/>
                    <w:right w:val="single" w:color="000000" w:sz="4" w:space="0"/>
                  </w:tcBorders>
                  <w:vAlign w:val="center"/>
                </w:tcPr>
                <w:p w14:paraId="6FF63E55">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1.137 </w:t>
                  </w:r>
                </w:p>
              </w:tc>
              <w:tc>
                <w:tcPr>
                  <w:tcW w:w="456" w:type="pct"/>
                  <w:vMerge w:val="continue"/>
                  <w:tcBorders>
                    <w:left w:val="single" w:color="000000" w:sz="4" w:space="0"/>
                    <w:right w:val="single" w:color="000000" w:sz="4" w:space="0"/>
                  </w:tcBorders>
                  <w:vAlign w:val="center"/>
                </w:tcPr>
                <w:p w14:paraId="54C2487A">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3C634511">
                  <w:pPr>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eastAsiaTheme="minorEastAsia"/>
                      <w:color w:val="000000" w:themeColor="text1"/>
                      <w:sz w:val="21"/>
                      <w:szCs w:val="21"/>
                      <w:lang w:bidi="ar"/>
                    </w:rPr>
                    <w:t>30%</w:t>
                  </w:r>
                </w:p>
              </w:tc>
              <w:tc>
                <w:tcPr>
                  <w:tcW w:w="639" w:type="pct"/>
                  <w:tcBorders>
                    <w:top w:val="single" w:color="000000" w:sz="4" w:space="0"/>
                    <w:left w:val="single" w:color="000000" w:sz="4" w:space="0"/>
                    <w:bottom w:val="single" w:color="000000" w:sz="4" w:space="0"/>
                    <w:right w:val="single" w:color="000000" w:sz="4" w:space="0"/>
                  </w:tcBorders>
                  <w:vAlign w:val="center"/>
                </w:tcPr>
                <w:p w14:paraId="475D615C">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175</w:t>
                  </w:r>
                </w:p>
              </w:tc>
              <w:tc>
                <w:tcPr>
                  <w:tcW w:w="932" w:type="dxa"/>
                  <w:tcBorders>
                    <w:top w:val="single" w:color="000000" w:sz="4" w:space="0"/>
                    <w:left w:val="single" w:color="000000" w:sz="4" w:space="0"/>
                    <w:bottom w:val="single" w:color="000000" w:sz="4" w:space="0"/>
                    <w:right w:val="single" w:color="000000" w:sz="4" w:space="0"/>
                  </w:tcBorders>
                  <w:vAlign w:val="center"/>
                </w:tcPr>
                <w:p w14:paraId="646CEB80">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0.796 </w:t>
                  </w:r>
                </w:p>
              </w:tc>
            </w:tr>
            <w:tr w14:paraId="5AD9CC07">
              <w:tblPrEx>
                <w:tblCellMar>
                  <w:top w:w="0" w:type="dxa"/>
                  <w:left w:w="108" w:type="dxa"/>
                  <w:bottom w:w="0" w:type="dxa"/>
                  <w:right w:w="108" w:type="dxa"/>
                </w:tblCellMar>
              </w:tblPrEx>
              <w:trPr>
                <w:trHeight w:val="356" w:hRule="atLeast"/>
                <w:jc w:val="center"/>
              </w:trPr>
              <w:tc>
                <w:tcPr>
                  <w:tcW w:w="477" w:type="pct"/>
                  <w:vMerge w:val="continue"/>
                  <w:tcBorders>
                    <w:left w:val="single" w:color="000000" w:sz="4" w:space="0"/>
                    <w:right w:val="single" w:color="000000" w:sz="4" w:space="0"/>
                  </w:tcBorders>
                  <w:vAlign w:val="center"/>
                </w:tcPr>
                <w:p w14:paraId="4F212414">
                  <w:pPr>
                    <w:jc w:val="center"/>
                    <w:textAlignment w:val="center"/>
                    <w:rPr>
                      <w:rFonts w:ascii="Times New Roman" w:hAnsi="Times New Roman" w:cs="Times New Roman" w:eastAsiaTheme="minorEastAsia"/>
                      <w:color w:val="000000" w:themeColor="text1"/>
                      <w:sz w:val="21"/>
                      <w:szCs w:val="21"/>
                      <w:lang w:val="en-US" w:bidi="ar"/>
                    </w:rPr>
                  </w:pPr>
                </w:p>
              </w:tc>
              <w:tc>
                <w:tcPr>
                  <w:tcW w:w="596" w:type="pct"/>
                  <w:vMerge w:val="continue"/>
                  <w:tcBorders>
                    <w:left w:val="single" w:color="000000" w:sz="4" w:space="0"/>
                    <w:right w:val="single" w:color="000000" w:sz="4" w:space="0"/>
                  </w:tcBorders>
                  <w:vAlign w:val="center"/>
                </w:tcPr>
                <w:p w14:paraId="4571F353">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3F908BBF">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BOD</w:t>
                  </w:r>
                  <w:r>
                    <w:rPr>
                      <w:rFonts w:ascii="Times New Roman" w:hAnsi="Times New Roman" w:cs="Times New Roman" w:eastAsiaTheme="minorEastAsia"/>
                      <w:color w:val="000000" w:themeColor="text1"/>
                      <w:sz w:val="21"/>
                      <w:szCs w:val="21"/>
                      <w:vertAlign w:val="subscript"/>
                      <w:lang w:bidi="ar"/>
                    </w:rPr>
                    <w:t>5</w:t>
                  </w:r>
                </w:p>
              </w:tc>
              <w:tc>
                <w:tcPr>
                  <w:tcW w:w="637" w:type="pct"/>
                  <w:tcBorders>
                    <w:top w:val="single" w:color="000000" w:sz="4" w:space="0"/>
                    <w:left w:val="single" w:color="000000" w:sz="4" w:space="0"/>
                    <w:bottom w:val="single" w:color="000000" w:sz="4" w:space="0"/>
                    <w:right w:val="single" w:color="000000" w:sz="4" w:space="0"/>
                  </w:tcBorders>
                  <w:vAlign w:val="center"/>
                </w:tcPr>
                <w:p w14:paraId="274DFB00">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150</w:t>
                  </w:r>
                </w:p>
              </w:tc>
              <w:tc>
                <w:tcPr>
                  <w:tcW w:w="941" w:type="dxa"/>
                  <w:tcBorders>
                    <w:top w:val="single" w:color="000000" w:sz="4" w:space="0"/>
                    <w:left w:val="single" w:color="000000" w:sz="4" w:space="0"/>
                    <w:bottom w:val="single" w:color="000000" w:sz="4" w:space="0"/>
                    <w:right w:val="single" w:color="000000" w:sz="4" w:space="0"/>
                  </w:tcBorders>
                  <w:vAlign w:val="center"/>
                </w:tcPr>
                <w:p w14:paraId="75A2F5F4">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0.682 </w:t>
                  </w:r>
                </w:p>
              </w:tc>
              <w:tc>
                <w:tcPr>
                  <w:tcW w:w="456" w:type="pct"/>
                  <w:vMerge w:val="continue"/>
                  <w:tcBorders>
                    <w:left w:val="single" w:color="000000" w:sz="4" w:space="0"/>
                    <w:right w:val="single" w:color="000000" w:sz="4" w:space="0"/>
                  </w:tcBorders>
                  <w:vAlign w:val="center"/>
                </w:tcPr>
                <w:p w14:paraId="07C2925F">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4E75FC62">
                  <w:pPr>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eastAsiaTheme="minorEastAsia"/>
                      <w:color w:val="000000" w:themeColor="text1"/>
                      <w:sz w:val="21"/>
                      <w:szCs w:val="21"/>
                      <w:lang w:bidi="ar"/>
                    </w:rPr>
                    <w:t>40%</w:t>
                  </w:r>
                </w:p>
              </w:tc>
              <w:tc>
                <w:tcPr>
                  <w:tcW w:w="639" w:type="pct"/>
                  <w:tcBorders>
                    <w:top w:val="single" w:color="000000" w:sz="4" w:space="0"/>
                    <w:left w:val="single" w:color="000000" w:sz="4" w:space="0"/>
                    <w:bottom w:val="single" w:color="000000" w:sz="4" w:space="0"/>
                    <w:right w:val="single" w:color="000000" w:sz="4" w:space="0"/>
                  </w:tcBorders>
                  <w:vAlign w:val="center"/>
                </w:tcPr>
                <w:p w14:paraId="1F602C72">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90</w:t>
                  </w:r>
                </w:p>
              </w:tc>
              <w:tc>
                <w:tcPr>
                  <w:tcW w:w="932" w:type="dxa"/>
                  <w:tcBorders>
                    <w:top w:val="single" w:color="000000" w:sz="4" w:space="0"/>
                    <w:left w:val="single" w:color="000000" w:sz="4" w:space="0"/>
                    <w:bottom w:val="single" w:color="000000" w:sz="4" w:space="0"/>
                    <w:right w:val="single" w:color="000000" w:sz="4" w:space="0"/>
                  </w:tcBorders>
                  <w:vAlign w:val="center"/>
                </w:tcPr>
                <w:p w14:paraId="4795DA05">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0.409 </w:t>
                  </w:r>
                </w:p>
              </w:tc>
            </w:tr>
            <w:tr w14:paraId="3A28619F">
              <w:tblPrEx>
                <w:tblCellMar>
                  <w:top w:w="0" w:type="dxa"/>
                  <w:left w:w="108" w:type="dxa"/>
                  <w:bottom w:w="0" w:type="dxa"/>
                  <w:right w:w="108" w:type="dxa"/>
                </w:tblCellMar>
              </w:tblPrEx>
              <w:trPr>
                <w:trHeight w:val="356" w:hRule="atLeast"/>
                <w:jc w:val="center"/>
              </w:trPr>
              <w:tc>
                <w:tcPr>
                  <w:tcW w:w="477" w:type="pct"/>
                  <w:vMerge w:val="continue"/>
                  <w:tcBorders>
                    <w:left w:val="single" w:color="000000" w:sz="4" w:space="0"/>
                    <w:right w:val="single" w:color="000000" w:sz="4" w:space="0"/>
                  </w:tcBorders>
                  <w:vAlign w:val="center"/>
                </w:tcPr>
                <w:p w14:paraId="70751D0E">
                  <w:pPr>
                    <w:jc w:val="center"/>
                    <w:textAlignment w:val="center"/>
                    <w:rPr>
                      <w:rFonts w:ascii="Times New Roman" w:hAnsi="Times New Roman" w:cs="Times New Roman" w:eastAsiaTheme="minorEastAsia"/>
                      <w:color w:val="000000" w:themeColor="text1"/>
                      <w:sz w:val="21"/>
                      <w:szCs w:val="21"/>
                      <w:lang w:val="en-US" w:bidi="ar"/>
                    </w:rPr>
                  </w:pPr>
                </w:p>
              </w:tc>
              <w:tc>
                <w:tcPr>
                  <w:tcW w:w="596" w:type="pct"/>
                  <w:vMerge w:val="continue"/>
                  <w:tcBorders>
                    <w:left w:val="single" w:color="000000" w:sz="4" w:space="0"/>
                    <w:right w:val="single" w:color="000000" w:sz="4" w:space="0"/>
                  </w:tcBorders>
                  <w:vAlign w:val="center"/>
                </w:tcPr>
                <w:p w14:paraId="57E88D3B">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0F7F070C">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氨氮</w:t>
                  </w:r>
                </w:p>
              </w:tc>
              <w:tc>
                <w:tcPr>
                  <w:tcW w:w="637" w:type="pct"/>
                  <w:tcBorders>
                    <w:top w:val="single" w:color="000000" w:sz="4" w:space="0"/>
                    <w:left w:val="single" w:color="000000" w:sz="4" w:space="0"/>
                    <w:bottom w:val="single" w:color="000000" w:sz="4" w:space="0"/>
                    <w:right w:val="single" w:color="000000" w:sz="4" w:space="0"/>
                  </w:tcBorders>
                  <w:vAlign w:val="center"/>
                </w:tcPr>
                <w:p w14:paraId="173E1F71">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25</w:t>
                  </w:r>
                </w:p>
              </w:tc>
              <w:tc>
                <w:tcPr>
                  <w:tcW w:w="941" w:type="dxa"/>
                  <w:tcBorders>
                    <w:top w:val="single" w:color="000000" w:sz="4" w:space="0"/>
                    <w:left w:val="single" w:color="000000" w:sz="4" w:space="0"/>
                    <w:bottom w:val="single" w:color="000000" w:sz="4" w:space="0"/>
                    <w:right w:val="single" w:color="000000" w:sz="4" w:space="0"/>
                  </w:tcBorders>
                  <w:vAlign w:val="center"/>
                </w:tcPr>
                <w:p w14:paraId="454901D9">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0.114 </w:t>
                  </w:r>
                </w:p>
              </w:tc>
              <w:tc>
                <w:tcPr>
                  <w:tcW w:w="456" w:type="pct"/>
                  <w:vMerge w:val="continue"/>
                  <w:tcBorders>
                    <w:left w:val="single" w:color="000000" w:sz="4" w:space="0"/>
                    <w:right w:val="single" w:color="000000" w:sz="4" w:space="0"/>
                  </w:tcBorders>
                  <w:vAlign w:val="center"/>
                </w:tcPr>
                <w:p w14:paraId="1CD8CCD5">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4436C98A">
                  <w:pPr>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eastAsiaTheme="minorEastAsia"/>
                      <w:color w:val="000000" w:themeColor="text1"/>
                      <w:sz w:val="21"/>
                      <w:szCs w:val="21"/>
                      <w:lang w:bidi="ar"/>
                    </w:rPr>
                    <w:t>0</w:t>
                  </w:r>
                </w:p>
              </w:tc>
              <w:tc>
                <w:tcPr>
                  <w:tcW w:w="639" w:type="pct"/>
                  <w:tcBorders>
                    <w:top w:val="single" w:color="000000" w:sz="4" w:space="0"/>
                    <w:left w:val="single" w:color="000000" w:sz="4" w:space="0"/>
                    <w:bottom w:val="single" w:color="000000" w:sz="4" w:space="0"/>
                    <w:right w:val="single" w:color="000000" w:sz="4" w:space="0"/>
                  </w:tcBorders>
                  <w:vAlign w:val="center"/>
                </w:tcPr>
                <w:p w14:paraId="04DE9BE3">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25</w:t>
                  </w:r>
                </w:p>
              </w:tc>
              <w:tc>
                <w:tcPr>
                  <w:tcW w:w="932" w:type="dxa"/>
                  <w:tcBorders>
                    <w:top w:val="single" w:color="000000" w:sz="4" w:space="0"/>
                    <w:left w:val="single" w:color="000000" w:sz="4" w:space="0"/>
                    <w:bottom w:val="single" w:color="000000" w:sz="4" w:space="0"/>
                    <w:right w:val="single" w:color="000000" w:sz="4" w:space="0"/>
                  </w:tcBorders>
                  <w:vAlign w:val="center"/>
                </w:tcPr>
                <w:p w14:paraId="6B0F0464">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0.114 </w:t>
                  </w:r>
                </w:p>
              </w:tc>
            </w:tr>
            <w:tr w14:paraId="29E05A66">
              <w:tblPrEx>
                <w:tblCellMar>
                  <w:top w:w="0" w:type="dxa"/>
                  <w:left w:w="108" w:type="dxa"/>
                  <w:bottom w:w="0" w:type="dxa"/>
                  <w:right w:w="108" w:type="dxa"/>
                </w:tblCellMar>
              </w:tblPrEx>
              <w:trPr>
                <w:trHeight w:val="356" w:hRule="atLeast"/>
                <w:jc w:val="center"/>
              </w:trPr>
              <w:tc>
                <w:tcPr>
                  <w:tcW w:w="477" w:type="pct"/>
                  <w:vMerge w:val="continue"/>
                  <w:tcBorders>
                    <w:left w:val="single" w:color="000000" w:sz="4" w:space="0"/>
                    <w:right w:val="single" w:color="000000" w:sz="4" w:space="0"/>
                  </w:tcBorders>
                  <w:vAlign w:val="center"/>
                </w:tcPr>
                <w:p w14:paraId="3A35DCD1">
                  <w:pPr>
                    <w:jc w:val="center"/>
                    <w:textAlignment w:val="center"/>
                    <w:rPr>
                      <w:rFonts w:ascii="Times New Roman" w:hAnsi="Times New Roman" w:cs="Times New Roman" w:eastAsiaTheme="minorEastAsia"/>
                      <w:color w:val="000000" w:themeColor="text1"/>
                      <w:sz w:val="21"/>
                      <w:szCs w:val="21"/>
                      <w:lang w:val="en-US" w:bidi="ar"/>
                    </w:rPr>
                  </w:pPr>
                </w:p>
              </w:tc>
              <w:tc>
                <w:tcPr>
                  <w:tcW w:w="596" w:type="pct"/>
                  <w:vMerge w:val="continue"/>
                  <w:tcBorders>
                    <w:left w:val="single" w:color="000000" w:sz="4" w:space="0"/>
                    <w:right w:val="single" w:color="000000" w:sz="4" w:space="0"/>
                  </w:tcBorders>
                  <w:vAlign w:val="center"/>
                </w:tcPr>
                <w:p w14:paraId="3F64FF6A">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20A755E8">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SS</w:t>
                  </w:r>
                </w:p>
              </w:tc>
              <w:tc>
                <w:tcPr>
                  <w:tcW w:w="637" w:type="pct"/>
                  <w:tcBorders>
                    <w:top w:val="single" w:color="000000" w:sz="4" w:space="0"/>
                    <w:left w:val="single" w:color="000000" w:sz="4" w:space="0"/>
                    <w:bottom w:val="single" w:color="000000" w:sz="4" w:space="0"/>
                    <w:right w:val="single" w:color="000000" w:sz="4" w:space="0"/>
                  </w:tcBorders>
                  <w:vAlign w:val="center"/>
                </w:tcPr>
                <w:p w14:paraId="4E977B4C">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150</w:t>
                  </w:r>
                </w:p>
              </w:tc>
              <w:tc>
                <w:tcPr>
                  <w:tcW w:w="941" w:type="dxa"/>
                  <w:tcBorders>
                    <w:top w:val="single" w:color="000000" w:sz="4" w:space="0"/>
                    <w:left w:val="single" w:color="000000" w:sz="4" w:space="0"/>
                    <w:bottom w:val="single" w:color="000000" w:sz="4" w:space="0"/>
                    <w:right w:val="single" w:color="000000" w:sz="4" w:space="0"/>
                  </w:tcBorders>
                  <w:vAlign w:val="center"/>
                </w:tcPr>
                <w:p w14:paraId="24620088">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0.682 </w:t>
                  </w:r>
                </w:p>
              </w:tc>
              <w:tc>
                <w:tcPr>
                  <w:tcW w:w="456" w:type="pct"/>
                  <w:vMerge w:val="continue"/>
                  <w:tcBorders>
                    <w:left w:val="single" w:color="000000" w:sz="4" w:space="0"/>
                    <w:right w:val="single" w:color="000000" w:sz="4" w:space="0"/>
                  </w:tcBorders>
                  <w:vAlign w:val="center"/>
                </w:tcPr>
                <w:p w14:paraId="5EBB26CA">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4CCBF4DD">
                  <w:pPr>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eastAsiaTheme="minorEastAsia"/>
                      <w:color w:val="000000" w:themeColor="text1"/>
                      <w:sz w:val="21"/>
                      <w:szCs w:val="21"/>
                      <w:lang w:bidi="ar"/>
                    </w:rPr>
                    <w:t>70%</w:t>
                  </w:r>
                </w:p>
              </w:tc>
              <w:tc>
                <w:tcPr>
                  <w:tcW w:w="639" w:type="pct"/>
                  <w:tcBorders>
                    <w:top w:val="single" w:color="000000" w:sz="4" w:space="0"/>
                    <w:left w:val="single" w:color="000000" w:sz="4" w:space="0"/>
                    <w:bottom w:val="single" w:color="000000" w:sz="4" w:space="0"/>
                    <w:right w:val="single" w:color="000000" w:sz="4" w:space="0"/>
                  </w:tcBorders>
                  <w:vAlign w:val="center"/>
                </w:tcPr>
                <w:p w14:paraId="477DA830">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45</w:t>
                  </w:r>
                </w:p>
              </w:tc>
              <w:tc>
                <w:tcPr>
                  <w:tcW w:w="932" w:type="dxa"/>
                  <w:tcBorders>
                    <w:top w:val="single" w:color="000000" w:sz="4" w:space="0"/>
                    <w:left w:val="single" w:color="000000" w:sz="4" w:space="0"/>
                    <w:bottom w:val="single" w:color="000000" w:sz="4" w:space="0"/>
                    <w:right w:val="single" w:color="000000" w:sz="4" w:space="0"/>
                  </w:tcBorders>
                  <w:vAlign w:val="center"/>
                </w:tcPr>
                <w:p w14:paraId="3AAA147A">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0.205 </w:t>
                  </w:r>
                </w:p>
              </w:tc>
            </w:tr>
            <w:tr w14:paraId="778086B0">
              <w:tblPrEx>
                <w:tblCellMar>
                  <w:top w:w="0" w:type="dxa"/>
                  <w:left w:w="108" w:type="dxa"/>
                  <w:bottom w:w="0" w:type="dxa"/>
                  <w:right w:w="108" w:type="dxa"/>
                </w:tblCellMar>
              </w:tblPrEx>
              <w:trPr>
                <w:trHeight w:val="356" w:hRule="atLeast"/>
                <w:jc w:val="center"/>
              </w:trPr>
              <w:tc>
                <w:tcPr>
                  <w:tcW w:w="477" w:type="pct"/>
                  <w:vMerge w:val="continue"/>
                  <w:tcBorders>
                    <w:left w:val="single" w:color="000000" w:sz="4" w:space="0"/>
                    <w:bottom w:val="single" w:color="auto" w:sz="4" w:space="0"/>
                    <w:right w:val="single" w:color="000000" w:sz="4" w:space="0"/>
                  </w:tcBorders>
                  <w:vAlign w:val="center"/>
                </w:tcPr>
                <w:p w14:paraId="1EF8B8DF">
                  <w:pPr>
                    <w:jc w:val="center"/>
                    <w:textAlignment w:val="center"/>
                    <w:rPr>
                      <w:rFonts w:ascii="Times New Roman" w:hAnsi="Times New Roman" w:cs="Times New Roman" w:eastAsiaTheme="minorEastAsia"/>
                      <w:color w:val="000000" w:themeColor="text1"/>
                      <w:sz w:val="21"/>
                      <w:szCs w:val="21"/>
                      <w:lang w:val="en-US" w:bidi="ar"/>
                    </w:rPr>
                  </w:pPr>
                </w:p>
              </w:tc>
              <w:tc>
                <w:tcPr>
                  <w:tcW w:w="596" w:type="pct"/>
                  <w:vMerge w:val="continue"/>
                  <w:tcBorders>
                    <w:left w:val="single" w:color="000000" w:sz="4" w:space="0"/>
                    <w:bottom w:val="single" w:color="auto" w:sz="4" w:space="0"/>
                    <w:right w:val="single" w:color="000000" w:sz="4" w:space="0"/>
                  </w:tcBorders>
                  <w:vAlign w:val="center"/>
                </w:tcPr>
                <w:p w14:paraId="46D9173B">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000000" w:sz="4" w:space="0"/>
                    <w:left w:val="single" w:color="000000" w:sz="4" w:space="0"/>
                    <w:bottom w:val="single" w:color="auto" w:sz="4" w:space="0"/>
                    <w:right w:val="single" w:color="000000" w:sz="4" w:space="0"/>
                  </w:tcBorders>
                  <w:vAlign w:val="center"/>
                </w:tcPr>
                <w:p w14:paraId="115D1292">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动植物油</w:t>
                  </w:r>
                </w:p>
              </w:tc>
              <w:tc>
                <w:tcPr>
                  <w:tcW w:w="637" w:type="pct"/>
                  <w:tcBorders>
                    <w:top w:val="single" w:color="000000" w:sz="4" w:space="0"/>
                    <w:left w:val="single" w:color="000000" w:sz="4" w:space="0"/>
                    <w:bottom w:val="single" w:color="000000" w:sz="4" w:space="0"/>
                    <w:right w:val="single" w:color="000000" w:sz="4" w:space="0"/>
                  </w:tcBorders>
                  <w:vAlign w:val="center"/>
                </w:tcPr>
                <w:p w14:paraId="3A9E203D">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15</w:t>
                  </w:r>
                </w:p>
              </w:tc>
              <w:tc>
                <w:tcPr>
                  <w:tcW w:w="941" w:type="dxa"/>
                  <w:tcBorders>
                    <w:top w:val="single" w:color="000000" w:sz="4" w:space="0"/>
                    <w:left w:val="single" w:color="000000" w:sz="4" w:space="0"/>
                    <w:bottom w:val="single" w:color="000000" w:sz="4" w:space="0"/>
                    <w:right w:val="single" w:color="000000" w:sz="4" w:space="0"/>
                  </w:tcBorders>
                  <w:vAlign w:val="center"/>
                </w:tcPr>
                <w:p w14:paraId="5F479CA6">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0.068 </w:t>
                  </w:r>
                </w:p>
              </w:tc>
              <w:tc>
                <w:tcPr>
                  <w:tcW w:w="456" w:type="pct"/>
                  <w:vMerge w:val="continue"/>
                  <w:tcBorders>
                    <w:left w:val="single" w:color="000000" w:sz="4" w:space="0"/>
                    <w:right w:val="single" w:color="000000" w:sz="4" w:space="0"/>
                  </w:tcBorders>
                  <w:vAlign w:val="center"/>
                </w:tcPr>
                <w:p w14:paraId="59517A00">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25C228D8">
                  <w:pPr>
                    <w:jc w:val="center"/>
                    <w:textAlignment w:val="center"/>
                    <w:rPr>
                      <w:rFonts w:ascii="Times New Roman" w:hAnsi="Times New Roman" w:cs="Times New Roman" w:eastAsiaTheme="minorEastAsia"/>
                      <w:color w:val="000000" w:themeColor="text1"/>
                      <w:sz w:val="21"/>
                      <w:szCs w:val="21"/>
                      <w:lang w:val="en-US" w:bidi="ar"/>
                    </w:rPr>
                  </w:pPr>
                  <w:r>
                    <w:rPr>
                      <w:rFonts w:hint="eastAsia" w:ascii="Times New Roman" w:hAnsi="Times New Roman" w:cs="Times New Roman" w:eastAsiaTheme="minorEastAsia"/>
                      <w:color w:val="000000" w:themeColor="text1"/>
                      <w:sz w:val="21"/>
                      <w:szCs w:val="21"/>
                      <w:lang w:val="en-US" w:bidi="ar"/>
                    </w:rPr>
                    <w:t>80</w:t>
                  </w:r>
                  <w:r>
                    <w:rPr>
                      <w:rFonts w:ascii="Times New Roman" w:hAnsi="Times New Roman" w:cs="Times New Roman" w:eastAsiaTheme="minorEastAsia"/>
                      <w:color w:val="000000" w:themeColor="text1"/>
                      <w:sz w:val="21"/>
                      <w:szCs w:val="21"/>
                      <w:lang w:bidi="ar"/>
                    </w:rPr>
                    <w:t>%</w:t>
                  </w:r>
                </w:p>
              </w:tc>
              <w:tc>
                <w:tcPr>
                  <w:tcW w:w="639" w:type="pct"/>
                  <w:tcBorders>
                    <w:top w:val="single" w:color="000000" w:sz="4" w:space="0"/>
                    <w:left w:val="single" w:color="000000" w:sz="4" w:space="0"/>
                    <w:bottom w:val="single" w:color="000000" w:sz="4" w:space="0"/>
                    <w:right w:val="single" w:color="000000" w:sz="4" w:space="0"/>
                  </w:tcBorders>
                  <w:vAlign w:val="center"/>
                </w:tcPr>
                <w:p w14:paraId="24A5ADF4">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3</w:t>
                  </w:r>
                </w:p>
              </w:tc>
              <w:tc>
                <w:tcPr>
                  <w:tcW w:w="932" w:type="dxa"/>
                  <w:tcBorders>
                    <w:top w:val="single" w:color="000000" w:sz="4" w:space="0"/>
                    <w:left w:val="single" w:color="000000" w:sz="4" w:space="0"/>
                    <w:bottom w:val="single" w:color="000000" w:sz="4" w:space="0"/>
                    <w:right w:val="single" w:color="000000" w:sz="4" w:space="0"/>
                  </w:tcBorders>
                  <w:vAlign w:val="center"/>
                </w:tcPr>
                <w:p w14:paraId="030F280F">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0.014 </w:t>
                  </w:r>
                </w:p>
              </w:tc>
            </w:tr>
            <w:tr w14:paraId="71841D38">
              <w:tblPrEx>
                <w:tblCellMar>
                  <w:top w:w="0" w:type="dxa"/>
                  <w:left w:w="108" w:type="dxa"/>
                  <w:bottom w:w="0" w:type="dxa"/>
                  <w:right w:w="108" w:type="dxa"/>
                </w:tblCellMar>
              </w:tblPrEx>
              <w:trPr>
                <w:trHeight w:val="356" w:hRule="atLeast"/>
                <w:jc w:val="center"/>
              </w:trPr>
              <w:tc>
                <w:tcPr>
                  <w:tcW w:w="477" w:type="pct"/>
                  <w:vMerge w:val="restart"/>
                  <w:tcBorders>
                    <w:top w:val="single" w:color="auto" w:sz="4" w:space="0"/>
                    <w:left w:val="single" w:color="auto" w:sz="4" w:space="0"/>
                    <w:bottom w:val="single" w:color="auto" w:sz="4" w:space="0"/>
                    <w:right w:val="single" w:color="auto" w:sz="4" w:space="0"/>
                  </w:tcBorders>
                  <w:vAlign w:val="center"/>
                </w:tcPr>
                <w:p w14:paraId="18BBF378">
                  <w:pPr>
                    <w:jc w:val="center"/>
                    <w:textAlignment w:val="center"/>
                    <w:rPr>
                      <w:rFonts w:ascii="Times New Roman" w:hAnsi="Times New Roman" w:cs="Times New Roman" w:eastAsiaTheme="minorEastAsia"/>
                      <w:color w:val="000000" w:themeColor="text1"/>
                      <w:sz w:val="21"/>
                      <w:szCs w:val="21"/>
                      <w:lang w:val="en-US" w:bidi="ar"/>
                    </w:rPr>
                  </w:pPr>
                  <w:r>
                    <w:rPr>
                      <w:rFonts w:hint="eastAsia" w:ascii="Times New Roman" w:hAnsi="Times New Roman" w:cs="Times New Roman" w:eastAsiaTheme="minorEastAsia"/>
                      <w:color w:val="000000" w:themeColor="text1"/>
                      <w:sz w:val="21"/>
                      <w:szCs w:val="21"/>
                      <w:lang w:val="en-US" w:bidi="ar"/>
                    </w:rPr>
                    <w:t>在建项目食堂废水</w:t>
                  </w:r>
                </w:p>
              </w:tc>
              <w:tc>
                <w:tcPr>
                  <w:tcW w:w="596" w:type="pct"/>
                  <w:vMerge w:val="restart"/>
                  <w:tcBorders>
                    <w:top w:val="single" w:color="auto" w:sz="4" w:space="0"/>
                    <w:left w:val="single" w:color="auto" w:sz="4" w:space="0"/>
                    <w:right w:val="single" w:color="auto" w:sz="4" w:space="0"/>
                  </w:tcBorders>
                  <w:vAlign w:val="center"/>
                </w:tcPr>
                <w:p w14:paraId="7D7811CA">
                  <w:pPr>
                    <w:jc w:val="center"/>
                    <w:textAlignment w:val="center"/>
                    <w:rPr>
                      <w:rFonts w:ascii="Times New Roman" w:hAnsi="Times New Roman" w:cs="Times New Roman" w:eastAsiaTheme="minorEastAsia"/>
                      <w:color w:val="000000" w:themeColor="text1"/>
                      <w:sz w:val="21"/>
                      <w:szCs w:val="21"/>
                      <w:lang w:val="en-US" w:bidi="ar"/>
                    </w:rPr>
                  </w:pPr>
                  <w:r>
                    <w:rPr>
                      <w:rFonts w:hint="eastAsia" w:ascii="Times New Roman" w:hAnsi="Times New Roman" w:cs="Times New Roman" w:eastAsiaTheme="minorEastAsia"/>
                      <w:color w:val="000000" w:themeColor="text1"/>
                      <w:sz w:val="21"/>
                      <w:szCs w:val="21"/>
                      <w:lang w:val="en-US" w:bidi="ar"/>
                    </w:rPr>
                    <w:t>912.5</w:t>
                  </w:r>
                </w:p>
              </w:tc>
              <w:tc>
                <w:tcPr>
                  <w:tcW w:w="640" w:type="pct"/>
                  <w:tcBorders>
                    <w:top w:val="single" w:color="auto" w:sz="4" w:space="0"/>
                    <w:left w:val="single" w:color="auto" w:sz="4" w:space="0"/>
                    <w:bottom w:val="single" w:color="auto" w:sz="4" w:space="0"/>
                    <w:right w:val="single" w:color="auto" w:sz="4" w:space="0"/>
                  </w:tcBorders>
                  <w:vAlign w:val="center"/>
                </w:tcPr>
                <w:p w14:paraId="024F725D">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CODcr</w:t>
                  </w:r>
                </w:p>
              </w:tc>
              <w:tc>
                <w:tcPr>
                  <w:tcW w:w="637" w:type="pct"/>
                  <w:tcBorders>
                    <w:top w:val="single" w:color="000000" w:sz="4" w:space="0"/>
                    <w:left w:val="single" w:color="auto" w:sz="4" w:space="0"/>
                    <w:bottom w:val="single" w:color="000000" w:sz="4" w:space="0"/>
                    <w:right w:val="single" w:color="000000" w:sz="4" w:space="0"/>
                  </w:tcBorders>
                  <w:vAlign w:val="center"/>
                </w:tcPr>
                <w:p w14:paraId="3CE3168D">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250</w:t>
                  </w:r>
                </w:p>
              </w:tc>
              <w:tc>
                <w:tcPr>
                  <w:tcW w:w="941" w:type="dxa"/>
                  <w:tcBorders>
                    <w:top w:val="single" w:color="000000" w:sz="4" w:space="0"/>
                    <w:left w:val="single" w:color="000000" w:sz="4" w:space="0"/>
                    <w:bottom w:val="single" w:color="000000" w:sz="4" w:space="0"/>
                    <w:right w:val="single" w:color="000000" w:sz="4" w:space="0"/>
                  </w:tcBorders>
                  <w:vAlign w:val="center"/>
                </w:tcPr>
                <w:p w14:paraId="6EE504FA">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0.228 </w:t>
                  </w:r>
                </w:p>
              </w:tc>
              <w:tc>
                <w:tcPr>
                  <w:tcW w:w="456" w:type="pct"/>
                  <w:vMerge w:val="continue"/>
                  <w:tcBorders>
                    <w:left w:val="single" w:color="000000" w:sz="4" w:space="0"/>
                    <w:right w:val="single" w:color="000000" w:sz="4" w:space="0"/>
                  </w:tcBorders>
                  <w:vAlign w:val="center"/>
                </w:tcPr>
                <w:p w14:paraId="62FCCEEC">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179B275A">
                  <w:pPr>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eastAsiaTheme="minorEastAsia"/>
                      <w:color w:val="000000" w:themeColor="text1"/>
                      <w:sz w:val="21"/>
                      <w:szCs w:val="21"/>
                      <w:lang w:bidi="ar"/>
                    </w:rPr>
                    <w:t>30%</w:t>
                  </w:r>
                </w:p>
              </w:tc>
              <w:tc>
                <w:tcPr>
                  <w:tcW w:w="639" w:type="pct"/>
                  <w:tcBorders>
                    <w:top w:val="single" w:color="000000" w:sz="4" w:space="0"/>
                    <w:left w:val="single" w:color="000000" w:sz="4" w:space="0"/>
                    <w:bottom w:val="single" w:color="000000" w:sz="4" w:space="0"/>
                    <w:right w:val="single" w:color="000000" w:sz="4" w:space="0"/>
                  </w:tcBorders>
                  <w:vAlign w:val="center"/>
                </w:tcPr>
                <w:p w14:paraId="36416596">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175</w:t>
                  </w:r>
                </w:p>
              </w:tc>
              <w:tc>
                <w:tcPr>
                  <w:tcW w:w="932" w:type="dxa"/>
                  <w:tcBorders>
                    <w:top w:val="single" w:color="000000" w:sz="4" w:space="0"/>
                    <w:left w:val="single" w:color="000000" w:sz="4" w:space="0"/>
                    <w:bottom w:val="single" w:color="000000" w:sz="4" w:space="0"/>
                    <w:right w:val="single" w:color="000000" w:sz="4" w:space="0"/>
                  </w:tcBorders>
                  <w:vAlign w:val="center"/>
                </w:tcPr>
                <w:p w14:paraId="05E306AF">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0.160 </w:t>
                  </w:r>
                </w:p>
              </w:tc>
            </w:tr>
            <w:tr w14:paraId="7B8A2238">
              <w:tblPrEx>
                <w:tblCellMar>
                  <w:top w:w="0" w:type="dxa"/>
                  <w:left w:w="108" w:type="dxa"/>
                  <w:bottom w:w="0" w:type="dxa"/>
                  <w:right w:w="108" w:type="dxa"/>
                </w:tblCellMar>
              </w:tblPrEx>
              <w:trPr>
                <w:trHeight w:val="356" w:hRule="atLeast"/>
                <w:jc w:val="center"/>
              </w:trPr>
              <w:tc>
                <w:tcPr>
                  <w:tcW w:w="477" w:type="pct"/>
                  <w:vMerge w:val="continue"/>
                  <w:tcBorders>
                    <w:top w:val="single" w:color="auto" w:sz="4" w:space="0"/>
                    <w:left w:val="single" w:color="auto" w:sz="4" w:space="0"/>
                    <w:bottom w:val="single" w:color="auto" w:sz="4" w:space="0"/>
                    <w:right w:val="single" w:color="auto" w:sz="4" w:space="0"/>
                  </w:tcBorders>
                  <w:vAlign w:val="center"/>
                </w:tcPr>
                <w:p w14:paraId="7461EFA4">
                  <w:pPr>
                    <w:jc w:val="center"/>
                    <w:textAlignment w:val="center"/>
                    <w:rPr>
                      <w:rFonts w:ascii="Times New Roman" w:hAnsi="Times New Roman" w:cs="Times New Roman" w:eastAsiaTheme="minorEastAsia"/>
                      <w:color w:val="000000" w:themeColor="text1"/>
                      <w:sz w:val="21"/>
                      <w:szCs w:val="21"/>
                      <w:lang w:val="en-US" w:bidi="ar"/>
                    </w:rPr>
                  </w:pPr>
                </w:p>
              </w:tc>
              <w:tc>
                <w:tcPr>
                  <w:tcW w:w="596" w:type="pct"/>
                  <w:vMerge w:val="continue"/>
                  <w:tcBorders>
                    <w:left w:val="single" w:color="auto" w:sz="4" w:space="0"/>
                    <w:right w:val="single" w:color="auto" w:sz="4" w:space="0"/>
                  </w:tcBorders>
                  <w:vAlign w:val="center"/>
                </w:tcPr>
                <w:p w14:paraId="6C3361FC">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auto" w:sz="4" w:space="0"/>
                    <w:left w:val="single" w:color="auto" w:sz="4" w:space="0"/>
                    <w:bottom w:val="single" w:color="auto" w:sz="4" w:space="0"/>
                    <w:right w:val="single" w:color="auto" w:sz="4" w:space="0"/>
                  </w:tcBorders>
                  <w:vAlign w:val="center"/>
                </w:tcPr>
                <w:p w14:paraId="0A42E0AF">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BOD</w:t>
                  </w:r>
                  <w:r>
                    <w:rPr>
                      <w:rFonts w:ascii="Times New Roman" w:hAnsi="Times New Roman" w:cs="Times New Roman" w:eastAsiaTheme="minorEastAsia"/>
                      <w:color w:val="000000" w:themeColor="text1"/>
                      <w:sz w:val="21"/>
                      <w:szCs w:val="21"/>
                      <w:vertAlign w:val="subscript"/>
                      <w:lang w:bidi="ar"/>
                    </w:rPr>
                    <w:t>5</w:t>
                  </w:r>
                </w:p>
              </w:tc>
              <w:tc>
                <w:tcPr>
                  <w:tcW w:w="637" w:type="pct"/>
                  <w:tcBorders>
                    <w:top w:val="single" w:color="000000" w:sz="4" w:space="0"/>
                    <w:left w:val="single" w:color="auto" w:sz="4" w:space="0"/>
                    <w:bottom w:val="single" w:color="000000" w:sz="4" w:space="0"/>
                    <w:right w:val="single" w:color="000000" w:sz="4" w:space="0"/>
                  </w:tcBorders>
                  <w:vAlign w:val="center"/>
                </w:tcPr>
                <w:p w14:paraId="42B24ED9">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150</w:t>
                  </w:r>
                </w:p>
              </w:tc>
              <w:tc>
                <w:tcPr>
                  <w:tcW w:w="941" w:type="dxa"/>
                  <w:tcBorders>
                    <w:top w:val="single" w:color="000000" w:sz="4" w:space="0"/>
                    <w:left w:val="single" w:color="000000" w:sz="4" w:space="0"/>
                    <w:bottom w:val="single" w:color="000000" w:sz="4" w:space="0"/>
                    <w:right w:val="single" w:color="000000" w:sz="4" w:space="0"/>
                  </w:tcBorders>
                  <w:vAlign w:val="center"/>
                </w:tcPr>
                <w:p w14:paraId="4D87BA4A">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0.137 </w:t>
                  </w:r>
                </w:p>
              </w:tc>
              <w:tc>
                <w:tcPr>
                  <w:tcW w:w="456" w:type="pct"/>
                  <w:vMerge w:val="continue"/>
                  <w:tcBorders>
                    <w:left w:val="single" w:color="000000" w:sz="4" w:space="0"/>
                    <w:right w:val="single" w:color="000000" w:sz="4" w:space="0"/>
                  </w:tcBorders>
                  <w:vAlign w:val="center"/>
                </w:tcPr>
                <w:p w14:paraId="6B029274">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5CB969B8">
                  <w:pPr>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eastAsiaTheme="minorEastAsia"/>
                      <w:color w:val="000000" w:themeColor="text1"/>
                      <w:sz w:val="21"/>
                      <w:szCs w:val="21"/>
                      <w:lang w:bidi="ar"/>
                    </w:rPr>
                    <w:t>40%</w:t>
                  </w:r>
                </w:p>
              </w:tc>
              <w:tc>
                <w:tcPr>
                  <w:tcW w:w="639" w:type="pct"/>
                  <w:tcBorders>
                    <w:top w:val="single" w:color="000000" w:sz="4" w:space="0"/>
                    <w:left w:val="single" w:color="000000" w:sz="4" w:space="0"/>
                    <w:bottom w:val="single" w:color="000000" w:sz="4" w:space="0"/>
                    <w:right w:val="single" w:color="000000" w:sz="4" w:space="0"/>
                  </w:tcBorders>
                  <w:vAlign w:val="center"/>
                </w:tcPr>
                <w:p w14:paraId="5019A22B">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90</w:t>
                  </w:r>
                </w:p>
              </w:tc>
              <w:tc>
                <w:tcPr>
                  <w:tcW w:w="932" w:type="dxa"/>
                  <w:tcBorders>
                    <w:top w:val="single" w:color="000000" w:sz="4" w:space="0"/>
                    <w:left w:val="single" w:color="000000" w:sz="4" w:space="0"/>
                    <w:bottom w:val="single" w:color="000000" w:sz="4" w:space="0"/>
                    <w:right w:val="single" w:color="000000" w:sz="4" w:space="0"/>
                  </w:tcBorders>
                  <w:vAlign w:val="center"/>
                </w:tcPr>
                <w:p w14:paraId="026F1BCC">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0.082 </w:t>
                  </w:r>
                </w:p>
              </w:tc>
            </w:tr>
            <w:tr w14:paraId="49B08F31">
              <w:tblPrEx>
                <w:tblCellMar>
                  <w:top w:w="0" w:type="dxa"/>
                  <w:left w:w="108" w:type="dxa"/>
                  <w:bottom w:w="0" w:type="dxa"/>
                  <w:right w:w="108" w:type="dxa"/>
                </w:tblCellMar>
              </w:tblPrEx>
              <w:trPr>
                <w:trHeight w:val="356" w:hRule="atLeast"/>
                <w:jc w:val="center"/>
              </w:trPr>
              <w:tc>
                <w:tcPr>
                  <w:tcW w:w="477" w:type="pct"/>
                  <w:vMerge w:val="continue"/>
                  <w:tcBorders>
                    <w:top w:val="single" w:color="auto" w:sz="4" w:space="0"/>
                    <w:left w:val="single" w:color="auto" w:sz="4" w:space="0"/>
                    <w:bottom w:val="single" w:color="auto" w:sz="4" w:space="0"/>
                    <w:right w:val="single" w:color="auto" w:sz="4" w:space="0"/>
                  </w:tcBorders>
                  <w:vAlign w:val="center"/>
                </w:tcPr>
                <w:p w14:paraId="7D4FB8A0">
                  <w:pPr>
                    <w:jc w:val="center"/>
                    <w:textAlignment w:val="center"/>
                    <w:rPr>
                      <w:rFonts w:ascii="Times New Roman" w:hAnsi="Times New Roman" w:cs="Times New Roman" w:eastAsiaTheme="minorEastAsia"/>
                      <w:color w:val="000000" w:themeColor="text1"/>
                      <w:sz w:val="21"/>
                      <w:szCs w:val="21"/>
                      <w:lang w:val="en-US" w:bidi="ar"/>
                    </w:rPr>
                  </w:pPr>
                </w:p>
              </w:tc>
              <w:tc>
                <w:tcPr>
                  <w:tcW w:w="596" w:type="pct"/>
                  <w:vMerge w:val="continue"/>
                  <w:tcBorders>
                    <w:left w:val="single" w:color="auto" w:sz="4" w:space="0"/>
                    <w:right w:val="single" w:color="auto" w:sz="4" w:space="0"/>
                  </w:tcBorders>
                  <w:vAlign w:val="center"/>
                </w:tcPr>
                <w:p w14:paraId="766AD3D3">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auto" w:sz="4" w:space="0"/>
                    <w:left w:val="single" w:color="auto" w:sz="4" w:space="0"/>
                    <w:bottom w:val="single" w:color="auto" w:sz="4" w:space="0"/>
                    <w:right w:val="single" w:color="auto" w:sz="4" w:space="0"/>
                  </w:tcBorders>
                  <w:vAlign w:val="center"/>
                </w:tcPr>
                <w:p w14:paraId="7B4D2FAC">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氨氮</w:t>
                  </w:r>
                </w:p>
              </w:tc>
              <w:tc>
                <w:tcPr>
                  <w:tcW w:w="637" w:type="pct"/>
                  <w:tcBorders>
                    <w:top w:val="single" w:color="000000" w:sz="4" w:space="0"/>
                    <w:left w:val="single" w:color="auto" w:sz="4" w:space="0"/>
                    <w:bottom w:val="single" w:color="000000" w:sz="4" w:space="0"/>
                    <w:right w:val="single" w:color="000000" w:sz="4" w:space="0"/>
                  </w:tcBorders>
                  <w:vAlign w:val="center"/>
                </w:tcPr>
                <w:p w14:paraId="5B2ADA96">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25</w:t>
                  </w:r>
                </w:p>
              </w:tc>
              <w:tc>
                <w:tcPr>
                  <w:tcW w:w="941" w:type="dxa"/>
                  <w:tcBorders>
                    <w:top w:val="single" w:color="000000" w:sz="4" w:space="0"/>
                    <w:left w:val="single" w:color="000000" w:sz="4" w:space="0"/>
                    <w:bottom w:val="single" w:color="000000" w:sz="4" w:space="0"/>
                    <w:right w:val="single" w:color="000000" w:sz="4" w:space="0"/>
                  </w:tcBorders>
                  <w:vAlign w:val="center"/>
                </w:tcPr>
                <w:p w14:paraId="16108523">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0.023 </w:t>
                  </w:r>
                </w:p>
              </w:tc>
              <w:tc>
                <w:tcPr>
                  <w:tcW w:w="456" w:type="pct"/>
                  <w:vMerge w:val="continue"/>
                  <w:tcBorders>
                    <w:left w:val="single" w:color="000000" w:sz="4" w:space="0"/>
                    <w:right w:val="single" w:color="000000" w:sz="4" w:space="0"/>
                  </w:tcBorders>
                  <w:vAlign w:val="center"/>
                </w:tcPr>
                <w:p w14:paraId="12D03E9F">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59FF285C">
                  <w:pPr>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eastAsiaTheme="minorEastAsia"/>
                      <w:color w:val="000000" w:themeColor="text1"/>
                      <w:sz w:val="21"/>
                      <w:szCs w:val="21"/>
                      <w:lang w:bidi="ar"/>
                    </w:rPr>
                    <w:t>0</w:t>
                  </w:r>
                </w:p>
              </w:tc>
              <w:tc>
                <w:tcPr>
                  <w:tcW w:w="639" w:type="pct"/>
                  <w:tcBorders>
                    <w:top w:val="single" w:color="000000" w:sz="4" w:space="0"/>
                    <w:left w:val="single" w:color="000000" w:sz="4" w:space="0"/>
                    <w:bottom w:val="single" w:color="000000" w:sz="4" w:space="0"/>
                    <w:right w:val="single" w:color="000000" w:sz="4" w:space="0"/>
                  </w:tcBorders>
                  <w:vAlign w:val="center"/>
                </w:tcPr>
                <w:p w14:paraId="2CBC4004">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25</w:t>
                  </w:r>
                </w:p>
              </w:tc>
              <w:tc>
                <w:tcPr>
                  <w:tcW w:w="932" w:type="dxa"/>
                  <w:tcBorders>
                    <w:top w:val="single" w:color="000000" w:sz="4" w:space="0"/>
                    <w:left w:val="single" w:color="000000" w:sz="4" w:space="0"/>
                    <w:bottom w:val="single" w:color="000000" w:sz="4" w:space="0"/>
                    <w:right w:val="single" w:color="000000" w:sz="4" w:space="0"/>
                  </w:tcBorders>
                  <w:vAlign w:val="center"/>
                </w:tcPr>
                <w:p w14:paraId="4CF0B730">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0.023 </w:t>
                  </w:r>
                </w:p>
              </w:tc>
            </w:tr>
            <w:tr w14:paraId="6026FA0E">
              <w:tblPrEx>
                <w:tblCellMar>
                  <w:top w:w="0" w:type="dxa"/>
                  <w:left w:w="108" w:type="dxa"/>
                  <w:bottom w:w="0" w:type="dxa"/>
                  <w:right w:w="108" w:type="dxa"/>
                </w:tblCellMar>
              </w:tblPrEx>
              <w:trPr>
                <w:trHeight w:val="356" w:hRule="atLeast"/>
                <w:jc w:val="center"/>
              </w:trPr>
              <w:tc>
                <w:tcPr>
                  <w:tcW w:w="477" w:type="pct"/>
                  <w:vMerge w:val="continue"/>
                  <w:tcBorders>
                    <w:top w:val="single" w:color="auto" w:sz="4" w:space="0"/>
                    <w:left w:val="single" w:color="auto" w:sz="4" w:space="0"/>
                    <w:bottom w:val="single" w:color="auto" w:sz="4" w:space="0"/>
                    <w:right w:val="single" w:color="auto" w:sz="4" w:space="0"/>
                  </w:tcBorders>
                  <w:vAlign w:val="center"/>
                </w:tcPr>
                <w:p w14:paraId="15723414">
                  <w:pPr>
                    <w:jc w:val="center"/>
                    <w:textAlignment w:val="center"/>
                    <w:rPr>
                      <w:rFonts w:ascii="Times New Roman" w:hAnsi="Times New Roman" w:cs="Times New Roman" w:eastAsiaTheme="minorEastAsia"/>
                      <w:color w:val="000000" w:themeColor="text1"/>
                      <w:sz w:val="21"/>
                      <w:szCs w:val="21"/>
                      <w:lang w:val="en-US" w:bidi="ar"/>
                    </w:rPr>
                  </w:pPr>
                </w:p>
              </w:tc>
              <w:tc>
                <w:tcPr>
                  <w:tcW w:w="596" w:type="pct"/>
                  <w:vMerge w:val="continue"/>
                  <w:tcBorders>
                    <w:left w:val="single" w:color="auto" w:sz="4" w:space="0"/>
                    <w:right w:val="single" w:color="auto" w:sz="4" w:space="0"/>
                  </w:tcBorders>
                  <w:vAlign w:val="center"/>
                </w:tcPr>
                <w:p w14:paraId="59449E9C">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auto" w:sz="4" w:space="0"/>
                    <w:left w:val="single" w:color="auto" w:sz="4" w:space="0"/>
                    <w:bottom w:val="single" w:color="auto" w:sz="4" w:space="0"/>
                    <w:right w:val="single" w:color="auto" w:sz="4" w:space="0"/>
                  </w:tcBorders>
                  <w:vAlign w:val="center"/>
                </w:tcPr>
                <w:p w14:paraId="38859B1E">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SS</w:t>
                  </w:r>
                </w:p>
              </w:tc>
              <w:tc>
                <w:tcPr>
                  <w:tcW w:w="637" w:type="pct"/>
                  <w:tcBorders>
                    <w:top w:val="single" w:color="000000" w:sz="4" w:space="0"/>
                    <w:left w:val="single" w:color="auto" w:sz="4" w:space="0"/>
                    <w:bottom w:val="single" w:color="000000" w:sz="4" w:space="0"/>
                    <w:right w:val="single" w:color="000000" w:sz="4" w:space="0"/>
                  </w:tcBorders>
                  <w:vAlign w:val="center"/>
                </w:tcPr>
                <w:p w14:paraId="789C9C92">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150</w:t>
                  </w:r>
                </w:p>
              </w:tc>
              <w:tc>
                <w:tcPr>
                  <w:tcW w:w="941" w:type="dxa"/>
                  <w:tcBorders>
                    <w:top w:val="single" w:color="000000" w:sz="4" w:space="0"/>
                    <w:left w:val="single" w:color="000000" w:sz="4" w:space="0"/>
                    <w:bottom w:val="single" w:color="000000" w:sz="4" w:space="0"/>
                    <w:right w:val="single" w:color="000000" w:sz="4" w:space="0"/>
                  </w:tcBorders>
                  <w:vAlign w:val="center"/>
                </w:tcPr>
                <w:p w14:paraId="2B2F829A">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0.137 </w:t>
                  </w:r>
                </w:p>
              </w:tc>
              <w:tc>
                <w:tcPr>
                  <w:tcW w:w="456" w:type="pct"/>
                  <w:vMerge w:val="continue"/>
                  <w:tcBorders>
                    <w:left w:val="single" w:color="000000" w:sz="4" w:space="0"/>
                    <w:right w:val="single" w:color="000000" w:sz="4" w:space="0"/>
                  </w:tcBorders>
                  <w:vAlign w:val="center"/>
                </w:tcPr>
                <w:p w14:paraId="58B227A2">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45A75BF3">
                  <w:pPr>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eastAsiaTheme="minorEastAsia"/>
                      <w:color w:val="000000" w:themeColor="text1"/>
                      <w:sz w:val="21"/>
                      <w:szCs w:val="21"/>
                      <w:lang w:bidi="ar"/>
                    </w:rPr>
                    <w:t>70%</w:t>
                  </w:r>
                </w:p>
              </w:tc>
              <w:tc>
                <w:tcPr>
                  <w:tcW w:w="639" w:type="pct"/>
                  <w:tcBorders>
                    <w:top w:val="single" w:color="000000" w:sz="4" w:space="0"/>
                    <w:left w:val="single" w:color="000000" w:sz="4" w:space="0"/>
                    <w:bottom w:val="single" w:color="000000" w:sz="4" w:space="0"/>
                    <w:right w:val="single" w:color="000000" w:sz="4" w:space="0"/>
                  </w:tcBorders>
                  <w:vAlign w:val="center"/>
                </w:tcPr>
                <w:p w14:paraId="407F5AE9">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45</w:t>
                  </w:r>
                </w:p>
              </w:tc>
              <w:tc>
                <w:tcPr>
                  <w:tcW w:w="932" w:type="dxa"/>
                  <w:tcBorders>
                    <w:top w:val="single" w:color="000000" w:sz="4" w:space="0"/>
                    <w:left w:val="single" w:color="000000" w:sz="4" w:space="0"/>
                    <w:bottom w:val="single" w:color="000000" w:sz="4" w:space="0"/>
                    <w:right w:val="single" w:color="000000" w:sz="4" w:space="0"/>
                  </w:tcBorders>
                  <w:vAlign w:val="center"/>
                </w:tcPr>
                <w:p w14:paraId="70CF6A1E">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0.041 </w:t>
                  </w:r>
                </w:p>
              </w:tc>
            </w:tr>
            <w:tr w14:paraId="4A372A6C">
              <w:tblPrEx>
                <w:tblCellMar>
                  <w:top w:w="0" w:type="dxa"/>
                  <w:left w:w="108" w:type="dxa"/>
                  <w:bottom w:w="0" w:type="dxa"/>
                  <w:right w:w="108" w:type="dxa"/>
                </w:tblCellMar>
              </w:tblPrEx>
              <w:trPr>
                <w:trHeight w:val="356" w:hRule="atLeast"/>
                <w:jc w:val="center"/>
              </w:trPr>
              <w:tc>
                <w:tcPr>
                  <w:tcW w:w="477" w:type="pct"/>
                  <w:vMerge w:val="continue"/>
                  <w:tcBorders>
                    <w:top w:val="single" w:color="auto" w:sz="4" w:space="0"/>
                    <w:left w:val="single" w:color="auto" w:sz="4" w:space="0"/>
                    <w:bottom w:val="single" w:color="auto" w:sz="4" w:space="0"/>
                    <w:right w:val="single" w:color="auto" w:sz="4" w:space="0"/>
                  </w:tcBorders>
                  <w:vAlign w:val="center"/>
                </w:tcPr>
                <w:p w14:paraId="5253E059">
                  <w:pPr>
                    <w:jc w:val="center"/>
                    <w:textAlignment w:val="center"/>
                    <w:rPr>
                      <w:rFonts w:ascii="Times New Roman" w:hAnsi="Times New Roman" w:cs="Times New Roman" w:eastAsiaTheme="minorEastAsia"/>
                      <w:color w:val="000000" w:themeColor="text1"/>
                      <w:sz w:val="21"/>
                      <w:szCs w:val="21"/>
                      <w:lang w:val="en-US" w:bidi="ar"/>
                    </w:rPr>
                  </w:pPr>
                </w:p>
              </w:tc>
              <w:tc>
                <w:tcPr>
                  <w:tcW w:w="596" w:type="pct"/>
                  <w:vMerge w:val="continue"/>
                  <w:tcBorders>
                    <w:left w:val="single" w:color="auto" w:sz="4" w:space="0"/>
                    <w:bottom w:val="single" w:color="auto" w:sz="4" w:space="0"/>
                    <w:right w:val="single" w:color="auto" w:sz="4" w:space="0"/>
                  </w:tcBorders>
                  <w:vAlign w:val="center"/>
                </w:tcPr>
                <w:p w14:paraId="76D29A6F">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auto" w:sz="4" w:space="0"/>
                    <w:left w:val="single" w:color="auto" w:sz="4" w:space="0"/>
                    <w:bottom w:val="single" w:color="auto" w:sz="4" w:space="0"/>
                    <w:right w:val="single" w:color="auto" w:sz="4" w:space="0"/>
                  </w:tcBorders>
                  <w:vAlign w:val="center"/>
                </w:tcPr>
                <w:p w14:paraId="087B87F1">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动植物油</w:t>
                  </w:r>
                </w:p>
              </w:tc>
              <w:tc>
                <w:tcPr>
                  <w:tcW w:w="637" w:type="pct"/>
                  <w:tcBorders>
                    <w:top w:val="single" w:color="000000" w:sz="4" w:space="0"/>
                    <w:left w:val="single" w:color="auto" w:sz="4" w:space="0"/>
                    <w:bottom w:val="single" w:color="000000" w:sz="4" w:space="0"/>
                    <w:right w:val="single" w:color="000000" w:sz="4" w:space="0"/>
                  </w:tcBorders>
                  <w:vAlign w:val="center"/>
                </w:tcPr>
                <w:p w14:paraId="061AE685">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15</w:t>
                  </w:r>
                </w:p>
              </w:tc>
              <w:tc>
                <w:tcPr>
                  <w:tcW w:w="941" w:type="dxa"/>
                  <w:tcBorders>
                    <w:top w:val="single" w:color="000000" w:sz="4" w:space="0"/>
                    <w:left w:val="single" w:color="000000" w:sz="4" w:space="0"/>
                    <w:bottom w:val="single" w:color="000000" w:sz="4" w:space="0"/>
                    <w:right w:val="single" w:color="000000" w:sz="4" w:space="0"/>
                  </w:tcBorders>
                  <w:vAlign w:val="center"/>
                </w:tcPr>
                <w:p w14:paraId="510A381C">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0.014 </w:t>
                  </w:r>
                </w:p>
              </w:tc>
              <w:tc>
                <w:tcPr>
                  <w:tcW w:w="456" w:type="pct"/>
                  <w:vMerge w:val="continue"/>
                  <w:tcBorders>
                    <w:left w:val="single" w:color="000000" w:sz="4" w:space="0"/>
                    <w:right w:val="single" w:color="000000" w:sz="4" w:space="0"/>
                  </w:tcBorders>
                  <w:vAlign w:val="center"/>
                </w:tcPr>
                <w:p w14:paraId="10176211">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6C19DC1F">
                  <w:pPr>
                    <w:jc w:val="center"/>
                    <w:textAlignment w:val="center"/>
                    <w:rPr>
                      <w:rFonts w:ascii="Times New Roman" w:hAnsi="Times New Roman" w:cs="Times New Roman" w:eastAsiaTheme="minorEastAsia"/>
                      <w:color w:val="000000" w:themeColor="text1"/>
                      <w:sz w:val="21"/>
                      <w:szCs w:val="21"/>
                      <w:lang w:val="en-US" w:bidi="ar"/>
                    </w:rPr>
                  </w:pPr>
                  <w:r>
                    <w:rPr>
                      <w:rFonts w:hint="eastAsia" w:ascii="Times New Roman" w:hAnsi="Times New Roman" w:cs="Times New Roman" w:eastAsiaTheme="minorEastAsia"/>
                      <w:color w:val="000000" w:themeColor="text1"/>
                      <w:sz w:val="21"/>
                      <w:szCs w:val="21"/>
                      <w:lang w:val="en-US" w:bidi="ar"/>
                    </w:rPr>
                    <w:t>80</w:t>
                  </w:r>
                  <w:r>
                    <w:rPr>
                      <w:rFonts w:ascii="Times New Roman" w:hAnsi="Times New Roman" w:cs="Times New Roman" w:eastAsiaTheme="minorEastAsia"/>
                      <w:color w:val="000000" w:themeColor="text1"/>
                      <w:sz w:val="21"/>
                      <w:szCs w:val="21"/>
                      <w:lang w:bidi="ar"/>
                    </w:rPr>
                    <w:t>%</w:t>
                  </w:r>
                </w:p>
              </w:tc>
              <w:tc>
                <w:tcPr>
                  <w:tcW w:w="639" w:type="pct"/>
                  <w:tcBorders>
                    <w:top w:val="single" w:color="000000" w:sz="4" w:space="0"/>
                    <w:left w:val="single" w:color="000000" w:sz="4" w:space="0"/>
                    <w:bottom w:val="single" w:color="000000" w:sz="4" w:space="0"/>
                    <w:right w:val="single" w:color="000000" w:sz="4" w:space="0"/>
                  </w:tcBorders>
                  <w:vAlign w:val="center"/>
                </w:tcPr>
                <w:p w14:paraId="371E8913">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3</w:t>
                  </w:r>
                </w:p>
              </w:tc>
              <w:tc>
                <w:tcPr>
                  <w:tcW w:w="932" w:type="dxa"/>
                  <w:tcBorders>
                    <w:top w:val="single" w:color="000000" w:sz="4" w:space="0"/>
                    <w:left w:val="single" w:color="000000" w:sz="4" w:space="0"/>
                    <w:bottom w:val="single" w:color="000000" w:sz="4" w:space="0"/>
                    <w:right w:val="single" w:color="000000" w:sz="4" w:space="0"/>
                  </w:tcBorders>
                  <w:vAlign w:val="center"/>
                </w:tcPr>
                <w:p w14:paraId="297D6277">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0.003 </w:t>
                  </w:r>
                </w:p>
              </w:tc>
            </w:tr>
            <w:tr w14:paraId="690DD1CA">
              <w:tblPrEx>
                <w:tblCellMar>
                  <w:top w:w="0" w:type="dxa"/>
                  <w:left w:w="108" w:type="dxa"/>
                  <w:bottom w:w="0" w:type="dxa"/>
                  <w:right w:w="108" w:type="dxa"/>
                </w:tblCellMar>
              </w:tblPrEx>
              <w:trPr>
                <w:trHeight w:val="356" w:hRule="atLeast"/>
                <w:jc w:val="center"/>
              </w:trPr>
              <w:tc>
                <w:tcPr>
                  <w:tcW w:w="477" w:type="pct"/>
                  <w:vMerge w:val="restart"/>
                  <w:tcBorders>
                    <w:top w:val="single" w:color="auto" w:sz="4" w:space="0"/>
                    <w:left w:val="single" w:color="auto" w:sz="4" w:space="0"/>
                    <w:right w:val="single" w:color="auto" w:sz="4" w:space="0"/>
                  </w:tcBorders>
                  <w:vAlign w:val="center"/>
                </w:tcPr>
                <w:p w14:paraId="41635E1B">
                  <w:pPr>
                    <w:jc w:val="center"/>
                    <w:textAlignment w:val="center"/>
                    <w:rPr>
                      <w:rFonts w:ascii="Times New Roman" w:hAnsi="Times New Roman" w:cs="Times New Roman" w:eastAsiaTheme="minorEastAsia"/>
                      <w:color w:val="000000" w:themeColor="text1"/>
                      <w:sz w:val="21"/>
                      <w:szCs w:val="21"/>
                      <w:lang w:val="en-US" w:bidi="ar"/>
                    </w:rPr>
                  </w:pPr>
                  <w:r>
                    <w:rPr>
                      <w:rFonts w:hint="eastAsia" w:ascii="Times New Roman" w:hAnsi="Times New Roman" w:cs="Times New Roman" w:eastAsiaTheme="minorEastAsia"/>
                      <w:color w:val="000000" w:themeColor="text1"/>
                      <w:sz w:val="21"/>
                      <w:szCs w:val="21"/>
                      <w:lang w:val="en-US" w:bidi="ar"/>
                    </w:rPr>
                    <w:t>全院食堂废水</w:t>
                  </w:r>
                </w:p>
              </w:tc>
              <w:tc>
                <w:tcPr>
                  <w:tcW w:w="596" w:type="pct"/>
                  <w:vMerge w:val="restart"/>
                  <w:tcBorders>
                    <w:top w:val="single" w:color="auto" w:sz="4" w:space="0"/>
                    <w:left w:val="single" w:color="auto" w:sz="4" w:space="0"/>
                    <w:right w:val="single" w:color="auto" w:sz="4" w:space="0"/>
                  </w:tcBorders>
                  <w:vAlign w:val="center"/>
                </w:tcPr>
                <w:p w14:paraId="1C1E08BA">
                  <w:pPr>
                    <w:jc w:val="center"/>
                    <w:textAlignment w:val="center"/>
                    <w:rPr>
                      <w:rFonts w:ascii="Times New Roman" w:hAnsi="Times New Roman" w:cs="Times New Roman" w:eastAsiaTheme="minorEastAsia"/>
                      <w:color w:val="000000" w:themeColor="text1"/>
                      <w:sz w:val="21"/>
                      <w:szCs w:val="21"/>
                      <w:lang w:val="en-US" w:bidi="ar"/>
                    </w:rPr>
                  </w:pPr>
                  <w:r>
                    <w:rPr>
                      <w:rFonts w:hint="eastAsia" w:ascii="Times New Roman" w:hAnsi="Times New Roman" w:cs="Times New Roman" w:eastAsiaTheme="minorEastAsia"/>
                      <w:color w:val="000000" w:themeColor="text1"/>
                      <w:sz w:val="21"/>
                      <w:szCs w:val="21"/>
                      <w:lang w:val="en-US" w:bidi="ar"/>
                    </w:rPr>
                    <w:t>6651.76</w:t>
                  </w:r>
                </w:p>
              </w:tc>
              <w:tc>
                <w:tcPr>
                  <w:tcW w:w="640" w:type="pct"/>
                  <w:tcBorders>
                    <w:top w:val="single" w:color="auto" w:sz="4" w:space="0"/>
                    <w:left w:val="single" w:color="auto" w:sz="4" w:space="0"/>
                    <w:bottom w:val="single" w:color="auto" w:sz="4" w:space="0"/>
                    <w:right w:val="single" w:color="auto" w:sz="4" w:space="0"/>
                  </w:tcBorders>
                  <w:vAlign w:val="center"/>
                </w:tcPr>
                <w:p w14:paraId="47419605">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CODcr</w:t>
                  </w:r>
                </w:p>
              </w:tc>
              <w:tc>
                <w:tcPr>
                  <w:tcW w:w="637" w:type="pct"/>
                  <w:tcBorders>
                    <w:top w:val="single" w:color="000000" w:sz="4" w:space="0"/>
                    <w:left w:val="single" w:color="auto" w:sz="4" w:space="0"/>
                    <w:bottom w:val="single" w:color="000000" w:sz="4" w:space="0"/>
                    <w:right w:val="single" w:color="000000" w:sz="4" w:space="0"/>
                  </w:tcBorders>
                  <w:vAlign w:val="center"/>
                </w:tcPr>
                <w:p w14:paraId="3A251E79">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250</w:t>
                  </w:r>
                </w:p>
              </w:tc>
              <w:tc>
                <w:tcPr>
                  <w:tcW w:w="941" w:type="dxa"/>
                  <w:tcBorders>
                    <w:top w:val="single" w:color="000000" w:sz="4" w:space="0"/>
                    <w:left w:val="single" w:color="000000" w:sz="4" w:space="0"/>
                    <w:bottom w:val="single" w:color="000000" w:sz="4" w:space="0"/>
                    <w:right w:val="single" w:color="000000" w:sz="4" w:space="0"/>
                  </w:tcBorders>
                  <w:vAlign w:val="center"/>
                </w:tcPr>
                <w:p w14:paraId="3D0EEDEF">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1.663 </w:t>
                  </w:r>
                </w:p>
              </w:tc>
              <w:tc>
                <w:tcPr>
                  <w:tcW w:w="456" w:type="pct"/>
                  <w:vMerge w:val="continue"/>
                  <w:tcBorders>
                    <w:left w:val="single" w:color="000000" w:sz="4" w:space="0"/>
                    <w:right w:val="single" w:color="000000" w:sz="4" w:space="0"/>
                  </w:tcBorders>
                  <w:vAlign w:val="center"/>
                </w:tcPr>
                <w:p w14:paraId="00CACBD6">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7EFA7454">
                  <w:pPr>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eastAsiaTheme="minorEastAsia"/>
                      <w:color w:val="000000" w:themeColor="text1"/>
                      <w:sz w:val="21"/>
                      <w:szCs w:val="21"/>
                      <w:lang w:bidi="ar"/>
                    </w:rPr>
                    <w:t>30%</w:t>
                  </w:r>
                </w:p>
              </w:tc>
              <w:tc>
                <w:tcPr>
                  <w:tcW w:w="639" w:type="pct"/>
                  <w:tcBorders>
                    <w:top w:val="single" w:color="000000" w:sz="4" w:space="0"/>
                    <w:left w:val="single" w:color="000000" w:sz="4" w:space="0"/>
                    <w:bottom w:val="single" w:color="000000" w:sz="4" w:space="0"/>
                    <w:right w:val="single" w:color="000000" w:sz="4" w:space="0"/>
                  </w:tcBorders>
                  <w:vAlign w:val="center"/>
                </w:tcPr>
                <w:p w14:paraId="694DC56F">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175</w:t>
                  </w:r>
                </w:p>
              </w:tc>
              <w:tc>
                <w:tcPr>
                  <w:tcW w:w="932" w:type="dxa"/>
                  <w:tcBorders>
                    <w:top w:val="single" w:color="000000" w:sz="4" w:space="0"/>
                    <w:left w:val="single" w:color="000000" w:sz="4" w:space="0"/>
                    <w:bottom w:val="single" w:color="000000" w:sz="4" w:space="0"/>
                    <w:right w:val="single" w:color="000000" w:sz="4" w:space="0"/>
                  </w:tcBorders>
                  <w:vAlign w:val="center"/>
                </w:tcPr>
                <w:p w14:paraId="679C0F8F">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1.164 </w:t>
                  </w:r>
                </w:p>
              </w:tc>
            </w:tr>
            <w:tr w14:paraId="599AA22A">
              <w:tblPrEx>
                <w:tblCellMar>
                  <w:top w:w="0" w:type="dxa"/>
                  <w:left w:w="108" w:type="dxa"/>
                  <w:bottom w:w="0" w:type="dxa"/>
                  <w:right w:w="108" w:type="dxa"/>
                </w:tblCellMar>
              </w:tblPrEx>
              <w:trPr>
                <w:trHeight w:val="356" w:hRule="atLeast"/>
                <w:jc w:val="center"/>
              </w:trPr>
              <w:tc>
                <w:tcPr>
                  <w:tcW w:w="477" w:type="pct"/>
                  <w:vMerge w:val="continue"/>
                  <w:tcBorders>
                    <w:left w:val="single" w:color="auto" w:sz="4" w:space="0"/>
                    <w:right w:val="single" w:color="auto" w:sz="4" w:space="0"/>
                  </w:tcBorders>
                  <w:vAlign w:val="center"/>
                </w:tcPr>
                <w:p w14:paraId="5236215A">
                  <w:pPr>
                    <w:jc w:val="center"/>
                    <w:textAlignment w:val="center"/>
                    <w:rPr>
                      <w:rFonts w:ascii="Times New Roman" w:hAnsi="Times New Roman" w:cs="Times New Roman" w:eastAsiaTheme="minorEastAsia"/>
                      <w:color w:val="000000" w:themeColor="text1"/>
                      <w:sz w:val="21"/>
                      <w:szCs w:val="21"/>
                      <w:lang w:val="en-US" w:bidi="ar"/>
                    </w:rPr>
                  </w:pPr>
                </w:p>
              </w:tc>
              <w:tc>
                <w:tcPr>
                  <w:tcW w:w="596" w:type="pct"/>
                  <w:vMerge w:val="continue"/>
                  <w:tcBorders>
                    <w:left w:val="single" w:color="auto" w:sz="4" w:space="0"/>
                    <w:right w:val="single" w:color="auto" w:sz="4" w:space="0"/>
                  </w:tcBorders>
                  <w:vAlign w:val="center"/>
                </w:tcPr>
                <w:p w14:paraId="01AA53EA">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auto" w:sz="4" w:space="0"/>
                    <w:left w:val="single" w:color="auto" w:sz="4" w:space="0"/>
                    <w:bottom w:val="single" w:color="auto" w:sz="4" w:space="0"/>
                    <w:right w:val="single" w:color="auto" w:sz="4" w:space="0"/>
                  </w:tcBorders>
                  <w:vAlign w:val="center"/>
                </w:tcPr>
                <w:p w14:paraId="7E61DFCB">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BOD</w:t>
                  </w:r>
                  <w:r>
                    <w:rPr>
                      <w:rFonts w:ascii="Times New Roman" w:hAnsi="Times New Roman" w:cs="Times New Roman" w:eastAsiaTheme="minorEastAsia"/>
                      <w:color w:val="000000" w:themeColor="text1"/>
                      <w:sz w:val="21"/>
                      <w:szCs w:val="21"/>
                      <w:vertAlign w:val="subscript"/>
                      <w:lang w:bidi="ar"/>
                    </w:rPr>
                    <w:t>5</w:t>
                  </w:r>
                </w:p>
              </w:tc>
              <w:tc>
                <w:tcPr>
                  <w:tcW w:w="637" w:type="pct"/>
                  <w:tcBorders>
                    <w:top w:val="single" w:color="000000" w:sz="4" w:space="0"/>
                    <w:left w:val="single" w:color="auto" w:sz="4" w:space="0"/>
                    <w:bottom w:val="single" w:color="000000" w:sz="4" w:space="0"/>
                    <w:right w:val="single" w:color="000000" w:sz="4" w:space="0"/>
                  </w:tcBorders>
                  <w:vAlign w:val="center"/>
                </w:tcPr>
                <w:p w14:paraId="0BD359E6">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150</w:t>
                  </w:r>
                </w:p>
              </w:tc>
              <w:tc>
                <w:tcPr>
                  <w:tcW w:w="941" w:type="dxa"/>
                  <w:tcBorders>
                    <w:top w:val="single" w:color="000000" w:sz="4" w:space="0"/>
                    <w:left w:val="single" w:color="000000" w:sz="4" w:space="0"/>
                    <w:bottom w:val="single" w:color="000000" w:sz="4" w:space="0"/>
                    <w:right w:val="single" w:color="000000" w:sz="4" w:space="0"/>
                  </w:tcBorders>
                  <w:vAlign w:val="center"/>
                </w:tcPr>
                <w:p w14:paraId="462C81D4">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0.998 </w:t>
                  </w:r>
                </w:p>
              </w:tc>
              <w:tc>
                <w:tcPr>
                  <w:tcW w:w="456" w:type="pct"/>
                  <w:vMerge w:val="continue"/>
                  <w:tcBorders>
                    <w:left w:val="single" w:color="000000" w:sz="4" w:space="0"/>
                    <w:right w:val="single" w:color="000000" w:sz="4" w:space="0"/>
                  </w:tcBorders>
                  <w:vAlign w:val="center"/>
                </w:tcPr>
                <w:p w14:paraId="347D817A">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4DDCE888">
                  <w:pPr>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eastAsiaTheme="minorEastAsia"/>
                      <w:color w:val="000000" w:themeColor="text1"/>
                      <w:sz w:val="21"/>
                      <w:szCs w:val="21"/>
                      <w:lang w:bidi="ar"/>
                    </w:rPr>
                    <w:t>40%</w:t>
                  </w:r>
                </w:p>
              </w:tc>
              <w:tc>
                <w:tcPr>
                  <w:tcW w:w="639" w:type="pct"/>
                  <w:tcBorders>
                    <w:top w:val="single" w:color="000000" w:sz="4" w:space="0"/>
                    <w:left w:val="single" w:color="000000" w:sz="4" w:space="0"/>
                    <w:bottom w:val="single" w:color="000000" w:sz="4" w:space="0"/>
                    <w:right w:val="single" w:color="000000" w:sz="4" w:space="0"/>
                  </w:tcBorders>
                  <w:vAlign w:val="center"/>
                </w:tcPr>
                <w:p w14:paraId="2ED180A0">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90</w:t>
                  </w:r>
                </w:p>
              </w:tc>
              <w:tc>
                <w:tcPr>
                  <w:tcW w:w="932" w:type="dxa"/>
                  <w:tcBorders>
                    <w:top w:val="single" w:color="000000" w:sz="4" w:space="0"/>
                    <w:left w:val="single" w:color="000000" w:sz="4" w:space="0"/>
                    <w:bottom w:val="single" w:color="000000" w:sz="4" w:space="0"/>
                    <w:right w:val="single" w:color="000000" w:sz="4" w:space="0"/>
                  </w:tcBorders>
                  <w:vAlign w:val="center"/>
                </w:tcPr>
                <w:p w14:paraId="36403E16">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0.599 </w:t>
                  </w:r>
                </w:p>
              </w:tc>
            </w:tr>
            <w:tr w14:paraId="76C71A68">
              <w:tblPrEx>
                <w:tblCellMar>
                  <w:top w:w="0" w:type="dxa"/>
                  <w:left w:w="108" w:type="dxa"/>
                  <w:bottom w:w="0" w:type="dxa"/>
                  <w:right w:w="108" w:type="dxa"/>
                </w:tblCellMar>
              </w:tblPrEx>
              <w:trPr>
                <w:trHeight w:val="356" w:hRule="atLeast"/>
                <w:jc w:val="center"/>
              </w:trPr>
              <w:tc>
                <w:tcPr>
                  <w:tcW w:w="477" w:type="pct"/>
                  <w:vMerge w:val="continue"/>
                  <w:tcBorders>
                    <w:left w:val="single" w:color="auto" w:sz="4" w:space="0"/>
                    <w:right w:val="single" w:color="auto" w:sz="4" w:space="0"/>
                  </w:tcBorders>
                  <w:vAlign w:val="center"/>
                </w:tcPr>
                <w:p w14:paraId="1C4C0CBC">
                  <w:pPr>
                    <w:jc w:val="center"/>
                    <w:textAlignment w:val="center"/>
                    <w:rPr>
                      <w:rFonts w:ascii="Times New Roman" w:hAnsi="Times New Roman" w:cs="Times New Roman" w:eastAsiaTheme="minorEastAsia"/>
                      <w:color w:val="000000" w:themeColor="text1"/>
                      <w:sz w:val="21"/>
                      <w:szCs w:val="21"/>
                      <w:lang w:val="en-US" w:bidi="ar"/>
                    </w:rPr>
                  </w:pPr>
                </w:p>
              </w:tc>
              <w:tc>
                <w:tcPr>
                  <w:tcW w:w="596" w:type="pct"/>
                  <w:vMerge w:val="continue"/>
                  <w:tcBorders>
                    <w:left w:val="single" w:color="auto" w:sz="4" w:space="0"/>
                    <w:right w:val="single" w:color="auto" w:sz="4" w:space="0"/>
                  </w:tcBorders>
                  <w:vAlign w:val="center"/>
                </w:tcPr>
                <w:p w14:paraId="2C915C38">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auto" w:sz="4" w:space="0"/>
                    <w:left w:val="single" w:color="auto" w:sz="4" w:space="0"/>
                    <w:bottom w:val="single" w:color="auto" w:sz="4" w:space="0"/>
                    <w:right w:val="single" w:color="auto" w:sz="4" w:space="0"/>
                  </w:tcBorders>
                  <w:vAlign w:val="center"/>
                </w:tcPr>
                <w:p w14:paraId="5F8B949A">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氨氮</w:t>
                  </w:r>
                </w:p>
              </w:tc>
              <w:tc>
                <w:tcPr>
                  <w:tcW w:w="637" w:type="pct"/>
                  <w:tcBorders>
                    <w:top w:val="single" w:color="000000" w:sz="4" w:space="0"/>
                    <w:left w:val="single" w:color="auto" w:sz="4" w:space="0"/>
                    <w:bottom w:val="single" w:color="000000" w:sz="4" w:space="0"/>
                    <w:right w:val="single" w:color="000000" w:sz="4" w:space="0"/>
                  </w:tcBorders>
                  <w:vAlign w:val="center"/>
                </w:tcPr>
                <w:p w14:paraId="08D0C3FF">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25</w:t>
                  </w:r>
                </w:p>
              </w:tc>
              <w:tc>
                <w:tcPr>
                  <w:tcW w:w="941" w:type="dxa"/>
                  <w:tcBorders>
                    <w:top w:val="single" w:color="000000" w:sz="4" w:space="0"/>
                    <w:left w:val="single" w:color="000000" w:sz="4" w:space="0"/>
                    <w:bottom w:val="single" w:color="000000" w:sz="4" w:space="0"/>
                    <w:right w:val="single" w:color="000000" w:sz="4" w:space="0"/>
                  </w:tcBorders>
                  <w:vAlign w:val="center"/>
                </w:tcPr>
                <w:p w14:paraId="4BFBBE44">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0.166 </w:t>
                  </w:r>
                </w:p>
              </w:tc>
              <w:tc>
                <w:tcPr>
                  <w:tcW w:w="456" w:type="pct"/>
                  <w:vMerge w:val="continue"/>
                  <w:tcBorders>
                    <w:left w:val="single" w:color="000000" w:sz="4" w:space="0"/>
                    <w:right w:val="single" w:color="000000" w:sz="4" w:space="0"/>
                  </w:tcBorders>
                  <w:vAlign w:val="center"/>
                </w:tcPr>
                <w:p w14:paraId="13BF0C20">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2340DDCD">
                  <w:pPr>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eastAsiaTheme="minorEastAsia"/>
                      <w:color w:val="000000" w:themeColor="text1"/>
                      <w:sz w:val="21"/>
                      <w:szCs w:val="21"/>
                      <w:lang w:bidi="ar"/>
                    </w:rPr>
                    <w:t>0</w:t>
                  </w:r>
                </w:p>
              </w:tc>
              <w:tc>
                <w:tcPr>
                  <w:tcW w:w="639" w:type="pct"/>
                  <w:tcBorders>
                    <w:top w:val="single" w:color="000000" w:sz="4" w:space="0"/>
                    <w:left w:val="single" w:color="000000" w:sz="4" w:space="0"/>
                    <w:bottom w:val="single" w:color="000000" w:sz="4" w:space="0"/>
                    <w:right w:val="single" w:color="000000" w:sz="4" w:space="0"/>
                  </w:tcBorders>
                  <w:vAlign w:val="center"/>
                </w:tcPr>
                <w:p w14:paraId="0A89C177">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25</w:t>
                  </w:r>
                </w:p>
              </w:tc>
              <w:tc>
                <w:tcPr>
                  <w:tcW w:w="932" w:type="dxa"/>
                  <w:tcBorders>
                    <w:top w:val="single" w:color="000000" w:sz="4" w:space="0"/>
                    <w:left w:val="single" w:color="000000" w:sz="4" w:space="0"/>
                    <w:bottom w:val="single" w:color="000000" w:sz="4" w:space="0"/>
                    <w:right w:val="single" w:color="000000" w:sz="4" w:space="0"/>
                  </w:tcBorders>
                  <w:vAlign w:val="center"/>
                </w:tcPr>
                <w:p w14:paraId="61CFAA5A">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0.166 </w:t>
                  </w:r>
                </w:p>
              </w:tc>
            </w:tr>
            <w:tr w14:paraId="7F5A2570">
              <w:tblPrEx>
                <w:tblCellMar>
                  <w:top w:w="0" w:type="dxa"/>
                  <w:left w:w="108" w:type="dxa"/>
                  <w:bottom w:w="0" w:type="dxa"/>
                  <w:right w:w="108" w:type="dxa"/>
                </w:tblCellMar>
              </w:tblPrEx>
              <w:trPr>
                <w:trHeight w:val="356" w:hRule="atLeast"/>
                <w:jc w:val="center"/>
              </w:trPr>
              <w:tc>
                <w:tcPr>
                  <w:tcW w:w="477" w:type="pct"/>
                  <w:vMerge w:val="continue"/>
                  <w:tcBorders>
                    <w:left w:val="single" w:color="auto" w:sz="4" w:space="0"/>
                    <w:right w:val="single" w:color="auto" w:sz="4" w:space="0"/>
                  </w:tcBorders>
                  <w:vAlign w:val="center"/>
                </w:tcPr>
                <w:p w14:paraId="4F4CEE35">
                  <w:pPr>
                    <w:jc w:val="center"/>
                    <w:textAlignment w:val="center"/>
                    <w:rPr>
                      <w:rFonts w:ascii="Times New Roman" w:hAnsi="Times New Roman" w:cs="Times New Roman" w:eastAsiaTheme="minorEastAsia"/>
                      <w:color w:val="000000" w:themeColor="text1"/>
                      <w:sz w:val="21"/>
                      <w:szCs w:val="21"/>
                      <w:lang w:val="en-US" w:bidi="ar"/>
                    </w:rPr>
                  </w:pPr>
                </w:p>
              </w:tc>
              <w:tc>
                <w:tcPr>
                  <w:tcW w:w="596" w:type="pct"/>
                  <w:vMerge w:val="continue"/>
                  <w:tcBorders>
                    <w:left w:val="single" w:color="auto" w:sz="4" w:space="0"/>
                    <w:right w:val="single" w:color="auto" w:sz="4" w:space="0"/>
                  </w:tcBorders>
                  <w:vAlign w:val="center"/>
                </w:tcPr>
                <w:p w14:paraId="555B4CC8">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auto" w:sz="4" w:space="0"/>
                    <w:left w:val="single" w:color="auto" w:sz="4" w:space="0"/>
                    <w:bottom w:val="single" w:color="auto" w:sz="4" w:space="0"/>
                    <w:right w:val="single" w:color="auto" w:sz="4" w:space="0"/>
                  </w:tcBorders>
                  <w:vAlign w:val="center"/>
                </w:tcPr>
                <w:p w14:paraId="2A9D7338">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SS</w:t>
                  </w:r>
                </w:p>
              </w:tc>
              <w:tc>
                <w:tcPr>
                  <w:tcW w:w="637" w:type="pct"/>
                  <w:tcBorders>
                    <w:top w:val="single" w:color="000000" w:sz="4" w:space="0"/>
                    <w:left w:val="single" w:color="auto" w:sz="4" w:space="0"/>
                    <w:bottom w:val="single" w:color="000000" w:sz="4" w:space="0"/>
                    <w:right w:val="single" w:color="000000" w:sz="4" w:space="0"/>
                  </w:tcBorders>
                  <w:vAlign w:val="center"/>
                </w:tcPr>
                <w:p w14:paraId="7559E7A8">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150</w:t>
                  </w:r>
                </w:p>
              </w:tc>
              <w:tc>
                <w:tcPr>
                  <w:tcW w:w="941" w:type="dxa"/>
                  <w:tcBorders>
                    <w:top w:val="single" w:color="000000" w:sz="4" w:space="0"/>
                    <w:left w:val="single" w:color="000000" w:sz="4" w:space="0"/>
                    <w:bottom w:val="single" w:color="000000" w:sz="4" w:space="0"/>
                    <w:right w:val="single" w:color="000000" w:sz="4" w:space="0"/>
                  </w:tcBorders>
                  <w:vAlign w:val="center"/>
                </w:tcPr>
                <w:p w14:paraId="151920B4">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0.998 </w:t>
                  </w:r>
                </w:p>
              </w:tc>
              <w:tc>
                <w:tcPr>
                  <w:tcW w:w="456" w:type="pct"/>
                  <w:vMerge w:val="continue"/>
                  <w:tcBorders>
                    <w:left w:val="single" w:color="000000" w:sz="4" w:space="0"/>
                    <w:right w:val="single" w:color="000000" w:sz="4" w:space="0"/>
                  </w:tcBorders>
                  <w:vAlign w:val="center"/>
                </w:tcPr>
                <w:p w14:paraId="000858DC">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5B459DA0">
                  <w:pPr>
                    <w:jc w:val="center"/>
                    <w:textAlignment w:val="center"/>
                    <w:rPr>
                      <w:rFonts w:ascii="Times New Roman" w:hAnsi="Times New Roman" w:cs="Times New Roman" w:eastAsiaTheme="minorEastAsia"/>
                      <w:color w:val="000000" w:themeColor="text1"/>
                      <w:sz w:val="21"/>
                      <w:szCs w:val="21"/>
                      <w:lang w:val="en-US" w:bidi="ar"/>
                    </w:rPr>
                  </w:pPr>
                  <w:r>
                    <w:rPr>
                      <w:rFonts w:ascii="Times New Roman" w:hAnsi="Times New Roman" w:cs="Times New Roman" w:eastAsiaTheme="minorEastAsia"/>
                      <w:color w:val="000000" w:themeColor="text1"/>
                      <w:sz w:val="21"/>
                      <w:szCs w:val="21"/>
                      <w:lang w:bidi="ar"/>
                    </w:rPr>
                    <w:t>70%</w:t>
                  </w:r>
                </w:p>
              </w:tc>
              <w:tc>
                <w:tcPr>
                  <w:tcW w:w="639" w:type="pct"/>
                  <w:tcBorders>
                    <w:top w:val="single" w:color="000000" w:sz="4" w:space="0"/>
                    <w:left w:val="single" w:color="000000" w:sz="4" w:space="0"/>
                    <w:bottom w:val="single" w:color="000000" w:sz="4" w:space="0"/>
                    <w:right w:val="single" w:color="000000" w:sz="4" w:space="0"/>
                  </w:tcBorders>
                  <w:vAlign w:val="center"/>
                </w:tcPr>
                <w:p w14:paraId="18BCFBB0">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45</w:t>
                  </w:r>
                </w:p>
              </w:tc>
              <w:tc>
                <w:tcPr>
                  <w:tcW w:w="932" w:type="dxa"/>
                  <w:tcBorders>
                    <w:top w:val="single" w:color="000000" w:sz="4" w:space="0"/>
                    <w:left w:val="single" w:color="000000" w:sz="4" w:space="0"/>
                    <w:bottom w:val="single" w:color="000000" w:sz="4" w:space="0"/>
                    <w:right w:val="single" w:color="000000" w:sz="4" w:space="0"/>
                  </w:tcBorders>
                  <w:vAlign w:val="center"/>
                </w:tcPr>
                <w:p w14:paraId="25105A05">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0.299 </w:t>
                  </w:r>
                </w:p>
              </w:tc>
            </w:tr>
            <w:tr w14:paraId="2B8433B5">
              <w:tblPrEx>
                <w:tblCellMar>
                  <w:top w:w="0" w:type="dxa"/>
                  <w:left w:w="108" w:type="dxa"/>
                  <w:bottom w:w="0" w:type="dxa"/>
                  <w:right w:w="108" w:type="dxa"/>
                </w:tblCellMar>
              </w:tblPrEx>
              <w:trPr>
                <w:trHeight w:val="356" w:hRule="atLeast"/>
                <w:jc w:val="center"/>
              </w:trPr>
              <w:tc>
                <w:tcPr>
                  <w:tcW w:w="477" w:type="pct"/>
                  <w:vMerge w:val="continue"/>
                  <w:tcBorders>
                    <w:left w:val="single" w:color="auto" w:sz="4" w:space="0"/>
                    <w:bottom w:val="single" w:color="auto" w:sz="4" w:space="0"/>
                    <w:right w:val="single" w:color="auto" w:sz="4" w:space="0"/>
                  </w:tcBorders>
                  <w:vAlign w:val="center"/>
                </w:tcPr>
                <w:p w14:paraId="405B3FA9">
                  <w:pPr>
                    <w:jc w:val="center"/>
                    <w:textAlignment w:val="center"/>
                    <w:rPr>
                      <w:rFonts w:ascii="Times New Roman" w:hAnsi="Times New Roman" w:cs="Times New Roman" w:eastAsiaTheme="minorEastAsia"/>
                      <w:color w:val="000000" w:themeColor="text1"/>
                      <w:sz w:val="21"/>
                      <w:szCs w:val="21"/>
                      <w:lang w:val="en-US" w:bidi="ar"/>
                    </w:rPr>
                  </w:pPr>
                </w:p>
              </w:tc>
              <w:tc>
                <w:tcPr>
                  <w:tcW w:w="596" w:type="pct"/>
                  <w:vMerge w:val="continue"/>
                  <w:tcBorders>
                    <w:left w:val="single" w:color="auto" w:sz="4" w:space="0"/>
                    <w:bottom w:val="single" w:color="auto" w:sz="4" w:space="0"/>
                    <w:right w:val="single" w:color="auto" w:sz="4" w:space="0"/>
                  </w:tcBorders>
                  <w:vAlign w:val="center"/>
                </w:tcPr>
                <w:p w14:paraId="07A6078C">
                  <w:pPr>
                    <w:jc w:val="center"/>
                    <w:textAlignment w:val="center"/>
                    <w:rPr>
                      <w:rFonts w:ascii="Times New Roman" w:hAnsi="Times New Roman" w:cs="Times New Roman" w:eastAsiaTheme="minorEastAsia"/>
                      <w:color w:val="000000" w:themeColor="text1"/>
                      <w:sz w:val="21"/>
                      <w:szCs w:val="21"/>
                      <w:lang w:bidi="ar"/>
                    </w:rPr>
                  </w:pPr>
                </w:p>
              </w:tc>
              <w:tc>
                <w:tcPr>
                  <w:tcW w:w="640" w:type="pct"/>
                  <w:tcBorders>
                    <w:top w:val="single" w:color="auto" w:sz="4" w:space="0"/>
                    <w:left w:val="single" w:color="auto" w:sz="4" w:space="0"/>
                    <w:bottom w:val="single" w:color="auto" w:sz="4" w:space="0"/>
                    <w:right w:val="single" w:color="auto" w:sz="4" w:space="0"/>
                  </w:tcBorders>
                  <w:vAlign w:val="center"/>
                </w:tcPr>
                <w:p w14:paraId="077C2E79">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动植物油</w:t>
                  </w:r>
                </w:p>
              </w:tc>
              <w:tc>
                <w:tcPr>
                  <w:tcW w:w="637" w:type="pct"/>
                  <w:tcBorders>
                    <w:top w:val="single" w:color="000000" w:sz="4" w:space="0"/>
                    <w:left w:val="single" w:color="auto" w:sz="4" w:space="0"/>
                    <w:bottom w:val="single" w:color="000000" w:sz="4" w:space="0"/>
                    <w:right w:val="single" w:color="000000" w:sz="4" w:space="0"/>
                  </w:tcBorders>
                  <w:vAlign w:val="center"/>
                </w:tcPr>
                <w:p w14:paraId="420F9CAB">
                  <w:pPr>
                    <w:jc w:val="center"/>
                    <w:textAlignment w:val="center"/>
                    <w:rPr>
                      <w:rFonts w:ascii="Times New Roman" w:hAnsi="Times New Roman" w:cs="Times New Roman" w:eastAsiaTheme="minorEastAsia"/>
                      <w:color w:val="000000" w:themeColor="text1"/>
                      <w:sz w:val="21"/>
                      <w:szCs w:val="21"/>
                      <w:lang w:bidi="ar"/>
                    </w:rPr>
                  </w:pPr>
                  <w:r>
                    <w:rPr>
                      <w:rFonts w:ascii="Times New Roman" w:hAnsi="Times New Roman" w:cs="Times New Roman" w:eastAsiaTheme="minorEastAsia"/>
                      <w:color w:val="000000" w:themeColor="text1"/>
                      <w:sz w:val="21"/>
                      <w:szCs w:val="21"/>
                      <w:lang w:bidi="ar"/>
                    </w:rPr>
                    <w:t>15</w:t>
                  </w:r>
                </w:p>
              </w:tc>
              <w:tc>
                <w:tcPr>
                  <w:tcW w:w="941" w:type="dxa"/>
                  <w:tcBorders>
                    <w:top w:val="single" w:color="000000" w:sz="4" w:space="0"/>
                    <w:left w:val="single" w:color="000000" w:sz="4" w:space="0"/>
                    <w:bottom w:val="single" w:color="000000" w:sz="4" w:space="0"/>
                    <w:right w:val="single" w:color="000000" w:sz="4" w:space="0"/>
                  </w:tcBorders>
                  <w:vAlign w:val="center"/>
                </w:tcPr>
                <w:p w14:paraId="6BFA1540">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0.100 </w:t>
                  </w:r>
                </w:p>
              </w:tc>
              <w:tc>
                <w:tcPr>
                  <w:tcW w:w="456" w:type="pct"/>
                  <w:vMerge w:val="continue"/>
                  <w:tcBorders>
                    <w:left w:val="single" w:color="000000" w:sz="4" w:space="0"/>
                    <w:bottom w:val="single" w:color="000000" w:sz="4" w:space="0"/>
                    <w:right w:val="single" w:color="000000" w:sz="4" w:space="0"/>
                  </w:tcBorders>
                  <w:vAlign w:val="center"/>
                </w:tcPr>
                <w:p w14:paraId="740E1CE0">
                  <w:pPr>
                    <w:jc w:val="center"/>
                    <w:textAlignment w:val="center"/>
                    <w:rPr>
                      <w:rFonts w:ascii="Times New Roman" w:hAnsi="Times New Roman" w:cs="Times New Roman" w:eastAsiaTheme="minorEastAsia"/>
                      <w:color w:val="000000" w:themeColor="text1"/>
                      <w:sz w:val="21"/>
                      <w:szCs w:val="21"/>
                      <w:lang w:bidi="ar"/>
                    </w:rPr>
                  </w:pPr>
                </w:p>
              </w:tc>
              <w:tc>
                <w:tcPr>
                  <w:tcW w:w="456" w:type="pct"/>
                  <w:tcBorders>
                    <w:top w:val="single" w:color="000000" w:sz="4" w:space="0"/>
                    <w:left w:val="single" w:color="000000" w:sz="4" w:space="0"/>
                    <w:bottom w:val="single" w:color="000000" w:sz="4" w:space="0"/>
                    <w:right w:val="single" w:color="000000" w:sz="4" w:space="0"/>
                  </w:tcBorders>
                  <w:vAlign w:val="center"/>
                </w:tcPr>
                <w:p w14:paraId="5C76BB7A">
                  <w:pPr>
                    <w:jc w:val="center"/>
                    <w:textAlignment w:val="center"/>
                    <w:rPr>
                      <w:rFonts w:ascii="Times New Roman" w:hAnsi="Times New Roman" w:cs="Times New Roman" w:eastAsiaTheme="minorEastAsia"/>
                      <w:color w:val="000000" w:themeColor="text1"/>
                      <w:sz w:val="21"/>
                      <w:szCs w:val="21"/>
                      <w:lang w:val="en-US" w:bidi="ar"/>
                    </w:rPr>
                  </w:pPr>
                  <w:r>
                    <w:rPr>
                      <w:rFonts w:hint="eastAsia" w:ascii="Times New Roman" w:hAnsi="Times New Roman" w:cs="Times New Roman" w:eastAsiaTheme="minorEastAsia"/>
                      <w:color w:val="000000" w:themeColor="text1"/>
                      <w:sz w:val="21"/>
                      <w:szCs w:val="21"/>
                      <w:lang w:val="en-US" w:bidi="ar"/>
                    </w:rPr>
                    <w:t>80</w:t>
                  </w:r>
                  <w:r>
                    <w:rPr>
                      <w:rFonts w:ascii="Times New Roman" w:hAnsi="Times New Roman" w:cs="Times New Roman" w:eastAsiaTheme="minorEastAsia"/>
                      <w:color w:val="000000" w:themeColor="text1"/>
                      <w:sz w:val="21"/>
                      <w:szCs w:val="21"/>
                      <w:lang w:bidi="ar"/>
                    </w:rPr>
                    <w:t>%</w:t>
                  </w:r>
                </w:p>
              </w:tc>
              <w:tc>
                <w:tcPr>
                  <w:tcW w:w="639" w:type="pct"/>
                  <w:tcBorders>
                    <w:top w:val="single" w:color="000000" w:sz="4" w:space="0"/>
                    <w:left w:val="single" w:color="000000" w:sz="4" w:space="0"/>
                    <w:bottom w:val="single" w:color="000000" w:sz="4" w:space="0"/>
                    <w:right w:val="single" w:color="000000" w:sz="4" w:space="0"/>
                  </w:tcBorders>
                  <w:vAlign w:val="center"/>
                </w:tcPr>
                <w:p w14:paraId="52032C22">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3</w:t>
                  </w:r>
                </w:p>
              </w:tc>
              <w:tc>
                <w:tcPr>
                  <w:tcW w:w="932" w:type="dxa"/>
                  <w:tcBorders>
                    <w:top w:val="single" w:color="000000" w:sz="4" w:space="0"/>
                    <w:left w:val="single" w:color="000000" w:sz="4" w:space="0"/>
                    <w:bottom w:val="single" w:color="000000" w:sz="4" w:space="0"/>
                    <w:right w:val="single" w:color="000000" w:sz="4" w:space="0"/>
                  </w:tcBorders>
                  <w:vAlign w:val="center"/>
                </w:tcPr>
                <w:p w14:paraId="5EC0F502">
                  <w:pPr>
                    <w:widowControl/>
                    <w:jc w:val="center"/>
                    <w:textAlignment w:val="center"/>
                    <w:rPr>
                      <w:rFonts w:ascii="Times New Roman" w:hAnsi="Times New Roman" w:cs="Times New Roman"/>
                      <w:color w:val="000000" w:themeColor="text1"/>
                      <w:sz w:val="21"/>
                      <w:szCs w:val="21"/>
                      <w:lang w:val="en-US" w:bidi="ar"/>
                    </w:rPr>
                  </w:pPr>
                  <w:r>
                    <w:rPr>
                      <w:rFonts w:ascii="Times New Roman" w:hAnsi="Times New Roman" w:cs="Times New Roman"/>
                      <w:color w:val="000000" w:themeColor="text1"/>
                      <w:sz w:val="21"/>
                      <w:szCs w:val="21"/>
                      <w:lang w:val="en-US" w:bidi="ar"/>
                    </w:rPr>
                    <w:t xml:space="preserve">0.020 </w:t>
                  </w:r>
                </w:p>
              </w:tc>
            </w:tr>
          </w:tbl>
          <w:p w14:paraId="09C06267">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（2）自建污水预处理设施达标</w:t>
            </w:r>
            <w:r>
              <w:rPr>
                <w:rFonts w:ascii="Times New Roman" w:hAnsi="Times New Roman" w:cs="Times New Roman"/>
                <w:color w:val="000000" w:themeColor="text1"/>
                <w:kern w:val="2"/>
                <w:sz w:val="24"/>
                <w:szCs w:val="24"/>
                <w:lang w:val="en-US" w:bidi="ar-SA"/>
              </w:rPr>
              <w:t>可行性分析：</w:t>
            </w:r>
          </w:p>
          <w:p w14:paraId="348BAD03">
            <w:pPr>
              <w:adjustRightInd w:val="0"/>
              <w:spacing w:line="360" w:lineRule="auto"/>
              <w:ind w:firstLine="480" w:firstLineChars="200"/>
              <w:rPr>
                <w:rFonts w:ascii="Times New Roman" w:hAnsi="Times New Roman" w:cs="Times New Roman"/>
                <w:color w:val="000000" w:themeColor="text1"/>
                <w:sz w:val="24"/>
                <w:szCs w:val="24"/>
                <w:u w:val="single"/>
                <w:lang w:val="en-US" w:bidi="ar-SA"/>
              </w:rPr>
            </w:pPr>
            <w:r>
              <w:rPr>
                <w:rFonts w:ascii="Times New Roman" w:hAnsi="Times New Roman" w:cs="Times New Roman"/>
                <w:color w:val="000000" w:themeColor="text1"/>
                <w:sz w:val="24"/>
                <w:szCs w:val="24"/>
                <w:lang w:val="en-US" w:bidi="ar-SA"/>
              </w:rPr>
              <w:t>本项目</w:t>
            </w:r>
            <w:r>
              <w:rPr>
                <w:rFonts w:hint="eastAsia" w:ascii="Times New Roman" w:hAnsi="Times New Roman" w:cs="Times New Roman"/>
                <w:color w:val="000000" w:themeColor="text1"/>
                <w:sz w:val="24"/>
                <w:szCs w:val="24"/>
                <w:lang w:val="en-US" w:bidi="ar-SA"/>
              </w:rPr>
              <w:t>传染病楼预处理设施</w:t>
            </w:r>
            <w:r>
              <w:rPr>
                <w:rFonts w:hint="eastAsia" w:ascii="Times New Roman" w:hAnsi="Times New Roman"/>
                <w:color w:val="000000" w:themeColor="text1"/>
                <w:sz w:val="24"/>
              </w:rPr>
              <w:t>设计规模为</w:t>
            </w:r>
            <w:r>
              <w:rPr>
                <w:rFonts w:hint="eastAsia" w:ascii="Times New Roman" w:hAnsi="Times New Roman"/>
                <w:color w:val="000000" w:themeColor="text1"/>
                <w:sz w:val="24"/>
                <w:lang w:val="en-US"/>
              </w:rPr>
              <w:t>20</w:t>
            </w:r>
            <w:r>
              <w:rPr>
                <w:rFonts w:hint="eastAsia" w:ascii="Times New Roman" w:hAnsi="Times New Roman"/>
                <w:color w:val="000000" w:themeColor="text1"/>
                <w:sz w:val="24"/>
              </w:rPr>
              <w:t>m</w:t>
            </w:r>
            <w:r>
              <w:rPr>
                <w:rFonts w:hint="eastAsia" w:ascii="Times New Roman" w:hAnsi="Times New Roman"/>
                <w:color w:val="000000" w:themeColor="text1"/>
                <w:sz w:val="24"/>
                <w:vertAlign w:val="superscript"/>
              </w:rPr>
              <w:t>3</w:t>
            </w:r>
            <w:r>
              <w:rPr>
                <w:rFonts w:hint="eastAsia" w:ascii="Times New Roman" w:hAnsi="Times New Roman"/>
                <w:color w:val="000000" w:themeColor="text1"/>
                <w:sz w:val="24"/>
              </w:rPr>
              <w:t>/d，</w:t>
            </w:r>
            <w:r>
              <w:rPr>
                <w:rFonts w:hint="eastAsia" w:ascii="Times New Roman" w:hAnsi="Times New Roman" w:cs="Times New Roman"/>
                <w:color w:val="000000" w:themeColor="text1"/>
                <w:sz w:val="24"/>
                <w:szCs w:val="24"/>
                <w:lang w:val="en-US" w:bidi="ar-SA"/>
              </w:rPr>
              <w:t>采用“加氯消毒+脱氯”工艺对项目传染病楼产生的医疗废水进行预处理；</w:t>
            </w:r>
            <w:r>
              <w:rPr>
                <w:rFonts w:hint="eastAsia" w:ascii="Times New Roman" w:hAnsi="Times New Roman" w:cs="Times New Roman"/>
                <w:color w:val="000000" w:themeColor="text1"/>
                <w:kern w:val="2"/>
                <w:sz w:val="24"/>
                <w:szCs w:val="24"/>
                <w:lang w:val="en-US" w:bidi="ar-SA"/>
              </w:rPr>
              <w:t>综合污水处理站设计处理规模为480m</w:t>
            </w:r>
            <w:r>
              <w:rPr>
                <w:rFonts w:hint="eastAsia" w:ascii="Times New Roman" w:hAnsi="Times New Roman" w:cs="Times New Roman"/>
                <w:color w:val="000000" w:themeColor="text1"/>
                <w:kern w:val="2"/>
                <w:sz w:val="24"/>
                <w:szCs w:val="24"/>
                <w:vertAlign w:val="superscript"/>
                <w:lang w:val="en-US" w:bidi="ar-SA"/>
              </w:rPr>
              <w:t>3</w:t>
            </w:r>
            <w:r>
              <w:rPr>
                <w:rFonts w:hint="eastAsia"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sz w:val="24"/>
                <w:szCs w:val="24"/>
                <w:lang w:val="en-US" w:bidi="ar-SA"/>
              </w:rPr>
              <w:t>预处理后的医疗废水与业务综合楼医疗废水一起排入综合污水处理站“格栅池→调节池→厌氧滤池→接触氧化池→二沉池→消毒池→脱氯池→排放工艺”处理，</w:t>
            </w:r>
            <w:r>
              <w:rPr>
                <w:rFonts w:ascii="Times New Roman" w:hAnsi="Times New Roman" w:cs="Times New Roman"/>
                <w:color w:val="000000" w:themeColor="text1"/>
                <w:sz w:val="24"/>
                <w:szCs w:val="24"/>
                <w:lang w:val="en-US" w:bidi="ar-SA"/>
              </w:rPr>
              <w:t>根据《医院污水处理工程技术规范》（HJ2029-2013）污水处理所用工艺，</w:t>
            </w:r>
            <w:r>
              <w:rPr>
                <w:rFonts w:hint="eastAsia" w:ascii="Times New Roman" w:hAnsi="Times New Roman" w:cs="Times New Roman"/>
                <w:color w:val="000000" w:themeColor="text1"/>
                <w:sz w:val="24"/>
                <w:szCs w:val="24"/>
                <w:lang w:val="en-US" w:bidi="ar-SA"/>
              </w:rPr>
              <w:t>新建污水处理站</w:t>
            </w:r>
            <w:r>
              <w:rPr>
                <w:rFonts w:ascii="Times New Roman" w:hAnsi="Times New Roman" w:cs="Times New Roman"/>
                <w:color w:val="000000" w:themeColor="text1"/>
                <w:sz w:val="24"/>
                <w:szCs w:val="24"/>
                <w:lang w:val="en-US" w:bidi="ar-SA"/>
              </w:rPr>
              <w:t>主要采用的有</w:t>
            </w:r>
            <w:r>
              <w:rPr>
                <w:rFonts w:hint="eastAsia" w:ascii="Times New Roman" w:hAnsi="Times New Roman" w:cs="Times New Roman"/>
                <w:color w:val="000000" w:themeColor="text1"/>
                <w:sz w:val="24"/>
                <w:szCs w:val="24"/>
                <w:lang w:val="en-US" w:bidi="ar-SA"/>
              </w:rPr>
              <w:t>四</w:t>
            </w:r>
            <w:r>
              <w:rPr>
                <w:rFonts w:ascii="Times New Roman" w:hAnsi="Times New Roman" w:cs="Times New Roman"/>
                <w:color w:val="000000" w:themeColor="text1"/>
                <w:sz w:val="24"/>
                <w:szCs w:val="24"/>
                <w:lang w:val="en-US" w:bidi="ar-SA"/>
              </w:rPr>
              <w:t>种：</w:t>
            </w:r>
            <w:r>
              <w:rPr>
                <w:rFonts w:hint="eastAsia" w:ascii="Times New Roman" w:hAnsi="Times New Roman" w:cs="Times New Roman"/>
                <w:color w:val="000000" w:themeColor="text1"/>
                <w:sz w:val="24"/>
                <w:szCs w:val="24"/>
                <w:lang w:val="en-US" w:bidi="ar-SA"/>
              </w:rPr>
              <w:t>预消毒、</w:t>
            </w:r>
            <w:r>
              <w:rPr>
                <w:rFonts w:ascii="Times New Roman" w:hAnsi="Times New Roman" w:cs="Times New Roman"/>
                <w:color w:val="000000" w:themeColor="text1"/>
                <w:sz w:val="24"/>
                <w:szCs w:val="24"/>
                <w:lang w:val="en-US" w:bidi="ar-SA"/>
              </w:rPr>
              <w:t>生化处理</w:t>
            </w:r>
            <w:r>
              <w:rPr>
                <w:rFonts w:hint="eastAsia" w:ascii="Times New Roman" w:hAnsi="Times New Roman" w:cs="Times New Roman"/>
                <w:color w:val="000000" w:themeColor="text1"/>
                <w:sz w:val="24"/>
                <w:szCs w:val="24"/>
                <w:lang w:val="en-US" w:bidi="ar-SA"/>
              </w:rPr>
              <w:t>、深度处理、消毒处理。传染病医疗废水先经</w:t>
            </w:r>
            <w:r>
              <w:rPr>
                <w:rFonts w:hint="eastAsia" w:ascii="Times New Roman" w:hAnsi="Times New Roman" w:cs="Times New Roman"/>
                <w:color w:val="000000" w:themeColor="text1"/>
                <w:kern w:val="2"/>
                <w:sz w:val="24"/>
                <w:szCs w:val="24"/>
                <w:lang w:val="en-US" w:bidi="ar-SA"/>
              </w:rPr>
              <w:t>管道收集后进入</w:t>
            </w:r>
            <w:r>
              <w:rPr>
                <w:rFonts w:hint="eastAsia" w:ascii="Times New Roman" w:hAnsi="Times New Roman" w:cs="Times New Roman"/>
                <w:color w:val="000000" w:themeColor="text1"/>
                <w:sz w:val="24"/>
                <w:szCs w:val="24"/>
                <w:lang w:val="en-US" w:bidi="ar-SA"/>
              </w:rPr>
              <w:t>传染病楼预处理设施，</w:t>
            </w:r>
            <w:r>
              <w:rPr>
                <w:rFonts w:ascii="Segoe UI" w:hAnsi="Segoe UI" w:eastAsia="Segoe UI" w:cs="Segoe UI"/>
                <w:color w:val="000000" w:themeColor="text1"/>
                <w:sz w:val="24"/>
                <w:szCs w:val="24"/>
                <w:shd w:val="clear" w:color="auto" w:fill="FFFFFF"/>
              </w:rPr>
              <w:t>该预处理设施首先通过加氯消毒单元对废水进行预消毒，高效灭活污水中的细菌、病毒等病原微生物，降低后续处理环节的生物安全风险；预消毒后的废水随即进入脱氯单元，去除水中残留的余氯，避免余氯抑制或杀灭后续处理系统中的功能微生物，保障生化处理效率。预处理后的传染病楼废水，与业务综合楼综合废水一同排入综合污水处理站，废水首先进入格栅池，通过物理分离去除水中的大颗粒悬浮物（如塑料袋、泥沙等），防止堵塞后续管道与设备；接着流入调节池，对水质、水量进行均化调节，缓解进水波动对生化系统的冲击；随后废水进入厌氧滤池，利用填料上附着的厌氧微生物，将废水中难降解的大分子有机物（如蛋白质、多糖）分解为小分子有机酸，既去除部分有机物，又提升废水可生化性；厌氧滤池出水进入接触氧化池，依托池内好氧微生物的代谢作用，彻底氧化分解小分子有机物；处理后的废水流入二沉池，通过重力沉淀完成固液分离，澄清后的出水进入消毒池，再次投加消毒剂进一步杀灭残留病原微生物，确保出水生物安全性；最后，消毒后的废水进入脱氯池去除残留余氯，最终达标排放。</w:t>
            </w:r>
            <w:r>
              <w:rPr>
                <w:rFonts w:hint="eastAsia" w:ascii="Times New Roman" w:hAnsi="Times New Roman" w:cs="Times New Roman"/>
                <w:snapToGrid w:val="0"/>
                <w:color w:val="000000" w:themeColor="text1"/>
                <w:sz w:val="24"/>
                <w:szCs w:val="24"/>
                <w:lang w:val="en-US"/>
              </w:rPr>
              <w:t>根据</w:t>
            </w:r>
            <w:r>
              <w:rPr>
                <w:rFonts w:ascii="Times New Roman" w:hAnsi="Times New Roman" w:cs="Times New Roman"/>
                <w:snapToGrid w:val="0"/>
                <w:color w:val="000000" w:themeColor="text1"/>
                <w:sz w:val="24"/>
                <w:szCs w:val="24"/>
              </w:rPr>
              <w:t>《医疗机构水污染物排放标准》（GB18466-2005）</w:t>
            </w:r>
            <w:r>
              <w:rPr>
                <w:rFonts w:hint="eastAsia" w:ascii="Times New Roman" w:hAnsi="Times New Roman" w:cs="Times New Roman"/>
                <w:snapToGrid w:val="0"/>
                <w:color w:val="000000" w:themeColor="text1"/>
                <w:sz w:val="24"/>
                <w:szCs w:val="24"/>
                <w:lang w:val="en-US"/>
              </w:rPr>
              <w:t>4.1.5</w:t>
            </w:r>
            <w:r>
              <w:rPr>
                <w:rFonts w:ascii="Times New Roman" w:hAnsi="Times New Roman" w:cs="Times New Roman"/>
                <w:snapToGrid w:val="0"/>
                <w:color w:val="000000" w:themeColor="text1"/>
                <w:sz w:val="24"/>
                <w:szCs w:val="24"/>
              </w:rPr>
              <w:t>规定</w:t>
            </w:r>
            <w:r>
              <w:rPr>
                <w:rFonts w:hint="eastAsia" w:ascii="Times New Roman" w:hAnsi="Times New Roman" w:cs="Times New Roman"/>
                <w:snapToGrid w:val="0"/>
                <w:color w:val="000000" w:themeColor="text1"/>
                <w:sz w:val="24"/>
                <w:szCs w:val="24"/>
              </w:rPr>
              <w:t>，</w:t>
            </w:r>
            <w:r>
              <w:rPr>
                <w:rFonts w:hint="eastAsia" w:ascii="Times New Roman" w:hAnsi="Times New Roman" w:cs="Times New Roman"/>
                <w:snapToGrid w:val="0"/>
                <w:color w:val="000000" w:themeColor="text1"/>
                <w:sz w:val="24"/>
                <w:szCs w:val="24"/>
                <w:lang w:val="en-US"/>
              </w:rPr>
              <w:t>带传染病房的综合医疗机构，应将传染病房污水与非传染病房污水分开。传染病房的污水、粪便经过消毒后方可与其他污水合并处理。</w:t>
            </w:r>
            <w:r>
              <w:rPr>
                <w:rStyle w:val="34"/>
                <w:rFonts w:hint="eastAsia" w:ascii="Times New Roman" w:hAnsi="Times New Roman"/>
                <w:color w:val="000000" w:themeColor="text1"/>
                <w:sz w:val="24"/>
                <w:szCs w:val="24"/>
                <w:lang w:val="en-US"/>
              </w:rPr>
              <w:t>本项目传染病预处理设施+综合污水处理站，含有预消毒、生化处理、深度处理、消毒处理工序，故本项目传染性废水经传染病预处理设施处理后与业务综合楼综合废水一起排入综合污水处理站工艺</w:t>
            </w:r>
            <w:r>
              <w:rPr>
                <w:rFonts w:hint="eastAsia" w:ascii="Times New Roman" w:hAnsi="Times New Roman" w:cs="Times New Roman"/>
                <w:color w:val="000000" w:themeColor="text1"/>
                <w:sz w:val="24"/>
                <w:szCs w:val="24"/>
                <w:lang w:val="en-US" w:bidi="ar-SA"/>
              </w:rPr>
              <w:t>可行。</w:t>
            </w:r>
            <w:r>
              <w:rPr>
                <w:rFonts w:hint="eastAsia" w:ascii="Times New Roman" w:hAnsi="Times New Roman"/>
                <w:color w:val="000000" w:themeColor="text1"/>
                <w:sz w:val="24"/>
                <w:u w:val="single"/>
              </w:rPr>
              <w:t>根据永福县人民医院2</w:t>
            </w:r>
            <w:r>
              <w:rPr>
                <w:rFonts w:ascii="Times New Roman" w:hAnsi="Times New Roman"/>
                <w:color w:val="000000" w:themeColor="text1"/>
                <w:sz w:val="24"/>
                <w:u w:val="single"/>
              </w:rPr>
              <w:t>02</w:t>
            </w:r>
            <w:r>
              <w:rPr>
                <w:rFonts w:hint="eastAsia" w:ascii="Times New Roman" w:hAnsi="Times New Roman"/>
                <w:color w:val="000000" w:themeColor="text1"/>
                <w:sz w:val="24"/>
                <w:u w:val="single"/>
                <w:lang w:val="en-US"/>
              </w:rPr>
              <w:t>5</w:t>
            </w:r>
            <w:r>
              <w:rPr>
                <w:rFonts w:ascii="Times New Roman" w:hAnsi="Times New Roman"/>
                <w:color w:val="000000" w:themeColor="text1"/>
                <w:sz w:val="24"/>
                <w:u w:val="single"/>
              </w:rPr>
              <w:t>年排污许可证</w:t>
            </w:r>
            <w:r>
              <w:rPr>
                <w:rFonts w:hint="eastAsia" w:ascii="Times New Roman" w:hAnsi="Times New Roman"/>
                <w:color w:val="000000" w:themeColor="text1"/>
                <w:sz w:val="24"/>
                <w:u w:val="single"/>
              </w:rPr>
              <w:t>自行监测报告，</w:t>
            </w:r>
            <w:r>
              <w:rPr>
                <w:rFonts w:hint="eastAsia" w:ascii="Times New Roman" w:hAnsi="Times New Roman"/>
                <w:color w:val="000000" w:themeColor="text1"/>
                <w:sz w:val="24"/>
                <w:u w:val="single"/>
                <w:lang w:val="en-US"/>
              </w:rPr>
              <w:t>具体见上文表2-5监测数据所示，</w:t>
            </w:r>
            <w:r>
              <w:rPr>
                <w:rFonts w:hint="eastAsia" w:ascii="Times New Roman" w:hAnsi="Times New Roman"/>
                <w:color w:val="000000" w:themeColor="text1"/>
                <w:sz w:val="24"/>
                <w:u w:val="single"/>
              </w:rPr>
              <w:t>原有医疗废水</w:t>
            </w:r>
            <w:r>
              <w:rPr>
                <w:rFonts w:ascii="Times New Roman" w:hAnsi="Times New Roman"/>
                <w:color w:val="000000" w:themeColor="text1"/>
                <w:sz w:val="24"/>
                <w:u w:val="single"/>
              </w:rPr>
              <w:t>经</w:t>
            </w:r>
            <w:r>
              <w:rPr>
                <w:rFonts w:hint="eastAsia" w:ascii="Times New Roman" w:hAnsi="Times New Roman"/>
                <w:color w:val="000000" w:themeColor="text1"/>
                <w:sz w:val="24"/>
                <w:u w:val="single"/>
              </w:rPr>
              <w:t>医院综合污水处理站</w:t>
            </w:r>
            <w:r>
              <w:rPr>
                <w:rFonts w:ascii="Times New Roman" w:hAnsi="Times New Roman"/>
                <w:color w:val="000000" w:themeColor="text1"/>
                <w:sz w:val="24"/>
                <w:u w:val="single"/>
              </w:rPr>
              <w:t>处理后能够</w:t>
            </w:r>
            <w:r>
              <w:rPr>
                <w:rFonts w:hint="eastAsia" w:ascii="Times New Roman" w:hAnsi="Times New Roman"/>
                <w:color w:val="000000" w:themeColor="text1"/>
                <w:sz w:val="24"/>
                <w:u w:val="single"/>
              </w:rPr>
              <w:t>达到</w:t>
            </w:r>
            <w:r>
              <w:rPr>
                <w:rFonts w:ascii="Times New Roman" w:hAnsi="Times New Roman"/>
                <w:color w:val="000000" w:themeColor="text1"/>
                <w:sz w:val="24"/>
                <w:u w:val="single"/>
              </w:rPr>
              <w:t>《医疗机构水污染物排放标准》(GB18466-2005)表2预处理排放限值，处理后的废水经市政污水管网排入</w:t>
            </w:r>
            <w:r>
              <w:rPr>
                <w:rFonts w:hint="eastAsia" w:ascii="Times New Roman" w:hAnsi="Times New Roman"/>
                <w:color w:val="000000" w:themeColor="text1"/>
                <w:sz w:val="24"/>
                <w:u w:val="single"/>
              </w:rPr>
              <w:t>永福县益源污水处理厂</w:t>
            </w:r>
            <w:r>
              <w:rPr>
                <w:rFonts w:ascii="Times New Roman" w:hAnsi="Times New Roman"/>
                <w:color w:val="000000" w:themeColor="text1"/>
                <w:sz w:val="24"/>
                <w:u w:val="single"/>
              </w:rPr>
              <w:t>进行深度处理</w:t>
            </w:r>
            <w:r>
              <w:rPr>
                <w:rFonts w:hint="eastAsia" w:ascii="Times New Roman" w:hAnsi="Times New Roman"/>
                <w:color w:val="000000" w:themeColor="text1"/>
                <w:sz w:val="24"/>
                <w:u w:val="single"/>
              </w:rPr>
              <w:t>。</w:t>
            </w:r>
          </w:p>
          <w:p w14:paraId="6D790A47">
            <w:pPr>
              <w:autoSpaceDE/>
              <w:autoSpaceDN/>
              <w:spacing w:line="360" w:lineRule="auto"/>
              <w:ind w:firstLine="480" w:firstLineChars="200"/>
              <w:jc w:val="both"/>
              <w:rPr>
                <w:rFonts w:ascii="Times New Roman" w:hAnsi="Times New Roman" w:cs="Times New Roman"/>
                <w:color w:val="000000" w:themeColor="text1"/>
                <w:kern w:val="2"/>
                <w:sz w:val="24"/>
                <w:szCs w:val="24"/>
                <w:u w:val="single"/>
                <w:lang w:val="en-US" w:bidi="ar-SA"/>
              </w:rPr>
            </w:pPr>
            <w:r>
              <w:rPr>
                <w:rFonts w:hint="eastAsia" w:ascii="Times New Roman" w:hAnsi="Times New Roman" w:cs="Times New Roman"/>
                <w:color w:val="000000" w:themeColor="text1"/>
                <w:kern w:val="2"/>
                <w:sz w:val="24"/>
                <w:szCs w:val="24"/>
                <w:lang w:val="en-US" w:bidi="ar-SA"/>
              </w:rPr>
              <w:t>（3）</w:t>
            </w:r>
            <w:r>
              <w:rPr>
                <w:rFonts w:hint="eastAsia" w:ascii="Times New Roman" w:hAnsi="Times New Roman" w:cs="Times New Roman"/>
                <w:color w:val="000000" w:themeColor="text1"/>
                <w:kern w:val="2"/>
                <w:sz w:val="24"/>
                <w:szCs w:val="24"/>
                <w:u w:val="single"/>
                <w:lang w:val="en-US" w:bidi="ar-SA"/>
              </w:rPr>
              <w:t>依托医院综合污水处理站、隔油池、化粪池、应急池</w:t>
            </w:r>
            <w:r>
              <w:rPr>
                <w:rFonts w:ascii="Times New Roman" w:hAnsi="Times New Roman" w:cs="Times New Roman"/>
                <w:color w:val="000000" w:themeColor="text1"/>
                <w:kern w:val="2"/>
                <w:sz w:val="24"/>
                <w:szCs w:val="24"/>
                <w:u w:val="single"/>
                <w:lang w:val="en-US" w:bidi="ar-SA"/>
              </w:rPr>
              <w:t>可行性分析：</w:t>
            </w:r>
          </w:p>
          <w:p w14:paraId="578C3CDA">
            <w:pPr>
              <w:adjustRightInd w:val="0"/>
              <w:spacing w:line="360" w:lineRule="auto"/>
              <w:ind w:firstLine="480" w:firstLineChars="200"/>
              <w:rPr>
                <w:rFonts w:ascii="Times New Roman" w:hAnsi="Times New Roman" w:cs="Times New Roman"/>
                <w:color w:val="000000" w:themeColor="text1"/>
                <w:kern w:val="2"/>
                <w:sz w:val="24"/>
                <w:szCs w:val="24"/>
                <w:u w:val="single"/>
                <w:lang w:val="en-US" w:bidi="ar-SA"/>
              </w:rPr>
            </w:pPr>
            <w:r>
              <w:rPr>
                <w:rFonts w:hint="eastAsia" w:ascii="Times New Roman" w:hAnsi="Times New Roman" w:cs="Times New Roman"/>
                <w:color w:val="000000" w:themeColor="text1"/>
                <w:sz w:val="24"/>
                <w:szCs w:val="24"/>
                <w:u w:val="single"/>
                <w:lang w:val="en-US"/>
              </w:rPr>
              <w:t>根据现场踏勘并结合永福县人民医院2025年排污许可证自行监测报告</w:t>
            </w:r>
            <w:r>
              <w:rPr>
                <w:rFonts w:hint="eastAsia" w:ascii="Times New Roman" w:hAnsi="Times New Roman"/>
                <w:bCs/>
                <w:color w:val="000000" w:themeColor="text1"/>
                <w:sz w:val="24"/>
                <w:szCs w:val="24"/>
                <w:u w:val="single"/>
                <w:lang w:val="en-US"/>
              </w:rPr>
              <w:t>，综合污水处理站</w:t>
            </w:r>
            <w:r>
              <w:rPr>
                <w:rFonts w:hint="eastAsia" w:ascii="Times New Roman" w:hAnsi="Times New Roman"/>
                <w:color w:val="000000" w:themeColor="text1"/>
                <w:sz w:val="24"/>
                <w:u w:val="single"/>
              </w:rPr>
              <w:t>设计规模为</w:t>
            </w:r>
            <w:r>
              <w:rPr>
                <w:rFonts w:hint="eastAsia" w:ascii="Times New Roman" w:hAnsi="Times New Roman"/>
                <w:color w:val="000000" w:themeColor="text1"/>
                <w:sz w:val="24"/>
                <w:u w:val="single"/>
                <w:lang w:val="en-US"/>
              </w:rPr>
              <w:t>480</w:t>
            </w:r>
            <w:r>
              <w:rPr>
                <w:rFonts w:hint="eastAsia" w:ascii="Times New Roman" w:hAnsi="Times New Roman"/>
                <w:color w:val="000000" w:themeColor="text1"/>
                <w:sz w:val="24"/>
                <w:u w:val="single"/>
              </w:rPr>
              <w:t>m</w:t>
            </w:r>
            <w:r>
              <w:rPr>
                <w:rFonts w:hint="eastAsia" w:ascii="Times New Roman" w:hAnsi="Times New Roman"/>
                <w:color w:val="000000" w:themeColor="text1"/>
                <w:sz w:val="24"/>
                <w:u w:val="single"/>
                <w:vertAlign w:val="superscript"/>
              </w:rPr>
              <w:t>3</w:t>
            </w:r>
            <w:r>
              <w:rPr>
                <w:rFonts w:hint="eastAsia" w:ascii="Times New Roman" w:hAnsi="Times New Roman"/>
                <w:color w:val="000000" w:themeColor="text1"/>
                <w:sz w:val="24"/>
                <w:u w:val="single"/>
              </w:rPr>
              <w:t>/d，工艺采用</w:t>
            </w:r>
            <w:r>
              <w:rPr>
                <w:rFonts w:hint="eastAsia" w:ascii="Times New Roman" w:hAnsi="Times New Roman" w:cs="Times New Roman"/>
                <w:color w:val="000000" w:themeColor="text1"/>
                <w:kern w:val="2"/>
                <w:sz w:val="24"/>
                <w:szCs w:val="24"/>
                <w:u w:val="single"/>
                <w:lang w:val="en-US" w:bidi="ar-SA"/>
              </w:rPr>
              <w:t>“格栅池→调节池→厌氧滤池→接触氧化池→二沉池→消毒池→脱氯池”</w:t>
            </w:r>
            <w:r>
              <w:rPr>
                <w:rFonts w:hint="eastAsia" w:ascii="Times New Roman" w:hAnsi="Times New Roman"/>
                <w:color w:val="000000" w:themeColor="text1"/>
                <w:sz w:val="24"/>
                <w:u w:val="single"/>
              </w:rPr>
              <w:t>，该工艺</w:t>
            </w:r>
            <w:r>
              <w:rPr>
                <w:rFonts w:hint="eastAsia" w:ascii="Times New Roman" w:hAnsi="Times New Roman" w:cs="Times New Roman"/>
                <w:color w:val="000000" w:themeColor="text1"/>
                <w:sz w:val="24"/>
                <w:szCs w:val="24"/>
                <w:u w:val="single"/>
                <w:lang w:val="en-US" w:bidi="ar-SA"/>
              </w:rPr>
              <w:t>属于</w:t>
            </w:r>
            <w:r>
              <w:rPr>
                <w:rFonts w:ascii="Times New Roman" w:hAnsi="Times New Roman" w:cs="Times New Roman"/>
                <w:color w:val="000000" w:themeColor="text1"/>
                <w:sz w:val="24"/>
                <w:szCs w:val="24"/>
                <w:u w:val="single"/>
                <w:lang w:val="en-US" w:bidi="ar-SA"/>
              </w:rPr>
              <w:t>《医院污水处理工程技术规范》（HJ2029-2013）推荐工艺</w:t>
            </w:r>
            <w:r>
              <w:rPr>
                <w:rFonts w:hint="eastAsia" w:ascii="Times New Roman" w:hAnsi="Times New Roman" w:cs="Times New Roman"/>
                <w:color w:val="000000" w:themeColor="text1"/>
                <w:sz w:val="24"/>
                <w:szCs w:val="24"/>
                <w:u w:val="single"/>
                <w:lang w:val="en-US" w:bidi="ar-SA"/>
              </w:rPr>
              <w:t>，且根据永福县人民医院2025年排污许可证自行监测报告，具体见上文表2-5监测数据所示，原有医疗废水经医院综合污水处理站处理后能够达到《医疗机构水污染物排放标准》(GB18466-2005)表2预处理排放限值，说明该工艺可行，</w:t>
            </w:r>
            <w:r>
              <w:rPr>
                <w:rFonts w:hint="eastAsia" w:ascii="Times New Roman" w:hAnsi="Times New Roman" w:cs="Times New Roman"/>
                <w:color w:val="000000" w:themeColor="text1"/>
                <w:kern w:val="2"/>
                <w:sz w:val="24"/>
                <w:szCs w:val="24"/>
                <w:u w:val="single"/>
                <w:lang w:val="en-US" w:bidi="ar-SA"/>
              </w:rPr>
              <w:t>本项目进</w:t>
            </w:r>
            <w:r>
              <w:rPr>
                <w:rFonts w:hint="eastAsia" w:ascii="Times New Roman" w:hAnsi="Times New Roman"/>
                <w:color w:val="000000" w:themeColor="text1"/>
                <w:sz w:val="24"/>
                <w:u w:val="single"/>
              </w:rPr>
              <w:t>综合污水处理站</w:t>
            </w:r>
            <w:r>
              <w:rPr>
                <w:rFonts w:hint="eastAsia" w:ascii="Times New Roman" w:hAnsi="Times New Roman" w:cs="Times New Roman"/>
                <w:color w:val="000000" w:themeColor="text1"/>
                <w:kern w:val="2"/>
                <w:sz w:val="24"/>
                <w:szCs w:val="24"/>
                <w:u w:val="single"/>
                <w:lang w:val="en-US" w:bidi="ar-SA"/>
              </w:rPr>
              <w:t>废水量为109.58m</w:t>
            </w:r>
            <w:r>
              <w:rPr>
                <w:rFonts w:hint="eastAsia" w:ascii="Times New Roman" w:hAnsi="Times New Roman" w:cs="Times New Roman"/>
                <w:color w:val="000000" w:themeColor="text1"/>
                <w:kern w:val="2"/>
                <w:sz w:val="24"/>
                <w:szCs w:val="24"/>
                <w:u w:val="single"/>
                <w:vertAlign w:val="superscript"/>
                <w:lang w:val="en-US" w:bidi="ar-SA"/>
              </w:rPr>
              <w:t>3</w:t>
            </w:r>
            <w:r>
              <w:rPr>
                <w:rFonts w:hint="eastAsia"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sz w:val="24"/>
                <w:szCs w:val="24"/>
                <w:u w:val="single"/>
                <w:lang w:val="en-US" w:bidi="ar-SA"/>
              </w:rPr>
              <w:t>，</w:t>
            </w:r>
            <w:r>
              <w:rPr>
                <w:rFonts w:hint="eastAsia" w:ascii="Times New Roman" w:hAnsi="Times New Roman" w:cs="Times New Roman"/>
                <w:color w:val="000000" w:themeColor="text1"/>
                <w:sz w:val="24"/>
                <w:szCs w:val="24"/>
                <w:u w:val="single"/>
                <w:lang w:val="en-US"/>
              </w:rPr>
              <w:t>原有项目进</w:t>
            </w:r>
            <w:r>
              <w:rPr>
                <w:rFonts w:hint="eastAsia" w:ascii="Times New Roman" w:hAnsi="Times New Roman"/>
                <w:color w:val="000000" w:themeColor="text1"/>
                <w:sz w:val="24"/>
                <w:u w:val="single"/>
              </w:rPr>
              <w:t>综合污水处理站</w:t>
            </w:r>
            <w:r>
              <w:rPr>
                <w:rFonts w:hint="eastAsia" w:ascii="Times New Roman" w:hAnsi="Times New Roman" w:cs="Times New Roman"/>
                <w:color w:val="000000" w:themeColor="text1"/>
                <w:sz w:val="24"/>
                <w:szCs w:val="24"/>
                <w:u w:val="single"/>
                <w:lang w:val="en-US"/>
              </w:rPr>
              <w:t>污水排放量为</w:t>
            </w:r>
            <w:r>
              <w:rPr>
                <w:rFonts w:hint="eastAsia" w:ascii="Times New Roman" w:hAnsi="Times New Roman" w:cs="Times New Roman"/>
                <w:color w:val="000000" w:themeColor="text1"/>
                <w:kern w:val="2"/>
                <w:sz w:val="24"/>
                <w:szCs w:val="24"/>
                <w:u w:val="single"/>
                <w:lang w:val="en-US" w:bidi="ar-SA"/>
              </w:rPr>
              <w:t>170.42</w:t>
            </w:r>
            <w:r>
              <w:rPr>
                <w:rFonts w:ascii="Times New Roman" w:hAnsi="Times New Roman" w:cs="Times New Roman"/>
                <w:color w:val="000000" w:themeColor="text1"/>
                <w:sz w:val="24"/>
                <w:szCs w:val="24"/>
                <w:u w:val="single"/>
              </w:rPr>
              <w:t>m</w:t>
            </w:r>
            <w:r>
              <w:rPr>
                <w:rFonts w:ascii="Times New Roman" w:hAnsi="Times New Roman" w:cs="Times New Roman"/>
                <w:color w:val="000000" w:themeColor="text1"/>
                <w:sz w:val="24"/>
                <w:szCs w:val="24"/>
                <w:u w:val="single"/>
                <w:vertAlign w:val="superscript"/>
              </w:rPr>
              <w:t>3</w:t>
            </w:r>
            <w:r>
              <w:rPr>
                <w:rFonts w:ascii="Times New Roman" w:hAnsi="Times New Roman" w:cs="Times New Roman"/>
                <w:color w:val="000000" w:themeColor="text1"/>
                <w:sz w:val="24"/>
                <w:szCs w:val="24"/>
                <w:u w:val="single"/>
              </w:rPr>
              <w:t>/d</w:t>
            </w:r>
            <w:r>
              <w:rPr>
                <w:rFonts w:hint="eastAsia" w:ascii="Times New Roman" w:hAnsi="Times New Roman" w:cs="Times New Roman"/>
                <w:color w:val="000000" w:themeColor="text1"/>
                <w:sz w:val="24"/>
                <w:szCs w:val="24"/>
                <w:u w:val="single"/>
              </w:rPr>
              <w:t>，</w:t>
            </w:r>
            <w:r>
              <w:rPr>
                <w:rFonts w:hint="eastAsia" w:ascii="Times New Roman" w:hAnsi="Times New Roman"/>
                <w:color w:val="000000" w:themeColor="text1"/>
                <w:sz w:val="24"/>
                <w:u w:val="single"/>
                <w:lang w:val="en-US"/>
              </w:rPr>
              <w:t>在建项目进</w:t>
            </w:r>
            <w:r>
              <w:rPr>
                <w:rFonts w:hint="eastAsia" w:ascii="Times New Roman" w:hAnsi="Times New Roman"/>
                <w:color w:val="000000" w:themeColor="text1"/>
                <w:sz w:val="24"/>
                <w:u w:val="single"/>
              </w:rPr>
              <w:t>综合污水处理站</w:t>
            </w:r>
            <w:r>
              <w:rPr>
                <w:rFonts w:hint="eastAsia" w:ascii="Times New Roman" w:hAnsi="Times New Roman" w:cs="Times New Roman"/>
                <w:color w:val="000000" w:themeColor="text1"/>
                <w:sz w:val="24"/>
                <w:szCs w:val="24"/>
                <w:u w:val="single"/>
                <w:lang w:val="en-US"/>
              </w:rPr>
              <w:t>污水排放量为176.66</w:t>
            </w:r>
            <w:r>
              <w:rPr>
                <w:rFonts w:ascii="Times New Roman" w:hAnsi="Times New Roman" w:cs="Times New Roman"/>
                <w:color w:val="000000" w:themeColor="text1"/>
                <w:sz w:val="24"/>
                <w:szCs w:val="24"/>
                <w:u w:val="single"/>
              </w:rPr>
              <w:t>m</w:t>
            </w:r>
            <w:r>
              <w:rPr>
                <w:rFonts w:ascii="Times New Roman" w:hAnsi="Times New Roman" w:cs="Times New Roman"/>
                <w:color w:val="000000" w:themeColor="text1"/>
                <w:sz w:val="24"/>
                <w:szCs w:val="24"/>
                <w:u w:val="single"/>
                <w:vertAlign w:val="superscript"/>
              </w:rPr>
              <w:t>3</w:t>
            </w:r>
            <w:r>
              <w:rPr>
                <w:rFonts w:ascii="Times New Roman" w:hAnsi="Times New Roman" w:cs="Times New Roman"/>
                <w:color w:val="000000" w:themeColor="text1"/>
                <w:sz w:val="24"/>
                <w:szCs w:val="24"/>
                <w:u w:val="single"/>
              </w:rPr>
              <w:t>/d</w:t>
            </w:r>
            <w:r>
              <w:rPr>
                <w:rFonts w:hint="eastAsia" w:ascii="Times New Roman" w:hAnsi="Times New Roman" w:cs="Times New Roman"/>
                <w:color w:val="000000" w:themeColor="text1"/>
                <w:sz w:val="24"/>
                <w:szCs w:val="24"/>
                <w:u w:val="single"/>
              </w:rPr>
              <w:t>，</w:t>
            </w:r>
            <w:r>
              <w:rPr>
                <w:rFonts w:hint="eastAsia" w:ascii="Times New Roman" w:hAnsi="Times New Roman" w:cs="Times New Roman"/>
                <w:color w:val="000000" w:themeColor="text1"/>
                <w:sz w:val="24"/>
                <w:szCs w:val="24"/>
                <w:u w:val="single"/>
                <w:lang w:val="en-US"/>
              </w:rPr>
              <w:t>共计456.66</w:t>
            </w:r>
            <w:r>
              <w:rPr>
                <w:rFonts w:ascii="Times New Roman" w:hAnsi="Times New Roman" w:cs="Times New Roman"/>
                <w:color w:val="000000" w:themeColor="text1"/>
                <w:sz w:val="24"/>
                <w:szCs w:val="24"/>
                <w:u w:val="single"/>
              </w:rPr>
              <w:t>m</w:t>
            </w:r>
            <w:r>
              <w:rPr>
                <w:rFonts w:ascii="Times New Roman" w:hAnsi="Times New Roman" w:cs="Times New Roman"/>
                <w:color w:val="000000" w:themeColor="text1"/>
                <w:sz w:val="24"/>
                <w:szCs w:val="24"/>
                <w:u w:val="single"/>
                <w:vertAlign w:val="superscript"/>
              </w:rPr>
              <w:t>3</w:t>
            </w:r>
            <w:r>
              <w:rPr>
                <w:rFonts w:ascii="Times New Roman" w:hAnsi="Times New Roman" w:cs="Times New Roman"/>
                <w:color w:val="000000" w:themeColor="text1"/>
                <w:sz w:val="24"/>
                <w:szCs w:val="24"/>
                <w:u w:val="single"/>
              </w:rPr>
              <w:t>/d</w:t>
            </w:r>
            <w:r>
              <w:rPr>
                <w:rFonts w:hint="eastAsia" w:ascii="Times New Roman" w:hAnsi="Times New Roman" w:cs="Times New Roman"/>
                <w:color w:val="000000" w:themeColor="text1"/>
                <w:sz w:val="24"/>
                <w:szCs w:val="24"/>
                <w:u w:val="single"/>
              </w:rPr>
              <w:t>，</w:t>
            </w:r>
            <w:r>
              <w:rPr>
                <w:rFonts w:hint="eastAsia" w:ascii="Times New Roman" w:hAnsi="Times New Roman" w:cs="Times New Roman"/>
                <w:color w:val="000000" w:themeColor="text1"/>
                <w:kern w:val="2"/>
                <w:sz w:val="24"/>
                <w:szCs w:val="24"/>
                <w:u w:val="single"/>
                <w:lang w:val="en-US" w:bidi="ar-SA"/>
              </w:rPr>
              <w:t>未超过</w:t>
            </w:r>
            <w:r>
              <w:rPr>
                <w:rFonts w:hint="eastAsia" w:ascii="Times New Roman" w:hAnsi="Times New Roman"/>
                <w:color w:val="000000" w:themeColor="text1"/>
                <w:sz w:val="24"/>
                <w:u w:val="single"/>
              </w:rPr>
              <w:t>综合污水处理站</w:t>
            </w:r>
            <w:r>
              <w:rPr>
                <w:rFonts w:hint="eastAsia" w:ascii="Times New Roman" w:hAnsi="Times New Roman" w:cs="Times New Roman"/>
                <w:color w:val="000000" w:themeColor="text1"/>
                <w:kern w:val="2"/>
                <w:sz w:val="24"/>
                <w:szCs w:val="24"/>
                <w:u w:val="single"/>
                <w:lang w:val="en-US" w:bidi="ar-SA"/>
              </w:rPr>
              <w:t>设计规模。本项目传染性废水经传染病预处理设施处理后与业务综合楼废水一起排入综合污水处理站，不会因为水质问题导致原污水处理站处理效率下降。根据</w:t>
            </w:r>
            <w:r>
              <w:rPr>
                <w:rFonts w:ascii="Times New Roman" w:hAnsi="Times New Roman" w:cs="Times New Roman"/>
                <w:color w:val="000000" w:themeColor="text1"/>
                <w:sz w:val="24"/>
                <w:szCs w:val="24"/>
                <w:u w:val="single"/>
                <w:lang w:val="en-US" w:bidi="ar-SA"/>
              </w:rPr>
              <w:t>《医院污水处理工程技术规范》（HJ2029-2013）</w:t>
            </w:r>
            <w:r>
              <w:rPr>
                <w:rFonts w:hint="eastAsia" w:ascii="Times New Roman" w:hAnsi="Times New Roman" w:cs="Times New Roman"/>
                <w:color w:val="000000" w:themeColor="text1"/>
                <w:sz w:val="24"/>
                <w:szCs w:val="24"/>
                <w:u w:val="single"/>
                <w:lang w:val="en-US" w:bidi="ar-SA"/>
              </w:rPr>
              <w:t>12.4.1要求“传染病医院污水处理工程应急事故池容积不小于日排放量的100%，非传染病医院污水处理工程应急事故池容积不小于日排放量的30%”，在建的专病综合楼会配套相应应急池，原有项目、本项目事故废水由原有应急池收集，即应急事故池容积不小于90.2</w:t>
            </w:r>
            <w:r>
              <w:rPr>
                <w:rFonts w:hint="eastAsia" w:ascii="Times New Roman" w:hAnsi="Times New Roman"/>
                <w:color w:val="000000" w:themeColor="text1"/>
                <w:sz w:val="24"/>
                <w:u w:val="single"/>
              </w:rPr>
              <w:t>m</w:t>
            </w:r>
            <w:r>
              <w:rPr>
                <w:rFonts w:hint="eastAsia" w:ascii="Times New Roman" w:hAnsi="Times New Roman"/>
                <w:color w:val="000000" w:themeColor="text1"/>
                <w:sz w:val="24"/>
                <w:u w:val="single"/>
                <w:vertAlign w:val="superscript"/>
              </w:rPr>
              <w:t>3</w:t>
            </w:r>
            <w:r>
              <w:rPr>
                <w:rFonts w:hint="eastAsia" w:ascii="Times New Roman" w:hAnsi="Times New Roman"/>
                <w:color w:val="000000" w:themeColor="text1"/>
                <w:sz w:val="24"/>
                <w:u w:val="single"/>
              </w:rPr>
              <w:t>，</w:t>
            </w:r>
            <w:r>
              <w:rPr>
                <w:rFonts w:hint="eastAsia" w:ascii="Times New Roman" w:hAnsi="Times New Roman" w:cs="Times New Roman"/>
                <w:color w:val="000000" w:themeColor="text1"/>
                <w:sz w:val="24"/>
                <w:szCs w:val="24"/>
                <w:u w:val="single"/>
                <w:lang w:val="en-US" w:bidi="ar-SA"/>
              </w:rPr>
              <w:t>原有</w:t>
            </w:r>
            <w:r>
              <w:rPr>
                <w:rFonts w:hint="eastAsia" w:ascii="Times New Roman" w:hAnsi="Times New Roman"/>
                <w:color w:val="000000" w:themeColor="text1"/>
                <w:sz w:val="24"/>
                <w:u w:val="single"/>
                <w:lang w:val="en-US"/>
              </w:rPr>
              <w:t>应急池容积为95</w:t>
            </w:r>
            <w:r>
              <w:rPr>
                <w:rFonts w:hint="eastAsia" w:ascii="Times New Roman" w:hAnsi="Times New Roman"/>
                <w:color w:val="000000" w:themeColor="text1"/>
                <w:sz w:val="24"/>
                <w:u w:val="single"/>
              </w:rPr>
              <w:t>m</w:t>
            </w:r>
            <w:r>
              <w:rPr>
                <w:rFonts w:hint="eastAsia" w:ascii="Times New Roman" w:hAnsi="Times New Roman"/>
                <w:color w:val="000000" w:themeColor="text1"/>
                <w:sz w:val="24"/>
                <w:u w:val="single"/>
                <w:vertAlign w:val="superscript"/>
              </w:rPr>
              <w:t>3</w:t>
            </w:r>
            <w:r>
              <w:rPr>
                <w:rFonts w:hint="eastAsia" w:ascii="Times New Roman" w:hAnsi="Times New Roman"/>
                <w:color w:val="000000" w:themeColor="text1"/>
                <w:sz w:val="24"/>
                <w:u w:val="single"/>
              </w:rPr>
              <w:t>，</w:t>
            </w:r>
            <w:r>
              <w:rPr>
                <w:rFonts w:hint="eastAsia" w:ascii="Times New Roman" w:hAnsi="Times New Roman"/>
                <w:color w:val="000000" w:themeColor="text1"/>
                <w:sz w:val="24"/>
                <w:u w:val="single"/>
                <w:lang w:val="en-US"/>
              </w:rPr>
              <w:t>满足医院医疗废水事故状态下的收集。</w:t>
            </w:r>
            <w:r>
              <w:rPr>
                <w:rFonts w:hint="eastAsia" w:ascii="Times New Roman" w:hAnsi="Times New Roman" w:cs="Times New Roman"/>
                <w:color w:val="000000" w:themeColor="text1"/>
                <w:sz w:val="24"/>
                <w:u w:val="single"/>
                <w:lang w:val="en-US"/>
              </w:rPr>
              <w:t>本项目食堂废水量为</w:t>
            </w:r>
            <w:r>
              <w:rPr>
                <w:rFonts w:hint="eastAsia" w:ascii="Times New Roman" w:hAnsi="Times New Roman" w:cs="Times New Roman"/>
                <w:color w:val="000000" w:themeColor="text1"/>
                <w:sz w:val="24"/>
                <w:szCs w:val="24"/>
                <w:u w:val="single"/>
                <w:lang w:val="en-US"/>
              </w:rPr>
              <w:t>3.26</w:t>
            </w:r>
            <w:r>
              <w:rPr>
                <w:rFonts w:ascii="Times New Roman" w:hAnsi="Times New Roman" w:cs="Times New Roman"/>
                <w:color w:val="000000" w:themeColor="text1"/>
                <w:sz w:val="24"/>
                <w:szCs w:val="24"/>
                <w:u w:val="single"/>
              </w:rPr>
              <w:t>m</w:t>
            </w:r>
            <w:r>
              <w:rPr>
                <w:rFonts w:ascii="Times New Roman" w:hAnsi="Times New Roman" w:cs="Times New Roman"/>
                <w:color w:val="000000" w:themeColor="text1"/>
                <w:sz w:val="24"/>
                <w:szCs w:val="24"/>
                <w:u w:val="single"/>
                <w:vertAlign w:val="superscript"/>
              </w:rPr>
              <w:t>3</w:t>
            </w:r>
            <w:r>
              <w:rPr>
                <w:rFonts w:ascii="Times New Roman" w:hAnsi="Times New Roman" w:cs="Times New Roman"/>
                <w:color w:val="000000" w:themeColor="text1"/>
                <w:sz w:val="24"/>
                <w:szCs w:val="24"/>
                <w:u w:val="single"/>
              </w:rPr>
              <w:t>/d</w:t>
            </w:r>
            <w:r>
              <w:rPr>
                <w:rFonts w:hint="eastAsia" w:ascii="Times New Roman" w:hAnsi="Times New Roman" w:cs="Times New Roman"/>
                <w:color w:val="000000" w:themeColor="text1"/>
                <w:sz w:val="24"/>
                <w:szCs w:val="24"/>
                <w:u w:val="single"/>
              </w:rPr>
              <w:t>，</w:t>
            </w:r>
            <w:r>
              <w:rPr>
                <w:rFonts w:hint="eastAsia" w:ascii="Times New Roman" w:hAnsi="Times New Roman" w:cs="Times New Roman"/>
                <w:color w:val="000000" w:themeColor="text1"/>
                <w:sz w:val="24"/>
                <w:szCs w:val="24"/>
                <w:u w:val="single"/>
                <w:lang w:val="en-US"/>
              </w:rPr>
              <w:t>全院（包含在建项目）共计18.22</w:t>
            </w:r>
            <w:r>
              <w:rPr>
                <w:rFonts w:ascii="Times New Roman" w:hAnsi="Times New Roman" w:cs="Times New Roman"/>
                <w:color w:val="000000" w:themeColor="text1"/>
                <w:sz w:val="24"/>
                <w:szCs w:val="24"/>
                <w:u w:val="single"/>
              </w:rPr>
              <w:t>m</w:t>
            </w:r>
            <w:r>
              <w:rPr>
                <w:rFonts w:ascii="Times New Roman" w:hAnsi="Times New Roman" w:cs="Times New Roman"/>
                <w:color w:val="000000" w:themeColor="text1"/>
                <w:sz w:val="24"/>
                <w:szCs w:val="24"/>
                <w:u w:val="single"/>
                <w:vertAlign w:val="superscript"/>
              </w:rPr>
              <w:t>3</w:t>
            </w:r>
            <w:r>
              <w:rPr>
                <w:rFonts w:ascii="Times New Roman" w:hAnsi="Times New Roman" w:cs="Times New Roman"/>
                <w:color w:val="000000" w:themeColor="text1"/>
                <w:sz w:val="24"/>
                <w:szCs w:val="24"/>
                <w:u w:val="single"/>
              </w:rPr>
              <w:t>/d</w:t>
            </w:r>
            <w:r>
              <w:rPr>
                <w:rFonts w:hint="eastAsia" w:ascii="Times New Roman" w:hAnsi="Times New Roman" w:cs="Times New Roman"/>
                <w:color w:val="000000" w:themeColor="text1"/>
                <w:sz w:val="24"/>
                <w:szCs w:val="24"/>
                <w:u w:val="single"/>
              </w:rPr>
              <w:t>，</w:t>
            </w:r>
            <w:r>
              <w:rPr>
                <w:rFonts w:hint="eastAsia" w:ascii="Times New Roman" w:hAnsi="Times New Roman"/>
                <w:color w:val="000000" w:themeColor="text1"/>
                <w:sz w:val="24"/>
                <w:u w:val="single"/>
                <w:lang w:val="en-US"/>
              </w:rPr>
              <w:t>原隔油池容积为20</w:t>
            </w:r>
            <w:r>
              <w:rPr>
                <w:rFonts w:hint="eastAsia" w:ascii="Times New Roman" w:hAnsi="Times New Roman"/>
                <w:color w:val="000000" w:themeColor="text1"/>
                <w:sz w:val="24"/>
                <w:u w:val="single"/>
              </w:rPr>
              <w:t>m</w:t>
            </w:r>
            <w:r>
              <w:rPr>
                <w:rFonts w:hint="eastAsia" w:ascii="Times New Roman" w:hAnsi="Times New Roman"/>
                <w:color w:val="000000" w:themeColor="text1"/>
                <w:sz w:val="24"/>
                <w:u w:val="single"/>
                <w:vertAlign w:val="superscript"/>
              </w:rPr>
              <w:t>3</w:t>
            </w:r>
            <w:r>
              <w:rPr>
                <w:rFonts w:hint="eastAsia" w:ascii="Times New Roman" w:hAnsi="Times New Roman"/>
                <w:color w:val="000000" w:themeColor="text1"/>
                <w:sz w:val="24"/>
                <w:szCs w:val="24"/>
                <w:u w:val="single"/>
              </w:rPr>
              <w:t>、</w:t>
            </w:r>
            <w:r>
              <w:rPr>
                <w:rFonts w:hint="eastAsia" w:ascii="Times New Roman" w:hAnsi="Times New Roman" w:cs="Times New Roman"/>
                <w:color w:val="000000" w:themeColor="text1"/>
                <w:sz w:val="24"/>
                <w:szCs w:val="24"/>
                <w:u w:val="single"/>
                <w:lang w:val="en-US" w:bidi="ar-SA"/>
              </w:rPr>
              <w:t>化粪池</w:t>
            </w:r>
            <w:r>
              <w:rPr>
                <w:rFonts w:hint="eastAsia" w:ascii="Times New Roman" w:hAnsi="Times New Roman"/>
                <w:color w:val="000000" w:themeColor="text1"/>
                <w:sz w:val="24"/>
                <w:u w:val="single"/>
                <w:lang w:val="en-US"/>
              </w:rPr>
              <w:t>容积为20</w:t>
            </w:r>
            <w:r>
              <w:rPr>
                <w:rFonts w:hint="eastAsia" w:ascii="Times New Roman" w:hAnsi="Times New Roman"/>
                <w:color w:val="000000" w:themeColor="text1"/>
                <w:sz w:val="24"/>
                <w:u w:val="single"/>
              </w:rPr>
              <w:t>m</w:t>
            </w:r>
            <w:r>
              <w:rPr>
                <w:rFonts w:hint="eastAsia" w:ascii="Times New Roman" w:hAnsi="Times New Roman"/>
                <w:color w:val="000000" w:themeColor="text1"/>
                <w:sz w:val="24"/>
                <w:u w:val="single"/>
                <w:vertAlign w:val="superscript"/>
              </w:rPr>
              <w:t>3</w:t>
            </w:r>
            <w:r>
              <w:rPr>
                <w:rFonts w:hint="eastAsia" w:ascii="Times New Roman" w:hAnsi="Times New Roman"/>
                <w:color w:val="000000" w:themeColor="text1"/>
                <w:sz w:val="24"/>
                <w:u w:val="single"/>
              </w:rPr>
              <w:t>，</w:t>
            </w:r>
            <w:r>
              <w:rPr>
                <w:rFonts w:hint="eastAsia" w:ascii="Times New Roman" w:hAnsi="Times New Roman"/>
                <w:color w:val="000000" w:themeColor="text1"/>
                <w:sz w:val="24"/>
                <w:u w:val="single"/>
                <w:lang w:val="en-US"/>
              </w:rPr>
              <w:t>满足全院</w:t>
            </w:r>
            <w:r>
              <w:rPr>
                <w:rFonts w:hint="eastAsia" w:ascii="Times New Roman" w:hAnsi="Times New Roman" w:cs="Times New Roman"/>
                <w:color w:val="000000" w:themeColor="text1"/>
                <w:sz w:val="24"/>
                <w:szCs w:val="24"/>
                <w:u w:val="single"/>
                <w:lang w:val="en-US"/>
              </w:rPr>
              <w:t>食堂</w:t>
            </w:r>
            <w:r>
              <w:rPr>
                <w:rFonts w:hint="eastAsia" w:ascii="Times New Roman" w:hAnsi="Times New Roman" w:cs="Times New Roman"/>
                <w:color w:val="000000" w:themeColor="text1"/>
                <w:sz w:val="24"/>
                <w:u w:val="single"/>
                <w:lang w:val="en-US"/>
              </w:rPr>
              <w:t>废水收集处理。</w:t>
            </w:r>
            <w:r>
              <w:rPr>
                <w:rFonts w:hint="eastAsia" w:ascii="Times New Roman" w:hAnsi="Times New Roman" w:cs="Times New Roman"/>
                <w:color w:val="000000" w:themeColor="text1"/>
                <w:kern w:val="2"/>
                <w:sz w:val="24"/>
                <w:szCs w:val="24"/>
                <w:u w:val="single"/>
                <w:lang w:val="en-US" w:bidi="ar-SA"/>
              </w:rPr>
              <w:t>因此本项目依托永福县人民医院</w:t>
            </w:r>
            <w:r>
              <w:rPr>
                <w:rFonts w:hint="eastAsia" w:ascii="Times New Roman" w:hAnsi="Times New Roman"/>
                <w:color w:val="000000" w:themeColor="text1"/>
                <w:sz w:val="24"/>
                <w:u w:val="single"/>
              </w:rPr>
              <w:t>综合污水处理站</w:t>
            </w:r>
            <w:r>
              <w:rPr>
                <w:rFonts w:hint="eastAsia" w:ascii="Times New Roman" w:hAnsi="Times New Roman" w:cs="Times New Roman"/>
                <w:color w:val="000000" w:themeColor="text1"/>
                <w:kern w:val="2"/>
                <w:sz w:val="24"/>
                <w:szCs w:val="24"/>
                <w:u w:val="single"/>
                <w:lang w:val="en-US" w:bidi="ar-SA"/>
              </w:rPr>
              <w:t>、隔油池、化粪池、应急池处理可行。</w:t>
            </w:r>
          </w:p>
          <w:p w14:paraId="3A076929">
            <w:pPr>
              <w:autoSpaceDE/>
              <w:autoSpaceDN/>
              <w:adjustRightInd w:val="0"/>
              <w:snapToGrid w:val="0"/>
              <w:spacing w:line="360" w:lineRule="auto"/>
              <w:ind w:firstLine="480" w:firstLineChars="200"/>
              <w:jc w:val="both"/>
              <w:rPr>
                <w:rFonts w:ascii="Times New Roman" w:hAnsi="Times New Roman" w:cs="Times New Roman"/>
                <w:bCs/>
                <w:color w:val="000000" w:themeColor="text1"/>
                <w:kern w:val="2"/>
                <w:sz w:val="24"/>
                <w:szCs w:val="24"/>
                <w:u w:val="single"/>
                <w:lang w:val="en-US" w:bidi="ar-SA"/>
              </w:rPr>
            </w:pPr>
            <w:r>
              <w:rPr>
                <w:rFonts w:hint="eastAsia" w:ascii="Times New Roman" w:hAnsi="Times New Roman" w:cs="Times New Roman"/>
                <w:bCs/>
                <w:color w:val="000000" w:themeColor="text1"/>
                <w:sz w:val="24"/>
                <w:szCs w:val="24"/>
                <w:u w:val="single"/>
                <w:lang w:val="en-US" w:bidi="ar-SA"/>
              </w:rPr>
              <w:t>（4）</w:t>
            </w:r>
            <w:r>
              <w:rPr>
                <w:rFonts w:ascii="Times New Roman" w:hAnsi="Times New Roman" w:cs="Times New Roman"/>
                <w:bCs/>
                <w:color w:val="000000" w:themeColor="text1"/>
                <w:sz w:val="24"/>
                <w:szCs w:val="24"/>
                <w:u w:val="single"/>
                <w:lang w:val="en-US" w:bidi="ar-SA"/>
              </w:rPr>
              <w:t>项目污水进入污水处理厂可行性分析：</w:t>
            </w:r>
          </w:p>
          <w:p w14:paraId="495A2E4C">
            <w:pPr>
              <w:widowControl/>
              <w:autoSpaceDE/>
              <w:autoSpaceDN/>
              <w:adjustRightInd w:val="0"/>
              <w:snapToGrid w:val="0"/>
              <w:spacing w:line="360" w:lineRule="auto"/>
              <w:ind w:firstLine="480" w:firstLineChars="200"/>
              <w:jc w:val="both"/>
              <w:rPr>
                <w:rFonts w:ascii="Times New Roman" w:hAnsi="Times New Roman"/>
                <w:color w:val="000000" w:themeColor="text1"/>
                <w:sz w:val="24"/>
                <w:szCs w:val="24"/>
                <w:u w:val="single"/>
                <w:lang w:val="en-US"/>
              </w:rPr>
            </w:pPr>
            <w:r>
              <w:rPr>
                <w:rFonts w:hint="eastAsia" w:ascii="Times New Roman" w:hAnsi="Times New Roman"/>
                <w:color w:val="000000" w:themeColor="text1"/>
                <w:sz w:val="24"/>
                <w:szCs w:val="24"/>
                <w:u w:val="single"/>
                <w:lang w:val="en-US"/>
              </w:rPr>
              <w:t>本项目传染性废水经传染病预处理设施处理后与业务综合楼废水一起排入综合污水处理站，处理达</w:t>
            </w:r>
            <w:r>
              <w:rPr>
                <w:rFonts w:ascii="Times New Roman" w:hAnsi="Times New Roman" w:cs="Times New Roman"/>
                <w:color w:val="000000" w:themeColor="text1"/>
                <w:sz w:val="24"/>
                <w:szCs w:val="24"/>
                <w:u w:val="single"/>
                <w:lang w:val="en-US" w:bidi="ar-SA"/>
              </w:rPr>
              <w:t>《医疗机构水污染物排放标准》（GB18466-2005）表</w:t>
            </w:r>
            <w:r>
              <w:rPr>
                <w:rFonts w:hint="eastAsia" w:ascii="Times New Roman" w:hAnsi="Times New Roman" w:cs="Times New Roman"/>
                <w:color w:val="000000" w:themeColor="text1"/>
                <w:sz w:val="24"/>
                <w:szCs w:val="24"/>
                <w:u w:val="single"/>
                <w:lang w:val="en-US" w:bidi="ar-SA"/>
              </w:rPr>
              <w:t>2</w:t>
            </w:r>
            <w:r>
              <w:rPr>
                <w:rFonts w:ascii="Times New Roman" w:hAnsi="Times New Roman" w:cs="Times New Roman"/>
                <w:color w:val="000000" w:themeColor="text1"/>
                <w:sz w:val="24"/>
                <w:szCs w:val="24"/>
                <w:u w:val="single"/>
                <w:lang w:val="en-US" w:bidi="ar-SA"/>
              </w:rPr>
              <w:t>中</w:t>
            </w:r>
            <w:r>
              <w:rPr>
                <w:rFonts w:hint="eastAsia" w:ascii="Times New Roman" w:hAnsi="Times New Roman" w:cs="Times New Roman"/>
                <w:color w:val="000000" w:themeColor="text1"/>
                <w:sz w:val="24"/>
                <w:szCs w:val="24"/>
                <w:u w:val="single"/>
                <w:lang w:val="en-US" w:bidi="ar-SA"/>
              </w:rPr>
              <w:t>的预处理</w:t>
            </w:r>
            <w:r>
              <w:rPr>
                <w:rFonts w:ascii="Times New Roman" w:hAnsi="Times New Roman" w:cs="Times New Roman"/>
                <w:color w:val="000000" w:themeColor="text1"/>
                <w:sz w:val="24"/>
                <w:szCs w:val="24"/>
                <w:u w:val="single"/>
                <w:lang w:val="en-US" w:bidi="ar-SA"/>
              </w:rPr>
              <w:t>标准</w:t>
            </w:r>
            <w:r>
              <w:rPr>
                <w:rFonts w:hint="eastAsia" w:ascii="Times New Roman" w:hAnsi="Times New Roman" w:cs="Times New Roman"/>
                <w:color w:val="000000" w:themeColor="text1"/>
                <w:sz w:val="24"/>
                <w:szCs w:val="24"/>
                <w:u w:val="single"/>
                <w:lang w:val="en-US" w:bidi="ar-SA"/>
              </w:rPr>
              <w:t>后</w:t>
            </w:r>
            <w:r>
              <w:rPr>
                <w:rFonts w:hint="eastAsia" w:ascii="Times New Roman" w:hAnsi="Times New Roman"/>
                <w:color w:val="000000" w:themeColor="text1"/>
                <w:sz w:val="24"/>
                <w:szCs w:val="24"/>
                <w:u w:val="single"/>
                <w:lang w:val="en-US"/>
              </w:rPr>
              <w:t>经市政污水管网最终纳入永福县益源污水处理厂处理。目前，永福县益源污水处理厂已经建成，永福县益源污水处理厂设计处理规模近期1万m</w:t>
            </w:r>
            <w:r>
              <w:rPr>
                <w:rFonts w:hint="eastAsia" w:ascii="Times New Roman" w:hAnsi="Times New Roman"/>
                <w:color w:val="000000" w:themeColor="text1"/>
                <w:sz w:val="24"/>
                <w:szCs w:val="24"/>
                <w:u w:val="single"/>
                <w:vertAlign w:val="superscript"/>
                <w:lang w:val="en-US"/>
              </w:rPr>
              <w:t>3</w:t>
            </w:r>
            <w:r>
              <w:rPr>
                <w:rFonts w:hint="eastAsia" w:ascii="Times New Roman" w:hAnsi="Times New Roman"/>
                <w:color w:val="000000" w:themeColor="text1"/>
                <w:sz w:val="24"/>
                <w:szCs w:val="24"/>
                <w:u w:val="single"/>
                <w:lang w:val="en-US"/>
              </w:rPr>
              <w:t>/d，远期2万m</w:t>
            </w:r>
            <w:r>
              <w:rPr>
                <w:rFonts w:hint="eastAsia" w:ascii="Times New Roman" w:hAnsi="Times New Roman"/>
                <w:color w:val="000000" w:themeColor="text1"/>
                <w:sz w:val="24"/>
                <w:szCs w:val="24"/>
                <w:u w:val="single"/>
                <w:vertAlign w:val="superscript"/>
                <w:lang w:val="en-US"/>
              </w:rPr>
              <w:t>3</w:t>
            </w:r>
            <w:r>
              <w:rPr>
                <w:rFonts w:hint="eastAsia" w:ascii="Times New Roman" w:hAnsi="Times New Roman"/>
                <w:color w:val="000000" w:themeColor="text1"/>
                <w:sz w:val="24"/>
                <w:szCs w:val="24"/>
                <w:u w:val="single"/>
                <w:lang w:val="en-US"/>
              </w:rPr>
              <w:t>/d，目前实际处理规模约0.48万m</w:t>
            </w:r>
            <w:r>
              <w:rPr>
                <w:rFonts w:hint="eastAsia" w:ascii="Times New Roman" w:hAnsi="Times New Roman"/>
                <w:color w:val="000000" w:themeColor="text1"/>
                <w:sz w:val="24"/>
                <w:szCs w:val="24"/>
                <w:u w:val="single"/>
                <w:vertAlign w:val="superscript"/>
                <w:lang w:val="en-US"/>
              </w:rPr>
              <w:t>3</w:t>
            </w:r>
            <w:r>
              <w:rPr>
                <w:rFonts w:hint="eastAsia" w:ascii="Times New Roman" w:hAnsi="Times New Roman"/>
                <w:color w:val="000000" w:themeColor="text1"/>
                <w:sz w:val="24"/>
                <w:szCs w:val="24"/>
                <w:u w:val="single"/>
                <w:lang w:val="en-US"/>
              </w:rPr>
              <w:t>/d。</w:t>
            </w:r>
            <w:r>
              <w:rPr>
                <w:rFonts w:hint="eastAsia" w:ascii="Times New Roman" w:hAnsi="Times New Roman" w:cs="Times New Roman"/>
                <w:color w:val="000000" w:themeColor="text1"/>
                <w:kern w:val="2"/>
                <w:sz w:val="24"/>
                <w:szCs w:val="24"/>
                <w:u w:val="single"/>
                <w:lang w:val="en-US" w:bidi="ar-SA"/>
              </w:rPr>
              <w:t>本项目</w:t>
            </w:r>
            <w:r>
              <w:rPr>
                <w:rFonts w:hint="eastAsia" w:ascii="Times New Roman" w:hAnsi="Times New Roman" w:cs="Times New Roman"/>
                <w:color w:val="000000" w:themeColor="text1"/>
                <w:sz w:val="24"/>
                <w:szCs w:val="24"/>
                <w:u w:val="single"/>
                <w:lang w:val="en-US"/>
              </w:rPr>
              <w:t>污水排放量</w:t>
            </w:r>
            <w:r>
              <w:rPr>
                <w:rFonts w:hint="eastAsia" w:ascii="Times New Roman" w:hAnsi="Times New Roman" w:cs="Times New Roman"/>
                <w:color w:val="000000" w:themeColor="text1"/>
                <w:kern w:val="2"/>
                <w:sz w:val="24"/>
                <w:szCs w:val="24"/>
                <w:u w:val="single"/>
                <w:lang w:val="en-US" w:bidi="ar-SA"/>
              </w:rPr>
              <w:t>为109.58m</w:t>
            </w:r>
            <w:r>
              <w:rPr>
                <w:rFonts w:hint="eastAsia" w:ascii="Times New Roman" w:hAnsi="Times New Roman" w:cs="Times New Roman"/>
                <w:color w:val="000000" w:themeColor="text1"/>
                <w:kern w:val="2"/>
                <w:sz w:val="24"/>
                <w:szCs w:val="24"/>
                <w:u w:val="single"/>
                <w:vertAlign w:val="superscript"/>
                <w:lang w:val="en-US" w:bidi="ar-SA"/>
              </w:rPr>
              <w:t>3</w:t>
            </w:r>
            <w:r>
              <w:rPr>
                <w:rFonts w:hint="eastAsia" w:ascii="Times New Roman" w:hAnsi="Times New Roman" w:cs="Times New Roman"/>
                <w:color w:val="000000" w:themeColor="text1"/>
                <w:kern w:val="2"/>
                <w:sz w:val="24"/>
                <w:szCs w:val="24"/>
                <w:u w:val="single"/>
                <w:lang w:val="en-US" w:bidi="ar-SA"/>
              </w:rPr>
              <w:t>/d</w:t>
            </w:r>
            <w:r>
              <w:rPr>
                <w:rFonts w:hint="eastAsia" w:ascii="Times New Roman" w:hAnsi="Times New Roman" w:cs="Times New Roman"/>
                <w:color w:val="000000" w:themeColor="text1"/>
                <w:sz w:val="24"/>
                <w:szCs w:val="24"/>
                <w:u w:val="single"/>
                <w:lang w:val="en-US" w:bidi="ar-SA"/>
              </w:rPr>
              <w:t>，</w:t>
            </w:r>
            <w:r>
              <w:rPr>
                <w:rFonts w:hint="eastAsia" w:ascii="Times New Roman" w:hAnsi="Times New Roman" w:cs="Times New Roman"/>
                <w:color w:val="000000" w:themeColor="text1"/>
                <w:sz w:val="24"/>
                <w:szCs w:val="24"/>
                <w:u w:val="single"/>
                <w:lang w:val="en-US"/>
              </w:rPr>
              <w:t>原有项目污水排放量为</w:t>
            </w:r>
            <w:r>
              <w:rPr>
                <w:rFonts w:hint="eastAsia" w:ascii="Times New Roman" w:hAnsi="Times New Roman" w:cs="Times New Roman"/>
                <w:color w:val="000000" w:themeColor="text1"/>
                <w:kern w:val="2"/>
                <w:sz w:val="24"/>
                <w:szCs w:val="24"/>
                <w:u w:val="single"/>
                <w:lang w:val="en-US" w:bidi="ar-SA"/>
              </w:rPr>
              <w:t>170.42</w:t>
            </w:r>
            <w:r>
              <w:rPr>
                <w:rFonts w:ascii="Times New Roman" w:hAnsi="Times New Roman" w:cs="Times New Roman"/>
                <w:color w:val="000000" w:themeColor="text1"/>
                <w:sz w:val="24"/>
                <w:szCs w:val="24"/>
                <w:u w:val="single"/>
              </w:rPr>
              <w:t>m</w:t>
            </w:r>
            <w:r>
              <w:rPr>
                <w:rFonts w:ascii="Times New Roman" w:hAnsi="Times New Roman" w:cs="Times New Roman"/>
                <w:color w:val="000000" w:themeColor="text1"/>
                <w:sz w:val="24"/>
                <w:szCs w:val="24"/>
                <w:u w:val="single"/>
                <w:vertAlign w:val="superscript"/>
              </w:rPr>
              <w:t>3</w:t>
            </w:r>
            <w:r>
              <w:rPr>
                <w:rFonts w:ascii="Times New Roman" w:hAnsi="Times New Roman" w:cs="Times New Roman"/>
                <w:color w:val="000000" w:themeColor="text1"/>
                <w:sz w:val="24"/>
                <w:szCs w:val="24"/>
                <w:u w:val="single"/>
              </w:rPr>
              <w:t>/d</w:t>
            </w:r>
            <w:r>
              <w:rPr>
                <w:rFonts w:hint="eastAsia" w:ascii="Times New Roman" w:hAnsi="Times New Roman" w:cs="Times New Roman"/>
                <w:color w:val="000000" w:themeColor="text1"/>
                <w:sz w:val="24"/>
                <w:szCs w:val="24"/>
                <w:u w:val="single"/>
              </w:rPr>
              <w:t>，</w:t>
            </w:r>
            <w:r>
              <w:rPr>
                <w:rFonts w:hint="eastAsia" w:ascii="Times New Roman" w:hAnsi="Times New Roman"/>
                <w:color w:val="000000" w:themeColor="text1"/>
                <w:sz w:val="24"/>
                <w:u w:val="single"/>
                <w:lang w:val="en-US"/>
              </w:rPr>
              <w:t>在建项目</w:t>
            </w:r>
            <w:r>
              <w:rPr>
                <w:rFonts w:hint="eastAsia" w:ascii="Times New Roman" w:hAnsi="Times New Roman" w:cs="Times New Roman"/>
                <w:color w:val="000000" w:themeColor="text1"/>
                <w:sz w:val="24"/>
                <w:szCs w:val="24"/>
                <w:u w:val="single"/>
                <w:lang w:val="en-US"/>
              </w:rPr>
              <w:t>污水排放量为176.66</w:t>
            </w:r>
            <w:r>
              <w:rPr>
                <w:rFonts w:ascii="Times New Roman" w:hAnsi="Times New Roman" w:cs="Times New Roman"/>
                <w:color w:val="000000" w:themeColor="text1"/>
                <w:sz w:val="24"/>
                <w:szCs w:val="24"/>
                <w:u w:val="single"/>
              </w:rPr>
              <w:t>m</w:t>
            </w:r>
            <w:r>
              <w:rPr>
                <w:rFonts w:ascii="Times New Roman" w:hAnsi="Times New Roman" w:cs="Times New Roman"/>
                <w:color w:val="000000" w:themeColor="text1"/>
                <w:sz w:val="24"/>
                <w:szCs w:val="24"/>
                <w:u w:val="single"/>
                <w:vertAlign w:val="superscript"/>
              </w:rPr>
              <w:t>3</w:t>
            </w:r>
            <w:r>
              <w:rPr>
                <w:rFonts w:ascii="Times New Roman" w:hAnsi="Times New Roman" w:cs="Times New Roman"/>
                <w:color w:val="000000" w:themeColor="text1"/>
                <w:sz w:val="24"/>
                <w:szCs w:val="24"/>
                <w:u w:val="single"/>
              </w:rPr>
              <w:t>/d</w:t>
            </w:r>
            <w:r>
              <w:rPr>
                <w:rFonts w:hint="eastAsia" w:ascii="Times New Roman" w:hAnsi="Times New Roman" w:cs="Times New Roman"/>
                <w:color w:val="000000" w:themeColor="text1"/>
                <w:sz w:val="24"/>
                <w:szCs w:val="24"/>
                <w:u w:val="single"/>
              </w:rPr>
              <w:t>，</w:t>
            </w:r>
            <w:r>
              <w:rPr>
                <w:rFonts w:hint="eastAsia" w:ascii="Times New Roman" w:hAnsi="Times New Roman" w:cs="Times New Roman"/>
                <w:color w:val="000000" w:themeColor="text1"/>
                <w:sz w:val="24"/>
                <w:szCs w:val="24"/>
                <w:u w:val="single"/>
                <w:lang w:val="en-US"/>
              </w:rPr>
              <w:t>共计456.66</w:t>
            </w:r>
            <w:r>
              <w:rPr>
                <w:rFonts w:ascii="Times New Roman" w:hAnsi="Times New Roman" w:cs="Times New Roman"/>
                <w:color w:val="000000" w:themeColor="text1"/>
                <w:sz w:val="24"/>
                <w:szCs w:val="24"/>
                <w:u w:val="single"/>
              </w:rPr>
              <w:t>m</w:t>
            </w:r>
            <w:r>
              <w:rPr>
                <w:rFonts w:ascii="Times New Roman" w:hAnsi="Times New Roman" w:cs="Times New Roman"/>
                <w:color w:val="000000" w:themeColor="text1"/>
                <w:sz w:val="24"/>
                <w:szCs w:val="24"/>
                <w:u w:val="single"/>
                <w:vertAlign w:val="superscript"/>
              </w:rPr>
              <w:t>3</w:t>
            </w:r>
            <w:r>
              <w:rPr>
                <w:rFonts w:ascii="Times New Roman" w:hAnsi="Times New Roman" w:cs="Times New Roman"/>
                <w:color w:val="000000" w:themeColor="text1"/>
                <w:sz w:val="24"/>
                <w:szCs w:val="24"/>
                <w:u w:val="single"/>
              </w:rPr>
              <w:t>/d</w:t>
            </w:r>
            <w:r>
              <w:rPr>
                <w:rFonts w:hint="eastAsia" w:ascii="Times New Roman" w:hAnsi="Times New Roman" w:cs="Times New Roman"/>
                <w:color w:val="000000" w:themeColor="text1"/>
                <w:sz w:val="24"/>
                <w:szCs w:val="24"/>
                <w:u w:val="single"/>
              </w:rPr>
              <w:t>，</w:t>
            </w:r>
            <w:r>
              <w:rPr>
                <w:rFonts w:hint="eastAsia" w:ascii="Times New Roman" w:hAnsi="Times New Roman"/>
                <w:color w:val="000000" w:themeColor="text1"/>
                <w:sz w:val="24"/>
                <w:szCs w:val="24"/>
                <w:u w:val="single"/>
                <w:lang w:val="en-US"/>
              </w:rPr>
              <w:t>永福县益源污水处理厂</w:t>
            </w:r>
            <w:r>
              <w:rPr>
                <w:rFonts w:ascii="Times New Roman" w:hAnsi="Times New Roman" w:cs="Times New Roman"/>
                <w:color w:val="000000" w:themeColor="text1"/>
                <w:kern w:val="2"/>
                <w:sz w:val="24"/>
                <w:szCs w:val="20"/>
                <w:u w:val="single"/>
                <w:lang w:val="en-US" w:bidi="ar-SA"/>
              </w:rPr>
              <w:t>有</w:t>
            </w:r>
            <w:r>
              <w:rPr>
                <w:rFonts w:hint="eastAsia" w:ascii="Times New Roman" w:hAnsi="Times New Roman" w:cs="Times New Roman"/>
                <w:color w:val="000000" w:themeColor="text1"/>
                <w:kern w:val="2"/>
                <w:sz w:val="24"/>
                <w:szCs w:val="20"/>
                <w:u w:val="single"/>
                <w:lang w:val="en-US" w:bidi="ar-SA"/>
              </w:rPr>
              <w:t>足够的富余量</w:t>
            </w:r>
            <w:r>
              <w:rPr>
                <w:rFonts w:ascii="Times New Roman" w:hAnsi="Times New Roman" w:cs="Times New Roman"/>
                <w:color w:val="000000" w:themeColor="text1"/>
                <w:kern w:val="2"/>
                <w:sz w:val="24"/>
                <w:szCs w:val="20"/>
                <w:u w:val="single"/>
                <w:lang w:val="en-US" w:bidi="ar-SA"/>
              </w:rPr>
              <w:t>接纳本项目废水</w:t>
            </w:r>
            <w:r>
              <w:rPr>
                <w:rFonts w:hint="eastAsia" w:ascii="Times New Roman" w:hAnsi="Times New Roman" w:cs="Times New Roman"/>
                <w:color w:val="000000" w:themeColor="text1"/>
                <w:kern w:val="2"/>
                <w:sz w:val="24"/>
                <w:szCs w:val="20"/>
                <w:u w:val="single"/>
                <w:lang w:val="en-US" w:bidi="ar-SA"/>
              </w:rPr>
              <w:t>，</w:t>
            </w:r>
            <w:r>
              <w:rPr>
                <w:rFonts w:ascii="Times New Roman" w:hAnsi="Times New Roman" w:cs="Times New Roman"/>
                <w:color w:val="000000" w:themeColor="text1"/>
                <w:kern w:val="2"/>
                <w:sz w:val="24"/>
                <w:szCs w:val="20"/>
                <w:u w:val="single"/>
                <w:lang w:val="en-US" w:bidi="ar-SA"/>
              </w:rPr>
              <w:t>项目污水排放浓度满足污水厂接管标准，且本项目区域属于</w:t>
            </w:r>
            <w:r>
              <w:rPr>
                <w:rFonts w:hint="eastAsia" w:ascii="Times New Roman" w:hAnsi="Times New Roman" w:cs="Times New Roman"/>
                <w:color w:val="000000" w:themeColor="text1"/>
                <w:kern w:val="2"/>
                <w:sz w:val="24"/>
                <w:szCs w:val="20"/>
                <w:u w:val="single"/>
                <w:lang w:val="en-US" w:bidi="ar-SA"/>
              </w:rPr>
              <w:t>永福县益源污水处理厂</w:t>
            </w:r>
            <w:r>
              <w:rPr>
                <w:rFonts w:ascii="Times New Roman" w:hAnsi="Times New Roman" w:cs="Times New Roman"/>
                <w:color w:val="000000" w:themeColor="text1"/>
                <w:kern w:val="2"/>
                <w:sz w:val="24"/>
                <w:szCs w:val="20"/>
                <w:u w:val="single"/>
                <w:lang w:val="en-US" w:bidi="ar-SA"/>
              </w:rPr>
              <w:t>接纳范围，污水管网已接通至本项目区域，由此可见，污水处理厂可接纳项目所产生污水</w:t>
            </w:r>
            <w:r>
              <w:rPr>
                <w:rFonts w:hint="eastAsia" w:ascii="Times New Roman" w:hAnsi="Times New Roman"/>
                <w:color w:val="000000" w:themeColor="text1"/>
                <w:sz w:val="24"/>
                <w:szCs w:val="24"/>
                <w:u w:val="single"/>
                <w:lang w:val="en-US"/>
              </w:rPr>
              <w:t>。根据永福县生态环境局2025年2月7日在永福县人民政府官网公示的《2024年第四季度永福县益源污水处理厂监督性监测情况报告》可知，永福县益源污水处理厂污水排放口出水水质监测因子可达到《城镇污水处理厂污染物排放标准》（GB18918-2002）一级A标，故项目污水排入永福县益源污水处理厂是可行的。</w:t>
            </w:r>
          </w:p>
          <w:p w14:paraId="23AF02BC">
            <w:pPr>
              <w:spacing w:line="360" w:lineRule="auto"/>
              <w:ind w:firstLine="480" w:firstLineChars="200"/>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另外，为保证本项目废水能顺利进入市政污水管网，</w:t>
            </w:r>
            <w:r>
              <w:rPr>
                <w:rFonts w:hint="eastAsia" w:ascii="Times New Roman" w:hAnsi="Times New Roman"/>
                <w:color w:val="000000" w:themeColor="text1"/>
                <w:sz w:val="24"/>
                <w:szCs w:val="24"/>
                <w:lang w:val="en-US"/>
              </w:rPr>
              <w:t>需要加强以下措施</w:t>
            </w:r>
            <w:r>
              <w:rPr>
                <w:rFonts w:ascii="Times New Roman" w:hAnsi="Times New Roman"/>
                <w:color w:val="000000" w:themeColor="text1"/>
                <w:sz w:val="24"/>
                <w:szCs w:val="24"/>
                <w:lang w:val="en-US"/>
              </w:rPr>
              <w:t>：建设单位</w:t>
            </w:r>
            <w:r>
              <w:rPr>
                <w:rFonts w:hint="eastAsia" w:ascii="Times New Roman" w:hAnsi="Times New Roman"/>
                <w:color w:val="000000" w:themeColor="text1"/>
                <w:sz w:val="24"/>
                <w:szCs w:val="24"/>
                <w:lang w:val="en-US"/>
              </w:rPr>
              <w:t>加强污水处理设施的管理与维护，确保</w:t>
            </w:r>
            <w:r>
              <w:rPr>
                <w:rFonts w:ascii="Times New Roman" w:hAnsi="Times New Roman"/>
                <w:color w:val="000000" w:themeColor="text1"/>
                <w:sz w:val="24"/>
                <w:szCs w:val="24"/>
                <w:lang w:val="en-US"/>
              </w:rPr>
              <w:t>污水收集系统、处理系统及与市政污水管网衔接段的排水管道</w:t>
            </w:r>
            <w:r>
              <w:rPr>
                <w:rFonts w:hint="eastAsia" w:ascii="Times New Roman" w:hAnsi="Times New Roman"/>
                <w:color w:val="000000" w:themeColor="text1"/>
                <w:sz w:val="24"/>
                <w:szCs w:val="24"/>
                <w:lang w:val="en-US"/>
              </w:rPr>
              <w:t>完好、有效，确保废水处理达标后</w:t>
            </w:r>
            <w:r>
              <w:rPr>
                <w:rFonts w:ascii="Times New Roman" w:hAnsi="Times New Roman"/>
                <w:color w:val="000000" w:themeColor="text1"/>
                <w:sz w:val="24"/>
                <w:szCs w:val="24"/>
                <w:lang w:val="en-US"/>
              </w:rPr>
              <w:t>汇入市政污水管网。</w:t>
            </w:r>
          </w:p>
          <w:p w14:paraId="0C08BA12">
            <w:pPr>
              <w:pStyle w:val="41"/>
              <w:numPr>
                <w:ilvl w:val="0"/>
                <w:numId w:val="6"/>
              </w:numPr>
              <w:rPr>
                <w:color w:val="000000" w:themeColor="text1"/>
              </w:rPr>
            </w:pPr>
            <w:r>
              <w:rPr>
                <w:color w:val="000000" w:themeColor="text1"/>
              </w:rPr>
              <w:t>项目废水排放口基本情况</w:t>
            </w:r>
          </w:p>
          <w:p w14:paraId="5BA08EE7">
            <w:pPr>
              <w:pStyle w:val="41"/>
              <w:keepNext w:val="0"/>
              <w:keepLines w:val="0"/>
              <w:pageBreakBefore w:val="0"/>
              <w:widowControl w:val="0"/>
              <w:numPr>
                <w:ilvl w:val="0"/>
                <w:numId w:val="0"/>
              </w:numPr>
              <w:kinsoku/>
              <w:wordWrap/>
              <w:overflowPunct/>
              <w:topLinePunct w:val="0"/>
              <w:autoSpaceDE w:val="0"/>
              <w:autoSpaceDN w:val="0"/>
              <w:bidi w:val="0"/>
              <w:adjustRightInd w:val="0"/>
              <w:snapToGrid/>
              <w:ind w:firstLine="480" w:firstLineChars="200"/>
              <w:textAlignment w:val="baseline"/>
              <w:rPr>
                <w:rFonts w:hint="eastAsia" w:eastAsia="宋体"/>
                <w:color w:val="000000" w:themeColor="text1"/>
                <w:lang w:eastAsia="zh-CN"/>
              </w:rPr>
            </w:pPr>
            <w:r>
              <w:rPr>
                <w:rFonts w:hint="eastAsia"/>
                <w:color w:val="000000" w:themeColor="text1"/>
              </w:rPr>
              <w:t>DW003属于医院生活区的排放口，医院生活区是与</w:t>
            </w:r>
            <w:r>
              <w:rPr>
                <w:rFonts w:hint="eastAsia"/>
                <w:color w:val="000000" w:themeColor="text1"/>
                <w:lang w:val="en-US" w:eastAsia="zh-CN"/>
              </w:rPr>
              <w:t>本</w:t>
            </w:r>
            <w:r>
              <w:rPr>
                <w:rFonts w:hint="eastAsia"/>
                <w:color w:val="000000" w:themeColor="text1"/>
              </w:rPr>
              <w:t>项目</w:t>
            </w:r>
            <w:r>
              <w:rPr>
                <w:rFonts w:hint="eastAsia"/>
                <w:color w:val="000000" w:themeColor="text1"/>
                <w:lang w:val="en-US" w:eastAsia="zh-CN"/>
              </w:rPr>
              <w:t>所</w:t>
            </w:r>
            <w:r>
              <w:rPr>
                <w:rFonts w:hint="eastAsia"/>
                <w:color w:val="000000" w:themeColor="text1"/>
              </w:rPr>
              <w:t>涉及的医院主体区域相互独立的区域，并非本项目的覆盖范围，因此该排放口</w:t>
            </w:r>
            <w:r>
              <w:rPr>
                <w:rFonts w:hint="eastAsia"/>
                <w:color w:val="000000" w:themeColor="text1"/>
                <w:lang w:val="en-US" w:eastAsia="zh-CN"/>
              </w:rPr>
              <w:t>不</w:t>
            </w:r>
            <w:r>
              <w:rPr>
                <w:rFonts w:hint="eastAsia"/>
                <w:color w:val="000000" w:themeColor="text1"/>
              </w:rPr>
              <w:t>纳入本</w:t>
            </w:r>
            <w:r>
              <w:rPr>
                <w:rFonts w:hint="eastAsia"/>
                <w:color w:val="000000" w:themeColor="text1"/>
                <w:lang w:val="en-US" w:eastAsia="zh-CN"/>
              </w:rPr>
              <w:t>项目下表</w:t>
            </w:r>
            <w:r>
              <w:rPr>
                <w:rFonts w:hint="eastAsia"/>
                <w:color w:val="000000" w:themeColor="text1"/>
              </w:rPr>
              <w:t>的统计范畴</w:t>
            </w:r>
            <w:r>
              <w:rPr>
                <w:rFonts w:hint="eastAsia"/>
                <w:color w:val="000000" w:themeColor="text1"/>
                <w:lang w:eastAsia="zh-CN"/>
              </w:rPr>
              <w:t>。</w:t>
            </w:r>
          </w:p>
          <w:p w14:paraId="45D6FADD">
            <w:pPr>
              <w:pStyle w:val="41"/>
              <w:ind w:firstLine="482"/>
              <w:jc w:val="center"/>
              <w:rPr>
                <w:color w:val="000000" w:themeColor="text1"/>
              </w:rPr>
            </w:pPr>
            <w:r>
              <w:rPr>
                <w:b/>
                <w:bCs/>
                <w:color w:val="000000" w:themeColor="text1"/>
              </w:rPr>
              <w:t>表4-</w:t>
            </w:r>
            <w:r>
              <w:rPr>
                <w:rFonts w:hint="eastAsia"/>
                <w:b/>
                <w:bCs/>
                <w:color w:val="000000" w:themeColor="text1"/>
              </w:rPr>
              <w:t>5</w:t>
            </w:r>
            <w:r>
              <w:rPr>
                <w:b/>
                <w:bCs/>
                <w:color w:val="000000" w:themeColor="text1"/>
              </w:rPr>
              <w:t>废水间接排放口基本情况表</w:t>
            </w:r>
          </w:p>
          <w:tbl>
            <w:tblPr>
              <w:tblStyle w:val="28"/>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119"/>
              <w:gridCol w:w="1050"/>
              <w:gridCol w:w="1767"/>
              <w:gridCol w:w="1769"/>
              <w:gridCol w:w="1930"/>
            </w:tblGrid>
            <w:tr w14:paraId="767D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36" w:type="pct"/>
                  <w:vMerge w:val="restart"/>
                  <w:vAlign w:val="center"/>
                </w:tcPr>
                <w:p w14:paraId="6362BE35">
                  <w:pPr>
                    <w:pStyle w:val="51"/>
                    <w:adjustRightInd w:val="0"/>
                    <w:snapToGrid w:val="0"/>
                    <w:jc w:val="center"/>
                    <w:rPr>
                      <w:rFonts w:ascii="Times New Roman" w:hAnsi="Times New Roman" w:eastAsiaTheme="minorEastAsia"/>
                      <w:b/>
                      <w:bCs/>
                      <w:color w:val="000000" w:themeColor="text1"/>
                      <w:szCs w:val="21"/>
                    </w:rPr>
                  </w:pPr>
                  <w:r>
                    <w:rPr>
                      <w:rFonts w:ascii="Times New Roman" w:hAnsi="Times New Roman" w:eastAsiaTheme="minorEastAsia"/>
                      <w:b/>
                      <w:bCs/>
                      <w:color w:val="000000" w:themeColor="text1"/>
                      <w:szCs w:val="21"/>
                    </w:rPr>
                    <w:t>类型</w:t>
                  </w:r>
                </w:p>
              </w:tc>
              <w:tc>
                <w:tcPr>
                  <w:tcW w:w="654" w:type="pct"/>
                  <w:vMerge w:val="restart"/>
                  <w:vAlign w:val="center"/>
                </w:tcPr>
                <w:p w14:paraId="5E27F3DC">
                  <w:pPr>
                    <w:pStyle w:val="51"/>
                    <w:adjustRightInd w:val="0"/>
                    <w:snapToGrid w:val="0"/>
                    <w:jc w:val="center"/>
                    <w:rPr>
                      <w:rFonts w:ascii="Times New Roman" w:hAnsi="Times New Roman" w:eastAsiaTheme="minorEastAsia"/>
                      <w:b/>
                      <w:bCs/>
                      <w:color w:val="000000" w:themeColor="text1"/>
                      <w:szCs w:val="21"/>
                    </w:rPr>
                  </w:pPr>
                  <w:r>
                    <w:rPr>
                      <w:rFonts w:ascii="Times New Roman" w:hAnsi="Times New Roman" w:eastAsiaTheme="minorEastAsia"/>
                      <w:b/>
                      <w:bCs/>
                      <w:color w:val="000000" w:themeColor="text1"/>
                      <w:szCs w:val="21"/>
                    </w:rPr>
                    <w:t>排放口编号</w:t>
                  </w:r>
                </w:p>
              </w:tc>
              <w:tc>
                <w:tcPr>
                  <w:tcW w:w="614" w:type="pct"/>
                  <w:vMerge w:val="restart"/>
                  <w:vAlign w:val="center"/>
                </w:tcPr>
                <w:p w14:paraId="3DC31B62">
                  <w:pPr>
                    <w:pStyle w:val="51"/>
                    <w:adjustRightInd w:val="0"/>
                    <w:snapToGrid w:val="0"/>
                    <w:jc w:val="center"/>
                    <w:rPr>
                      <w:rFonts w:ascii="Times New Roman" w:hAnsi="Times New Roman" w:eastAsiaTheme="minorEastAsia"/>
                      <w:b/>
                      <w:bCs/>
                      <w:color w:val="000000" w:themeColor="text1"/>
                      <w:szCs w:val="21"/>
                    </w:rPr>
                  </w:pPr>
                  <w:r>
                    <w:rPr>
                      <w:rFonts w:ascii="Times New Roman" w:hAnsi="Times New Roman" w:eastAsiaTheme="minorEastAsia"/>
                      <w:b/>
                      <w:bCs/>
                      <w:color w:val="000000" w:themeColor="text1"/>
                      <w:szCs w:val="21"/>
                    </w:rPr>
                    <w:t>排放口名称</w:t>
                  </w:r>
                </w:p>
              </w:tc>
              <w:tc>
                <w:tcPr>
                  <w:tcW w:w="2067" w:type="pct"/>
                  <w:gridSpan w:val="2"/>
                  <w:vAlign w:val="center"/>
                </w:tcPr>
                <w:p w14:paraId="00FE5DFD">
                  <w:pPr>
                    <w:pStyle w:val="51"/>
                    <w:adjustRightInd w:val="0"/>
                    <w:snapToGrid w:val="0"/>
                    <w:jc w:val="center"/>
                    <w:rPr>
                      <w:rFonts w:ascii="Times New Roman" w:hAnsi="Times New Roman" w:eastAsiaTheme="minorEastAsia"/>
                      <w:b/>
                      <w:bCs/>
                      <w:color w:val="000000" w:themeColor="text1"/>
                      <w:szCs w:val="21"/>
                    </w:rPr>
                  </w:pPr>
                  <w:r>
                    <w:rPr>
                      <w:rFonts w:ascii="Times New Roman" w:hAnsi="Times New Roman" w:eastAsiaTheme="minorEastAsia"/>
                      <w:b/>
                      <w:bCs/>
                      <w:color w:val="000000" w:themeColor="text1"/>
                      <w:szCs w:val="21"/>
                    </w:rPr>
                    <w:t>排放口地理坐标</w:t>
                  </w:r>
                </w:p>
              </w:tc>
              <w:tc>
                <w:tcPr>
                  <w:tcW w:w="1128" w:type="pct"/>
                  <w:vMerge w:val="restart"/>
                  <w:vAlign w:val="center"/>
                </w:tcPr>
                <w:p w14:paraId="39686F27">
                  <w:pPr>
                    <w:pStyle w:val="51"/>
                    <w:jc w:val="center"/>
                    <w:rPr>
                      <w:rFonts w:ascii="Times New Roman" w:hAnsi="Times New Roman" w:eastAsiaTheme="minorEastAsia"/>
                      <w:b/>
                      <w:bCs/>
                      <w:color w:val="000000" w:themeColor="text1"/>
                      <w:szCs w:val="21"/>
                    </w:rPr>
                  </w:pPr>
                  <w:r>
                    <w:rPr>
                      <w:rFonts w:ascii="Times New Roman" w:hAnsi="Times New Roman" w:eastAsiaTheme="minorEastAsia"/>
                      <w:b/>
                      <w:bCs/>
                      <w:color w:val="000000" w:themeColor="text1"/>
                      <w:szCs w:val="21"/>
                    </w:rPr>
                    <w:t>排放去向</w:t>
                  </w:r>
                </w:p>
              </w:tc>
            </w:tr>
            <w:tr w14:paraId="2EC3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36" w:type="pct"/>
                  <w:vMerge w:val="continue"/>
                  <w:vAlign w:val="center"/>
                </w:tcPr>
                <w:p w14:paraId="356F7847">
                  <w:pPr>
                    <w:jc w:val="both"/>
                    <w:rPr>
                      <w:rFonts w:ascii="Times New Roman" w:hAnsi="Times New Roman" w:cs="Times New Roman" w:eastAsiaTheme="minorEastAsia"/>
                      <w:b/>
                      <w:bCs/>
                      <w:color w:val="000000" w:themeColor="text1"/>
                      <w:sz w:val="21"/>
                      <w:szCs w:val="21"/>
                      <w:lang w:val="en-US"/>
                    </w:rPr>
                  </w:pPr>
                </w:p>
              </w:tc>
              <w:tc>
                <w:tcPr>
                  <w:tcW w:w="654" w:type="pct"/>
                  <w:vMerge w:val="continue"/>
                  <w:vAlign w:val="center"/>
                </w:tcPr>
                <w:p w14:paraId="1066078C">
                  <w:pPr>
                    <w:jc w:val="both"/>
                    <w:rPr>
                      <w:rFonts w:ascii="Times New Roman" w:hAnsi="Times New Roman" w:cs="Times New Roman" w:eastAsiaTheme="minorEastAsia"/>
                      <w:b/>
                      <w:bCs/>
                      <w:color w:val="000000" w:themeColor="text1"/>
                      <w:sz w:val="21"/>
                      <w:szCs w:val="21"/>
                      <w:lang w:val="en-US"/>
                    </w:rPr>
                  </w:pPr>
                </w:p>
              </w:tc>
              <w:tc>
                <w:tcPr>
                  <w:tcW w:w="614" w:type="pct"/>
                  <w:vMerge w:val="continue"/>
                  <w:vAlign w:val="center"/>
                </w:tcPr>
                <w:p w14:paraId="353C51D6">
                  <w:pPr>
                    <w:jc w:val="both"/>
                    <w:rPr>
                      <w:rFonts w:ascii="Times New Roman" w:hAnsi="Times New Roman" w:cs="Times New Roman" w:eastAsiaTheme="minorEastAsia"/>
                      <w:b/>
                      <w:bCs/>
                      <w:color w:val="000000" w:themeColor="text1"/>
                      <w:sz w:val="21"/>
                      <w:szCs w:val="21"/>
                      <w:lang w:val="en-US"/>
                    </w:rPr>
                  </w:pPr>
                </w:p>
              </w:tc>
              <w:tc>
                <w:tcPr>
                  <w:tcW w:w="1033" w:type="pct"/>
                  <w:vAlign w:val="center"/>
                </w:tcPr>
                <w:p w14:paraId="661C5F9F">
                  <w:pPr>
                    <w:pStyle w:val="51"/>
                    <w:jc w:val="center"/>
                    <w:rPr>
                      <w:rFonts w:ascii="Times New Roman" w:hAnsi="Times New Roman" w:eastAsiaTheme="minorEastAsia"/>
                      <w:b/>
                      <w:bCs/>
                      <w:color w:val="000000" w:themeColor="text1"/>
                      <w:szCs w:val="21"/>
                    </w:rPr>
                  </w:pPr>
                  <w:r>
                    <w:rPr>
                      <w:rFonts w:ascii="Times New Roman" w:hAnsi="Times New Roman" w:eastAsiaTheme="minorEastAsia"/>
                      <w:b/>
                      <w:bCs/>
                      <w:color w:val="000000" w:themeColor="text1"/>
                      <w:szCs w:val="21"/>
                    </w:rPr>
                    <w:t>经度</w:t>
                  </w:r>
                </w:p>
              </w:tc>
              <w:tc>
                <w:tcPr>
                  <w:tcW w:w="1033" w:type="pct"/>
                  <w:vAlign w:val="center"/>
                </w:tcPr>
                <w:p w14:paraId="698D51A4">
                  <w:pPr>
                    <w:pStyle w:val="51"/>
                    <w:adjustRightInd w:val="0"/>
                    <w:snapToGrid w:val="0"/>
                    <w:jc w:val="center"/>
                    <w:rPr>
                      <w:rFonts w:ascii="Times New Roman" w:hAnsi="Times New Roman" w:eastAsiaTheme="minorEastAsia"/>
                      <w:b/>
                      <w:bCs/>
                      <w:color w:val="000000" w:themeColor="text1"/>
                      <w:szCs w:val="21"/>
                    </w:rPr>
                  </w:pPr>
                  <w:r>
                    <w:rPr>
                      <w:rFonts w:ascii="Times New Roman" w:hAnsi="Times New Roman" w:eastAsiaTheme="minorEastAsia"/>
                      <w:b/>
                      <w:bCs/>
                      <w:color w:val="000000" w:themeColor="text1"/>
                      <w:szCs w:val="21"/>
                    </w:rPr>
                    <w:t>纬度</w:t>
                  </w:r>
                </w:p>
              </w:tc>
              <w:tc>
                <w:tcPr>
                  <w:tcW w:w="1128" w:type="pct"/>
                  <w:vMerge w:val="continue"/>
                </w:tcPr>
                <w:p w14:paraId="6D81FC95">
                  <w:pPr>
                    <w:pStyle w:val="41"/>
                    <w:rPr>
                      <w:color w:val="000000" w:themeColor="text1"/>
                    </w:rPr>
                  </w:pPr>
                </w:p>
              </w:tc>
            </w:tr>
            <w:tr w14:paraId="1CD5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536" w:type="pct"/>
                  <w:vAlign w:val="center"/>
                </w:tcPr>
                <w:p w14:paraId="294BA82E">
                  <w:pPr>
                    <w:pStyle w:val="51"/>
                    <w:jc w:val="center"/>
                    <w:rPr>
                      <w:rFonts w:ascii="Times New Roman" w:hAnsi="Times New Roman" w:eastAsiaTheme="minorEastAsia"/>
                      <w:color w:val="000000" w:themeColor="text1"/>
                      <w:szCs w:val="21"/>
                    </w:rPr>
                  </w:pPr>
                  <w:r>
                    <w:rPr>
                      <w:rFonts w:ascii="Times New Roman" w:hAnsi="Times New Roman" w:eastAsiaTheme="minorEastAsia"/>
                      <w:color w:val="000000" w:themeColor="text1"/>
                      <w:szCs w:val="21"/>
                    </w:rPr>
                    <w:t>一般排放口</w:t>
                  </w:r>
                </w:p>
              </w:tc>
              <w:tc>
                <w:tcPr>
                  <w:tcW w:w="654" w:type="pct"/>
                  <w:vAlign w:val="center"/>
                </w:tcPr>
                <w:p w14:paraId="567FB3E4">
                  <w:pPr>
                    <w:pStyle w:val="51"/>
                    <w:jc w:val="center"/>
                    <w:rPr>
                      <w:rFonts w:ascii="Times New Roman" w:hAnsi="Times New Roman" w:eastAsiaTheme="minorEastAsia"/>
                      <w:color w:val="000000" w:themeColor="text1"/>
                      <w:szCs w:val="21"/>
                    </w:rPr>
                  </w:pPr>
                  <w:r>
                    <w:rPr>
                      <w:rFonts w:ascii="Times New Roman" w:hAnsi="Times New Roman" w:eastAsiaTheme="minorEastAsia"/>
                      <w:color w:val="000000" w:themeColor="text1"/>
                      <w:szCs w:val="21"/>
                    </w:rPr>
                    <w:t>DW001</w:t>
                  </w:r>
                </w:p>
              </w:tc>
              <w:tc>
                <w:tcPr>
                  <w:tcW w:w="614" w:type="pct"/>
                  <w:vAlign w:val="center"/>
                </w:tcPr>
                <w:p w14:paraId="7C252118">
                  <w:pPr>
                    <w:pStyle w:val="51"/>
                    <w:jc w:val="center"/>
                    <w:rPr>
                      <w:rFonts w:hint="default" w:ascii="Times New Roman" w:hAnsi="Times New Roman" w:eastAsiaTheme="minorEastAsia"/>
                      <w:color w:val="000000" w:themeColor="text1"/>
                      <w:szCs w:val="21"/>
                      <w:lang w:val="en-US" w:eastAsia="zh-CN"/>
                    </w:rPr>
                  </w:pPr>
                  <w:r>
                    <w:rPr>
                      <w:rFonts w:hint="eastAsia" w:ascii="Times New Roman" w:hAnsi="Times New Roman" w:eastAsiaTheme="minorEastAsia"/>
                      <w:color w:val="000000" w:themeColor="text1"/>
                      <w:szCs w:val="21"/>
                      <w:lang w:val="en-US" w:eastAsia="zh-CN"/>
                    </w:rPr>
                    <w:t>综合污水处理站排放口</w:t>
                  </w:r>
                </w:p>
              </w:tc>
              <w:tc>
                <w:tcPr>
                  <w:tcW w:w="1033" w:type="pct"/>
                  <w:vAlign w:val="center"/>
                </w:tcPr>
                <w:p w14:paraId="37738BCE">
                  <w:pPr>
                    <w:pStyle w:val="51"/>
                    <w:jc w:val="center"/>
                    <w:rPr>
                      <w:rFonts w:ascii="Times New Roman" w:hAnsi="Times New Roman" w:eastAsiaTheme="minorEastAsia"/>
                      <w:color w:val="000000" w:themeColor="text1"/>
                      <w:szCs w:val="21"/>
                    </w:rPr>
                  </w:pPr>
                  <w:r>
                    <w:rPr>
                      <w:rFonts w:ascii="Times New Roman" w:hAnsi="Times New Roman" w:eastAsiaTheme="minorEastAsia"/>
                      <w:color w:val="000000" w:themeColor="text1"/>
                      <w:szCs w:val="21"/>
                    </w:rPr>
                    <w:t>109°59′44.063″</w:t>
                  </w:r>
                </w:p>
              </w:tc>
              <w:tc>
                <w:tcPr>
                  <w:tcW w:w="1033" w:type="pct"/>
                  <w:vAlign w:val="center"/>
                </w:tcPr>
                <w:p w14:paraId="66C741DD">
                  <w:pPr>
                    <w:pStyle w:val="51"/>
                    <w:jc w:val="center"/>
                    <w:rPr>
                      <w:rFonts w:ascii="Times New Roman" w:hAnsi="Times New Roman" w:eastAsiaTheme="minorEastAsia"/>
                      <w:color w:val="000000" w:themeColor="text1"/>
                      <w:szCs w:val="21"/>
                    </w:rPr>
                  </w:pPr>
                  <w:r>
                    <w:rPr>
                      <w:rFonts w:ascii="Times New Roman" w:hAnsi="Times New Roman" w:eastAsiaTheme="minorEastAsia"/>
                      <w:color w:val="000000" w:themeColor="text1"/>
                      <w:szCs w:val="21"/>
                    </w:rPr>
                    <w:t>24°59′48.177″</w:t>
                  </w:r>
                </w:p>
              </w:tc>
              <w:tc>
                <w:tcPr>
                  <w:tcW w:w="1128" w:type="pct"/>
                  <w:vAlign w:val="center"/>
                </w:tcPr>
                <w:p w14:paraId="0536A7EF">
                  <w:pPr>
                    <w:pStyle w:val="51"/>
                    <w:jc w:val="center"/>
                    <w:rPr>
                      <w:rFonts w:ascii="Times New Roman" w:hAnsi="Times New Roman" w:eastAsiaTheme="minorEastAsia"/>
                      <w:color w:val="000000" w:themeColor="text1"/>
                      <w:szCs w:val="21"/>
                    </w:rPr>
                  </w:pPr>
                  <w:r>
                    <w:rPr>
                      <w:rFonts w:hint="eastAsia" w:ascii="Times New Roman" w:hAnsi="Times New Roman" w:eastAsiaTheme="minorEastAsia"/>
                      <w:color w:val="000000" w:themeColor="text1"/>
                      <w:szCs w:val="21"/>
                    </w:rPr>
                    <w:t>永福县益源污水处理厂</w:t>
                  </w:r>
                </w:p>
              </w:tc>
            </w:tr>
            <w:tr w14:paraId="5E66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36" w:type="pct"/>
                  <w:vAlign w:val="center"/>
                </w:tcPr>
                <w:p w14:paraId="3BB2158E">
                  <w:pPr>
                    <w:pStyle w:val="51"/>
                    <w:jc w:val="center"/>
                    <w:rPr>
                      <w:rFonts w:ascii="Times New Roman" w:hAnsi="Times New Roman" w:eastAsiaTheme="minorEastAsia"/>
                      <w:color w:val="000000" w:themeColor="text1"/>
                      <w:szCs w:val="21"/>
                    </w:rPr>
                  </w:pPr>
                  <w:r>
                    <w:rPr>
                      <w:rFonts w:ascii="Times New Roman" w:hAnsi="Times New Roman" w:eastAsiaTheme="minorEastAsia"/>
                      <w:color w:val="000000" w:themeColor="text1"/>
                      <w:szCs w:val="21"/>
                    </w:rPr>
                    <w:t>一般排放口</w:t>
                  </w:r>
                </w:p>
              </w:tc>
              <w:tc>
                <w:tcPr>
                  <w:tcW w:w="654" w:type="pct"/>
                  <w:vAlign w:val="center"/>
                </w:tcPr>
                <w:p w14:paraId="39F1C81F">
                  <w:pPr>
                    <w:pStyle w:val="51"/>
                    <w:jc w:val="center"/>
                    <w:rPr>
                      <w:rFonts w:ascii="Times New Roman" w:hAnsi="Times New Roman" w:eastAsiaTheme="minorEastAsia"/>
                      <w:color w:val="000000" w:themeColor="text1"/>
                      <w:szCs w:val="21"/>
                    </w:rPr>
                  </w:pPr>
                  <w:r>
                    <w:rPr>
                      <w:rFonts w:ascii="Times New Roman" w:hAnsi="Times New Roman" w:eastAsiaTheme="minorEastAsia"/>
                      <w:color w:val="000000" w:themeColor="text1"/>
                      <w:szCs w:val="21"/>
                    </w:rPr>
                    <w:t>DW00</w:t>
                  </w:r>
                  <w:r>
                    <w:rPr>
                      <w:rFonts w:hint="eastAsia" w:ascii="Times New Roman" w:hAnsi="Times New Roman" w:eastAsiaTheme="minorEastAsia"/>
                      <w:color w:val="000000" w:themeColor="text1"/>
                      <w:szCs w:val="21"/>
                    </w:rPr>
                    <w:t>2</w:t>
                  </w:r>
                </w:p>
              </w:tc>
              <w:tc>
                <w:tcPr>
                  <w:tcW w:w="614" w:type="pct"/>
                  <w:vAlign w:val="center"/>
                </w:tcPr>
                <w:p w14:paraId="0B971772">
                  <w:pPr>
                    <w:pStyle w:val="51"/>
                    <w:jc w:val="center"/>
                    <w:rPr>
                      <w:rFonts w:hint="default" w:ascii="Times New Roman" w:hAnsi="Times New Roman" w:eastAsiaTheme="minorEastAsia"/>
                      <w:color w:val="000000" w:themeColor="text1"/>
                      <w:szCs w:val="21"/>
                      <w:lang w:val="en-US"/>
                    </w:rPr>
                  </w:pPr>
                  <w:r>
                    <w:rPr>
                      <w:rFonts w:hint="eastAsia" w:ascii="Times New Roman" w:hAnsi="Times New Roman" w:eastAsiaTheme="minorEastAsia"/>
                      <w:color w:val="000000" w:themeColor="text1"/>
                      <w:szCs w:val="21"/>
                      <w:lang w:val="en-US" w:eastAsia="zh-CN"/>
                    </w:rPr>
                    <w:t>食堂废水排放口</w:t>
                  </w:r>
                </w:p>
              </w:tc>
              <w:tc>
                <w:tcPr>
                  <w:tcW w:w="1033" w:type="pct"/>
                  <w:vAlign w:val="center"/>
                </w:tcPr>
                <w:p w14:paraId="3E6B1D26">
                  <w:pPr>
                    <w:pStyle w:val="51"/>
                    <w:jc w:val="center"/>
                    <w:rPr>
                      <w:rFonts w:ascii="Times New Roman" w:hAnsi="Times New Roman" w:eastAsiaTheme="minorEastAsia"/>
                      <w:color w:val="000000" w:themeColor="text1"/>
                      <w:szCs w:val="21"/>
                    </w:rPr>
                  </w:pPr>
                  <w:r>
                    <w:rPr>
                      <w:rFonts w:ascii="Times New Roman" w:hAnsi="Times New Roman" w:eastAsiaTheme="minorEastAsia"/>
                      <w:color w:val="000000" w:themeColor="text1"/>
                      <w:szCs w:val="21"/>
                    </w:rPr>
                    <w:t>109°59′40.993″</w:t>
                  </w:r>
                </w:p>
              </w:tc>
              <w:tc>
                <w:tcPr>
                  <w:tcW w:w="1033" w:type="pct"/>
                  <w:vAlign w:val="center"/>
                </w:tcPr>
                <w:p w14:paraId="2E49FF24">
                  <w:pPr>
                    <w:pStyle w:val="51"/>
                    <w:jc w:val="center"/>
                    <w:rPr>
                      <w:rFonts w:ascii="Times New Roman" w:hAnsi="Times New Roman" w:eastAsiaTheme="minorEastAsia"/>
                      <w:color w:val="000000" w:themeColor="text1"/>
                      <w:szCs w:val="21"/>
                    </w:rPr>
                  </w:pPr>
                  <w:r>
                    <w:rPr>
                      <w:rFonts w:ascii="Times New Roman" w:hAnsi="Times New Roman" w:eastAsiaTheme="minorEastAsia"/>
                      <w:color w:val="000000" w:themeColor="text1"/>
                      <w:szCs w:val="21"/>
                    </w:rPr>
                    <w:t>24°59′55.073″</w:t>
                  </w:r>
                </w:p>
              </w:tc>
              <w:tc>
                <w:tcPr>
                  <w:tcW w:w="1128" w:type="pct"/>
                  <w:vAlign w:val="center"/>
                </w:tcPr>
                <w:p w14:paraId="67CDD4BA">
                  <w:pPr>
                    <w:pStyle w:val="51"/>
                    <w:jc w:val="center"/>
                    <w:rPr>
                      <w:rFonts w:ascii="Times New Roman" w:hAnsi="Times New Roman" w:eastAsiaTheme="minorEastAsia"/>
                      <w:color w:val="000000" w:themeColor="text1"/>
                      <w:szCs w:val="21"/>
                    </w:rPr>
                  </w:pPr>
                  <w:r>
                    <w:rPr>
                      <w:rFonts w:hint="eastAsia" w:ascii="Times New Roman" w:hAnsi="Times New Roman" w:eastAsiaTheme="minorEastAsia"/>
                      <w:color w:val="000000" w:themeColor="text1"/>
                      <w:szCs w:val="21"/>
                    </w:rPr>
                    <w:t>永福县益源污水处理厂</w:t>
                  </w:r>
                </w:p>
              </w:tc>
            </w:tr>
          </w:tbl>
          <w:p w14:paraId="2B31A0A1">
            <w:pPr>
              <w:pStyle w:val="41"/>
              <w:rPr>
                <w:color w:val="000000" w:themeColor="text1"/>
              </w:rPr>
            </w:pPr>
            <w:r>
              <w:rPr>
                <w:color w:val="000000" w:themeColor="text1"/>
              </w:rPr>
              <w:t>（</w:t>
            </w:r>
            <w:r>
              <w:rPr>
                <w:rFonts w:hint="eastAsia"/>
                <w:color w:val="000000" w:themeColor="text1"/>
              </w:rPr>
              <w:t>6</w:t>
            </w:r>
            <w:r>
              <w:rPr>
                <w:color w:val="000000" w:themeColor="text1"/>
              </w:rPr>
              <w:t>）监测要求</w:t>
            </w:r>
          </w:p>
          <w:p w14:paraId="29EC1981">
            <w:pPr>
              <w:pStyle w:val="41"/>
              <w:rPr>
                <w:color w:val="000000" w:themeColor="text1"/>
              </w:rPr>
            </w:pPr>
            <w:r>
              <w:rPr>
                <w:color w:val="000000" w:themeColor="text1"/>
              </w:rPr>
              <w:t>根据《排污单位自行监测技术指南 总则》（HJ 819-2017）、《排污许可证申请与核发技术规范 医疗机构》（HJ1105—2020）</w:t>
            </w:r>
            <w:r>
              <w:rPr>
                <w:rFonts w:hint="eastAsia"/>
                <w:color w:val="000000" w:themeColor="text1"/>
              </w:rPr>
              <w:t>、《医疗机构水污染物排放标准》（GB18466-2005）</w:t>
            </w:r>
            <w:r>
              <w:rPr>
                <w:color w:val="000000" w:themeColor="text1"/>
              </w:rPr>
              <w:t>，本项目的废水监测计划见下表：</w:t>
            </w:r>
          </w:p>
          <w:p w14:paraId="619B3B9C">
            <w:pPr>
              <w:jc w:val="center"/>
              <w:rPr>
                <w:rFonts w:ascii="Times New Roman" w:hAnsi="Times New Roman" w:cs="Times New Roman" w:eastAsiaTheme="minorEastAsia"/>
                <w:color w:val="000000" w:themeColor="text1"/>
                <w:sz w:val="24"/>
              </w:rPr>
            </w:pPr>
            <w:r>
              <w:rPr>
                <w:rFonts w:ascii="Times New Roman" w:hAnsi="Times New Roman" w:cs="Times New Roman" w:eastAsiaTheme="minorEastAsia"/>
                <w:b/>
                <w:bCs/>
                <w:color w:val="000000" w:themeColor="text1"/>
                <w:sz w:val="24"/>
              </w:rPr>
              <w:t>表</w:t>
            </w:r>
            <w:r>
              <w:rPr>
                <w:rFonts w:ascii="Times New Roman" w:hAnsi="Times New Roman" w:cs="Times New Roman" w:eastAsiaTheme="minorEastAsia"/>
                <w:b/>
                <w:bCs/>
                <w:color w:val="000000" w:themeColor="text1"/>
                <w:sz w:val="24"/>
                <w:lang w:val="en-US"/>
              </w:rPr>
              <w:t>4</w:t>
            </w:r>
            <w:r>
              <w:rPr>
                <w:rFonts w:ascii="Times New Roman" w:hAnsi="Times New Roman" w:cs="Times New Roman" w:eastAsiaTheme="minorEastAsia"/>
                <w:b/>
                <w:bCs/>
                <w:color w:val="000000" w:themeColor="text1"/>
                <w:sz w:val="24"/>
              </w:rPr>
              <w:t>-</w:t>
            </w:r>
            <w:r>
              <w:rPr>
                <w:rFonts w:hint="eastAsia" w:ascii="Times New Roman" w:hAnsi="Times New Roman" w:cs="Times New Roman" w:eastAsiaTheme="minorEastAsia"/>
                <w:b/>
                <w:bCs/>
                <w:color w:val="000000" w:themeColor="text1"/>
                <w:sz w:val="24"/>
                <w:lang w:val="en-US"/>
              </w:rPr>
              <w:t>6</w:t>
            </w:r>
            <w:r>
              <w:rPr>
                <w:rFonts w:ascii="Times New Roman" w:hAnsi="Times New Roman" w:cs="Times New Roman" w:eastAsiaTheme="minorEastAsia"/>
                <w:b/>
                <w:bCs/>
                <w:color w:val="000000" w:themeColor="text1"/>
                <w:sz w:val="24"/>
              </w:rPr>
              <w:t>废水监测计划表</w:t>
            </w:r>
          </w:p>
          <w:tbl>
            <w:tblPr>
              <w:tblStyle w:val="2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4677"/>
              <w:gridCol w:w="2497"/>
            </w:tblGrid>
            <w:tr w14:paraId="2CF9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14:paraId="1B4AB008">
                  <w:pPr>
                    <w:pStyle w:val="40"/>
                    <w:jc w:val="center"/>
                    <w:rPr>
                      <w:rFonts w:ascii="Times New Roman" w:hAnsi="Times New Roman" w:cs="Times New Roman" w:eastAsiaTheme="minorEastAsia"/>
                      <w:b/>
                      <w:bCs/>
                      <w:color w:val="000000" w:themeColor="text1"/>
                      <w:sz w:val="21"/>
                      <w:szCs w:val="21"/>
                    </w:rPr>
                  </w:pPr>
                  <w:r>
                    <w:rPr>
                      <w:rFonts w:ascii="Times New Roman" w:hAnsi="Times New Roman" w:cs="Times New Roman" w:eastAsiaTheme="minorEastAsia"/>
                      <w:b/>
                      <w:bCs/>
                      <w:color w:val="000000" w:themeColor="text1"/>
                      <w:sz w:val="21"/>
                    </w:rPr>
                    <w:t>监测点位</w:t>
                  </w:r>
                </w:p>
              </w:tc>
              <w:tc>
                <w:tcPr>
                  <w:tcW w:w="4677" w:type="dxa"/>
                  <w:vAlign w:val="center"/>
                </w:tcPr>
                <w:p w14:paraId="1B4FED03">
                  <w:pPr>
                    <w:pStyle w:val="40"/>
                    <w:jc w:val="center"/>
                    <w:rPr>
                      <w:rFonts w:ascii="Times New Roman" w:hAnsi="Times New Roman" w:cs="Times New Roman" w:eastAsiaTheme="minorEastAsia"/>
                      <w:b/>
                      <w:bCs/>
                      <w:color w:val="000000" w:themeColor="text1"/>
                      <w:sz w:val="21"/>
                      <w:szCs w:val="21"/>
                    </w:rPr>
                  </w:pPr>
                  <w:r>
                    <w:rPr>
                      <w:rFonts w:ascii="Times New Roman" w:hAnsi="Times New Roman" w:cs="Times New Roman" w:eastAsiaTheme="minorEastAsia"/>
                      <w:b/>
                      <w:bCs/>
                      <w:color w:val="000000" w:themeColor="text1"/>
                      <w:sz w:val="21"/>
                    </w:rPr>
                    <w:t>监测指标</w:t>
                  </w:r>
                </w:p>
              </w:tc>
              <w:tc>
                <w:tcPr>
                  <w:tcW w:w="2497" w:type="dxa"/>
                  <w:vAlign w:val="center"/>
                </w:tcPr>
                <w:p w14:paraId="64445837">
                  <w:pPr>
                    <w:pStyle w:val="40"/>
                    <w:jc w:val="center"/>
                    <w:rPr>
                      <w:rFonts w:ascii="Times New Roman" w:hAnsi="Times New Roman" w:cs="Times New Roman" w:eastAsiaTheme="minorEastAsia"/>
                      <w:b/>
                      <w:bCs/>
                      <w:color w:val="000000" w:themeColor="text1"/>
                      <w:sz w:val="21"/>
                      <w:szCs w:val="21"/>
                    </w:rPr>
                  </w:pPr>
                  <w:r>
                    <w:rPr>
                      <w:rFonts w:ascii="Times New Roman" w:hAnsi="Times New Roman" w:cs="Times New Roman" w:eastAsiaTheme="minorEastAsia"/>
                      <w:b/>
                      <w:bCs/>
                      <w:color w:val="000000" w:themeColor="text1"/>
                      <w:sz w:val="21"/>
                    </w:rPr>
                    <w:t>监测频次</w:t>
                  </w:r>
                </w:p>
              </w:tc>
            </w:tr>
            <w:tr w14:paraId="6036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Merge w:val="restart"/>
                  <w:vAlign w:val="center"/>
                </w:tcPr>
                <w:p w14:paraId="6D0598BF">
                  <w:pPr>
                    <w:pStyle w:val="40"/>
                    <w:jc w:val="center"/>
                    <w:rPr>
                      <w:rFonts w:ascii="Times New Roman" w:hAnsi="Times New Roman" w:cs="Times New Roman" w:eastAsiaTheme="minorEastAsia"/>
                      <w:color w:val="000000" w:themeColor="text1"/>
                      <w:sz w:val="21"/>
                    </w:rPr>
                  </w:pPr>
                  <w:r>
                    <w:rPr>
                      <w:rFonts w:hint="eastAsia" w:ascii="Times New Roman" w:hAnsi="Times New Roman" w:cs="Times New Roman" w:eastAsiaTheme="minorEastAsia"/>
                      <w:color w:val="000000" w:themeColor="text1"/>
                      <w:sz w:val="21"/>
                    </w:rPr>
                    <w:t>综合污水处理站排放口</w:t>
                  </w:r>
                </w:p>
              </w:tc>
              <w:tc>
                <w:tcPr>
                  <w:tcW w:w="4677" w:type="dxa"/>
                  <w:vAlign w:val="center"/>
                </w:tcPr>
                <w:p w14:paraId="0AC1D425">
                  <w:pPr>
                    <w:pStyle w:val="40"/>
                    <w:jc w:val="center"/>
                    <w:rPr>
                      <w:rFonts w:ascii="Times New Roman" w:hAnsi="Times New Roman" w:cs="Times New Roman" w:eastAsiaTheme="minorEastAsia"/>
                      <w:color w:val="000000" w:themeColor="text1"/>
                      <w:sz w:val="21"/>
                    </w:rPr>
                  </w:pPr>
                  <w:r>
                    <w:rPr>
                      <w:rFonts w:ascii="Times New Roman" w:hAnsi="Times New Roman" w:cs="Times New Roman" w:eastAsiaTheme="minorEastAsia"/>
                      <w:color w:val="000000" w:themeColor="text1"/>
                      <w:sz w:val="21"/>
                    </w:rPr>
                    <w:t>流量</w:t>
                  </w:r>
                </w:p>
              </w:tc>
              <w:tc>
                <w:tcPr>
                  <w:tcW w:w="2497" w:type="dxa"/>
                  <w:vAlign w:val="center"/>
                </w:tcPr>
                <w:p w14:paraId="48F4538D">
                  <w:pPr>
                    <w:pStyle w:val="40"/>
                    <w:jc w:val="center"/>
                    <w:rPr>
                      <w:rFonts w:ascii="Times New Roman" w:hAnsi="Times New Roman" w:cs="Times New Roman" w:eastAsiaTheme="minorEastAsia"/>
                      <w:color w:val="000000" w:themeColor="text1"/>
                      <w:sz w:val="21"/>
                    </w:rPr>
                  </w:pPr>
                  <w:r>
                    <w:rPr>
                      <w:rFonts w:ascii="Times New Roman" w:hAnsi="Times New Roman" w:cs="Times New Roman" w:eastAsiaTheme="minorEastAsia"/>
                      <w:color w:val="000000" w:themeColor="text1"/>
                      <w:sz w:val="21"/>
                    </w:rPr>
                    <w:t>自动监测</w:t>
                  </w:r>
                </w:p>
              </w:tc>
            </w:tr>
            <w:tr w14:paraId="380A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Merge w:val="continue"/>
                  <w:vAlign w:val="center"/>
                </w:tcPr>
                <w:p w14:paraId="18696A1E">
                  <w:pPr>
                    <w:pStyle w:val="40"/>
                    <w:jc w:val="center"/>
                    <w:rPr>
                      <w:rFonts w:ascii="Times New Roman" w:hAnsi="Times New Roman" w:cs="Times New Roman" w:eastAsiaTheme="minorEastAsia"/>
                      <w:color w:val="000000" w:themeColor="text1"/>
                      <w:sz w:val="21"/>
                    </w:rPr>
                  </w:pPr>
                </w:p>
              </w:tc>
              <w:tc>
                <w:tcPr>
                  <w:tcW w:w="4677" w:type="dxa"/>
                  <w:vAlign w:val="center"/>
                </w:tcPr>
                <w:p w14:paraId="1F18AF35">
                  <w:pPr>
                    <w:pStyle w:val="40"/>
                    <w:jc w:val="center"/>
                    <w:rPr>
                      <w:rFonts w:ascii="Times New Roman" w:hAnsi="Times New Roman" w:cs="Times New Roman" w:eastAsiaTheme="minorEastAsia"/>
                      <w:color w:val="000000" w:themeColor="text1"/>
                      <w:sz w:val="21"/>
                    </w:rPr>
                  </w:pPr>
                  <w:r>
                    <w:rPr>
                      <w:rFonts w:ascii="Times New Roman" w:hAnsi="Times New Roman" w:cs="Times New Roman" w:eastAsiaTheme="minorEastAsia"/>
                      <w:color w:val="000000" w:themeColor="text1"/>
                      <w:sz w:val="21"/>
                    </w:rPr>
                    <w:t>pH值</w:t>
                  </w:r>
                </w:p>
              </w:tc>
              <w:tc>
                <w:tcPr>
                  <w:tcW w:w="2497" w:type="dxa"/>
                  <w:vAlign w:val="center"/>
                </w:tcPr>
                <w:p w14:paraId="11064179">
                  <w:pPr>
                    <w:pStyle w:val="40"/>
                    <w:jc w:val="center"/>
                    <w:rPr>
                      <w:rFonts w:ascii="Times New Roman" w:hAnsi="Times New Roman" w:cs="Times New Roman" w:eastAsiaTheme="minorEastAsia"/>
                      <w:color w:val="000000" w:themeColor="text1"/>
                      <w:sz w:val="21"/>
                      <w:lang w:val="en-US"/>
                    </w:rPr>
                  </w:pPr>
                  <w:r>
                    <w:rPr>
                      <w:rFonts w:hint="eastAsia" w:ascii="Times New Roman" w:hAnsi="Times New Roman" w:cs="Times New Roman" w:eastAsiaTheme="minorEastAsia"/>
                      <w:color w:val="000000" w:themeColor="text1"/>
                      <w:sz w:val="21"/>
                      <w:lang w:val="en-US"/>
                    </w:rPr>
                    <w:t>每</w:t>
                  </w:r>
                  <w:r>
                    <w:rPr>
                      <w:rFonts w:ascii="Times New Roman" w:hAnsi="Times New Roman" w:cs="Times New Roman" w:eastAsiaTheme="minorEastAsia"/>
                      <w:color w:val="000000" w:themeColor="text1"/>
                      <w:sz w:val="21"/>
                    </w:rPr>
                    <w:t>12小时</w:t>
                  </w:r>
                  <w:r>
                    <w:rPr>
                      <w:rFonts w:hint="eastAsia" w:ascii="Times New Roman" w:hAnsi="Times New Roman" w:cs="Times New Roman" w:eastAsiaTheme="minorEastAsia"/>
                      <w:color w:val="000000" w:themeColor="text1"/>
                      <w:sz w:val="21"/>
                      <w:lang w:val="en-US"/>
                    </w:rPr>
                    <w:t>一</w:t>
                  </w:r>
                  <w:r>
                    <w:rPr>
                      <w:rFonts w:ascii="Times New Roman" w:hAnsi="Times New Roman" w:cs="Times New Roman" w:eastAsiaTheme="minorEastAsia"/>
                      <w:color w:val="000000" w:themeColor="text1"/>
                      <w:sz w:val="21"/>
                    </w:rPr>
                    <w:t>次</w:t>
                  </w:r>
                </w:p>
              </w:tc>
            </w:tr>
            <w:tr w14:paraId="5112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Merge w:val="continue"/>
                  <w:vAlign w:val="center"/>
                </w:tcPr>
                <w:p w14:paraId="0622237D">
                  <w:pPr>
                    <w:pStyle w:val="40"/>
                    <w:jc w:val="center"/>
                    <w:rPr>
                      <w:rFonts w:ascii="Times New Roman" w:hAnsi="Times New Roman" w:cs="Times New Roman" w:eastAsiaTheme="minorEastAsia"/>
                      <w:color w:val="000000" w:themeColor="text1"/>
                      <w:sz w:val="21"/>
                    </w:rPr>
                  </w:pPr>
                </w:p>
              </w:tc>
              <w:tc>
                <w:tcPr>
                  <w:tcW w:w="4677" w:type="dxa"/>
                  <w:vAlign w:val="center"/>
                </w:tcPr>
                <w:p w14:paraId="66B8249C">
                  <w:pPr>
                    <w:pStyle w:val="40"/>
                    <w:jc w:val="center"/>
                    <w:rPr>
                      <w:rFonts w:ascii="Times New Roman" w:hAnsi="Times New Roman" w:cs="Times New Roman" w:eastAsiaTheme="minorEastAsia"/>
                      <w:color w:val="000000" w:themeColor="text1"/>
                      <w:sz w:val="21"/>
                    </w:rPr>
                  </w:pPr>
                  <w:r>
                    <w:rPr>
                      <w:rFonts w:ascii="Times New Roman" w:hAnsi="Times New Roman" w:cs="Times New Roman" w:eastAsiaTheme="minorEastAsia"/>
                      <w:color w:val="000000" w:themeColor="text1"/>
                      <w:sz w:val="21"/>
                    </w:rPr>
                    <w:t>化学需氧量、悬浮物</w:t>
                  </w:r>
                </w:p>
              </w:tc>
              <w:tc>
                <w:tcPr>
                  <w:tcW w:w="2497" w:type="dxa"/>
                  <w:vAlign w:val="center"/>
                </w:tcPr>
                <w:p w14:paraId="41616956">
                  <w:pPr>
                    <w:pStyle w:val="40"/>
                    <w:jc w:val="center"/>
                    <w:rPr>
                      <w:rFonts w:ascii="Times New Roman" w:hAnsi="Times New Roman" w:cs="Times New Roman" w:eastAsiaTheme="minorEastAsia"/>
                      <w:color w:val="000000" w:themeColor="text1"/>
                      <w:sz w:val="21"/>
                    </w:rPr>
                  </w:pPr>
                  <w:r>
                    <w:rPr>
                      <w:rFonts w:hint="eastAsia" w:ascii="Times New Roman" w:hAnsi="Times New Roman" w:cs="Times New Roman" w:eastAsiaTheme="minorEastAsia"/>
                      <w:color w:val="000000" w:themeColor="text1"/>
                      <w:sz w:val="21"/>
                      <w:lang w:val="en-US"/>
                    </w:rPr>
                    <w:t>每</w:t>
                  </w:r>
                  <w:r>
                    <w:rPr>
                      <w:rFonts w:ascii="Times New Roman" w:hAnsi="Times New Roman" w:cs="Times New Roman" w:eastAsiaTheme="minorEastAsia"/>
                      <w:color w:val="000000" w:themeColor="text1"/>
                      <w:sz w:val="21"/>
                    </w:rPr>
                    <w:t>周</w:t>
                  </w:r>
                  <w:r>
                    <w:rPr>
                      <w:rFonts w:hint="eastAsia" w:ascii="Times New Roman" w:hAnsi="Times New Roman" w:cs="Times New Roman" w:eastAsiaTheme="minorEastAsia"/>
                      <w:color w:val="000000" w:themeColor="text1"/>
                      <w:sz w:val="21"/>
                      <w:lang w:val="en-US"/>
                    </w:rPr>
                    <w:t>一</w:t>
                  </w:r>
                  <w:r>
                    <w:rPr>
                      <w:rFonts w:ascii="Times New Roman" w:hAnsi="Times New Roman" w:cs="Times New Roman" w:eastAsiaTheme="minorEastAsia"/>
                      <w:color w:val="000000" w:themeColor="text1"/>
                      <w:sz w:val="21"/>
                    </w:rPr>
                    <w:t>次</w:t>
                  </w:r>
                </w:p>
              </w:tc>
            </w:tr>
            <w:tr w14:paraId="3925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Merge w:val="continue"/>
                  <w:vAlign w:val="center"/>
                </w:tcPr>
                <w:p w14:paraId="5B66FD96">
                  <w:pPr>
                    <w:pStyle w:val="40"/>
                    <w:jc w:val="center"/>
                    <w:rPr>
                      <w:rFonts w:ascii="Times New Roman" w:hAnsi="Times New Roman" w:cs="Times New Roman" w:eastAsiaTheme="minorEastAsia"/>
                      <w:color w:val="000000" w:themeColor="text1"/>
                      <w:sz w:val="21"/>
                    </w:rPr>
                  </w:pPr>
                </w:p>
              </w:tc>
              <w:tc>
                <w:tcPr>
                  <w:tcW w:w="4677" w:type="dxa"/>
                  <w:vAlign w:val="center"/>
                </w:tcPr>
                <w:p w14:paraId="191B44C0">
                  <w:pPr>
                    <w:pStyle w:val="40"/>
                    <w:jc w:val="center"/>
                    <w:rPr>
                      <w:rFonts w:ascii="Times New Roman" w:hAnsi="Times New Roman" w:cs="Times New Roman" w:eastAsiaTheme="minorEastAsia"/>
                      <w:color w:val="000000" w:themeColor="text1"/>
                      <w:sz w:val="21"/>
                    </w:rPr>
                  </w:pPr>
                  <w:r>
                    <w:rPr>
                      <w:rFonts w:ascii="Times New Roman" w:hAnsi="Times New Roman" w:cs="Times New Roman" w:eastAsiaTheme="minorEastAsia"/>
                      <w:color w:val="000000" w:themeColor="text1"/>
                      <w:sz w:val="21"/>
                    </w:rPr>
                    <w:t>粪大肠菌群数</w:t>
                  </w:r>
                </w:p>
              </w:tc>
              <w:tc>
                <w:tcPr>
                  <w:tcW w:w="2497" w:type="dxa"/>
                  <w:vAlign w:val="center"/>
                </w:tcPr>
                <w:p w14:paraId="46294ABF">
                  <w:pPr>
                    <w:pStyle w:val="40"/>
                    <w:jc w:val="center"/>
                    <w:rPr>
                      <w:rFonts w:ascii="Times New Roman" w:hAnsi="Times New Roman" w:cs="Times New Roman" w:eastAsiaTheme="minorEastAsia"/>
                      <w:color w:val="000000" w:themeColor="text1"/>
                      <w:sz w:val="21"/>
                    </w:rPr>
                  </w:pPr>
                  <w:r>
                    <w:rPr>
                      <w:rFonts w:hint="eastAsia" w:ascii="Times New Roman" w:hAnsi="Times New Roman" w:cs="Times New Roman" w:eastAsiaTheme="minorEastAsia"/>
                      <w:color w:val="000000" w:themeColor="text1"/>
                      <w:sz w:val="21"/>
                      <w:lang w:val="en-US"/>
                    </w:rPr>
                    <w:t>每</w:t>
                  </w:r>
                  <w:r>
                    <w:rPr>
                      <w:rFonts w:ascii="Times New Roman" w:hAnsi="Times New Roman" w:cs="Times New Roman" w:eastAsiaTheme="minorEastAsia"/>
                      <w:color w:val="000000" w:themeColor="text1"/>
                      <w:sz w:val="21"/>
                    </w:rPr>
                    <w:t>月</w:t>
                  </w:r>
                  <w:r>
                    <w:rPr>
                      <w:rFonts w:hint="eastAsia" w:ascii="Times New Roman" w:hAnsi="Times New Roman" w:cs="Times New Roman" w:eastAsiaTheme="minorEastAsia"/>
                      <w:color w:val="000000" w:themeColor="text1"/>
                      <w:sz w:val="21"/>
                      <w:lang w:val="en-US"/>
                    </w:rPr>
                    <w:t>一</w:t>
                  </w:r>
                  <w:r>
                    <w:rPr>
                      <w:rFonts w:ascii="Times New Roman" w:hAnsi="Times New Roman" w:cs="Times New Roman" w:eastAsiaTheme="minorEastAsia"/>
                      <w:color w:val="000000" w:themeColor="text1"/>
                      <w:sz w:val="21"/>
                    </w:rPr>
                    <w:t>次</w:t>
                  </w:r>
                </w:p>
              </w:tc>
            </w:tr>
            <w:tr w14:paraId="7386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Merge w:val="continue"/>
                  <w:vAlign w:val="center"/>
                </w:tcPr>
                <w:p w14:paraId="6B31DA55">
                  <w:pPr>
                    <w:pStyle w:val="40"/>
                    <w:jc w:val="center"/>
                    <w:rPr>
                      <w:rFonts w:ascii="Times New Roman" w:hAnsi="Times New Roman" w:cs="Times New Roman" w:eastAsiaTheme="minorEastAsia"/>
                      <w:color w:val="000000" w:themeColor="text1"/>
                      <w:sz w:val="21"/>
                    </w:rPr>
                  </w:pPr>
                </w:p>
              </w:tc>
              <w:tc>
                <w:tcPr>
                  <w:tcW w:w="4677" w:type="dxa"/>
                  <w:vAlign w:val="center"/>
                </w:tcPr>
                <w:p w14:paraId="7291DD9F">
                  <w:pPr>
                    <w:pStyle w:val="40"/>
                    <w:jc w:val="center"/>
                    <w:rPr>
                      <w:rFonts w:ascii="Times New Roman" w:hAnsi="Times New Roman" w:cs="Times New Roman" w:eastAsiaTheme="minorEastAsia"/>
                      <w:color w:val="000000" w:themeColor="text1"/>
                      <w:sz w:val="21"/>
                    </w:rPr>
                  </w:pPr>
                  <w:r>
                    <w:rPr>
                      <w:rFonts w:ascii="Times New Roman" w:hAnsi="Times New Roman" w:cs="Times New Roman" w:eastAsiaTheme="minorEastAsia"/>
                      <w:color w:val="000000" w:themeColor="text1"/>
                      <w:sz w:val="21"/>
                    </w:rPr>
                    <w:t>五日生化需氧量、石油类、挥发酚、动植物油、阴离子表面活性剂、总氰化物</w:t>
                  </w:r>
                </w:p>
              </w:tc>
              <w:tc>
                <w:tcPr>
                  <w:tcW w:w="2497" w:type="dxa"/>
                  <w:vAlign w:val="center"/>
                </w:tcPr>
                <w:p w14:paraId="60F00895">
                  <w:pPr>
                    <w:pStyle w:val="40"/>
                    <w:jc w:val="center"/>
                    <w:rPr>
                      <w:rFonts w:ascii="Times New Roman" w:hAnsi="Times New Roman" w:cs="Times New Roman" w:eastAsiaTheme="minorEastAsia"/>
                      <w:color w:val="000000" w:themeColor="text1"/>
                      <w:sz w:val="21"/>
                    </w:rPr>
                  </w:pPr>
                  <w:r>
                    <w:rPr>
                      <w:rFonts w:hint="eastAsia" w:ascii="Times New Roman" w:hAnsi="Times New Roman" w:cs="Times New Roman" w:eastAsiaTheme="minorEastAsia"/>
                      <w:color w:val="000000" w:themeColor="text1"/>
                      <w:sz w:val="21"/>
                      <w:lang w:val="en-US"/>
                    </w:rPr>
                    <w:t>每</w:t>
                  </w:r>
                  <w:r>
                    <w:rPr>
                      <w:rFonts w:ascii="Times New Roman" w:hAnsi="Times New Roman" w:cs="Times New Roman" w:eastAsiaTheme="minorEastAsia"/>
                      <w:color w:val="000000" w:themeColor="text1"/>
                      <w:sz w:val="21"/>
                    </w:rPr>
                    <w:t>季度</w:t>
                  </w:r>
                  <w:r>
                    <w:rPr>
                      <w:rFonts w:hint="eastAsia" w:ascii="Times New Roman" w:hAnsi="Times New Roman" w:cs="Times New Roman" w:eastAsiaTheme="minorEastAsia"/>
                      <w:color w:val="000000" w:themeColor="text1"/>
                      <w:sz w:val="21"/>
                      <w:lang w:val="en-US"/>
                    </w:rPr>
                    <w:t>一</w:t>
                  </w:r>
                  <w:r>
                    <w:rPr>
                      <w:rFonts w:ascii="Times New Roman" w:hAnsi="Times New Roman" w:cs="Times New Roman" w:eastAsiaTheme="minorEastAsia"/>
                      <w:color w:val="000000" w:themeColor="text1"/>
                      <w:sz w:val="21"/>
                    </w:rPr>
                    <w:t>次</w:t>
                  </w:r>
                </w:p>
              </w:tc>
            </w:tr>
            <w:tr w14:paraId="4E57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14:paraId="7C39036A">
                  <w:pPr>
                    <w:pStyle w:val="40"/>
                    <w:jc w:val="center"/>
                    <w:rPr>
                      <w:rFonts w:ascii="Times New Roman" w:hAnsi="Times New Roman" w:cs="Times New Roman" w:eastAsiaTheme="minorEastAsia"/>
                      <w:color w:val="000000" w:themeColor="text1"/>
                      <w:sz w:val="21"/>
                    </w:rPr>
                  </w:pPr>
                  <w:r>
                    <w:rPr>
                      <w:rFonts w:ascii="Times New Roman" w:hAnsi="Times New Roman" w:cs="Times New Roman" w:eastAsiaTheme="minorEastAsia"/>
                      <w:color w:val="000000" w:themeColor="text1"/>
                      <w:sz w:val="21"/>
                    </w:rPr>
                    <w:t>消毒池</w:t>
                  </w:r>
                </w:p>
              </w:tc>
              <w:tc>
                <w:tcPr>
                  <w:tcW w:w="4677" w:type="dxa"/>
                  <w:vAlign w:val="center"/>
                </w:tcPr>
                <w:p w14:paraId="3244F750">
                  <w:pPr>
                    <w:pStyle w:val="40"/>
                    <w:jc w:val="center"/>
                    <w:rPr>
                      <w:rFonts w:ascii="Times New Roman" w:hAnsi="Times New Roman" w:cs="Times New Roman" w:eastAsiaTheme="minorEastAsia"/>
                      <w:color w:val="000000" w:themeColor="text1"/>
                      <w:sz w:val="21"/>
                    </w:rPr>
                  </w:pPr>
                  <w:r>
                    <w:rPr>
                      <w:rFonts w:ascii="Times New Roman" w:hAnsi="Times New Roman" w:cs="Times New Roman" w:eastAsiaTheme="minorEastAsia"/>
                      <w:color w:val="000000" w:themeColor="text1"/>
                      <w:sz w:val="21"/>
                    </w:rPr>
                    <w:t>总余氯</w:t>
                  </w:r>
                </w:p>
              </w:tc>
              <w:tc>
                <w:tcPr>
                  <w:tcW w:w="2497" w:type="dxa"/>
                  <w:vAlign w:val="center"/>
                </w:tcPr>
                <w:p w14:paraId="1AD09101">
                  <w:pPr>
                    <w:pStyle w:val="40"/>
                    <w:jc w:val="center"/>
                    <w:rPr>
                      <w:rFonts w:ascii="Times New Roman" w:hAnsi="Times New Roman" w:cs="Times New Roman" w:eastAsiaTheme="minorEastAsia"/>
                      <w:color w:val="000000" w:themeColor="text1"/>
                      <w:sz w:val="21"/>
                    </w:rPr>
                  </w:pPr>
                  <w:r>
                    <w:rPr>
                      <w:rFonts w:hint="eastAsia" w:ascii="Times New Roman" w:hAnsi="Times New Roman" w:cs="Times New Roman" w:eastAsiaTheme="minorEastAsia"/>
                      <w:color w:val="000000" w:themeColor="text1"/>
                      <w:sz w:val="21"/>
                      <w:lang w:val="en-US"/>
                    </w:rPr>
                    <w:t>每</w:t>
                  </w:r>
                  <w:r>
                    <w:rPr>
                      <w:rFonts w:ascii="Times New Roman" w:hAnsi="Times New Roman" w:cs="Times New Roman" w:eastAsiaTheme="minorEastAsia"/>
                      <w:color w:val="000000" w:themeColor="text1"/>
                      <w:sz w:val="21"/>
                    </w:rPr>
                    <w:t>12小时</w:t>
                  </w:r>
                  <w:r>
                    <w:rPr>
                      <w:rFonts w:hint="eastAsia" w:ascii="Times New Roman" w:hAnsi="Times New Roman" w:cs="Times New Roman" w:eastAsiaTheme="minorEastAsia"/>
                      <w:color w:val="000000" w:themeColor="text1"/>
                      <w:sz w:val="21"/>
                      <w:lang w:val="en-US"/>
                    </w:rPr>
                    <w:t>一</w:t>
                  </w:r>
                  <w:r>
                    <w:rPr>
                      <w:rFonts w:ascii="Times New Roman" w:hAnsi="Times New Roman" w:cs="Times New Roman" w:eastAsiaTheme="minorEastAsia"/>
                      <w:color w:val="000000" w:themeColor="text1"/>
                      <w:sz w:val="21"/>
                    </w:rPr>
                    <w:t>次</w:t>
                  </w:r>
                </w:p>
              </w:tc>
            </w:tr>
            <w:tr w14:paraId="3C0D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vAlign w:val="center"/>
                </w:tcPr>
                <w:p w14:paraId="125AAF8F">
                  <w:pPr>
                    <w:pStyle w:val="40"/>
                    <w:jc w:val="center"/>
                    <w:rPr>
                      <w:rFonts w:ascii="Times New Roman" w:hAnsi="Times New Roman" w:cs="Times New Roman" w:eastAsiaTheme="minorEastAsia"/>
                      <w:color w:val="000000" w:themeColor="text1"/>
                      <w:sz w:val="21"/>
                      <w:lang w:val="en-US"/>
                    </w:rPr>
                  </w:pPr>
                  <w:r>
                    <w:rPr>
                      <w:rFonts w:hint="eastAsia" w:ascii="Times New Roman" w:hAnsi="Times New Roman" w:cs="Times New Roman" w:eastAsiaTheme="minorEastAsia"/>
                      <w:color w:val="000000" w:themeColor="text1"/>
                      <w:sz w:val="21"/>
                      <w:lang w:val="en-US"/>
                    </w:rPr>
                    <w:t>备注：收治了传染病病人的医院应加强对</w:t>
                  </w:r>
                  <w:r>
                    <w:rPr>
                      <w:rFonts w:ascii="Times New Roman" w:hAnsi="Times New Roman" w:cs="Times New Roman" w:eastAsiaTheme="minorEastAsia"/>
                      <w:color w:val="000000" w:themeColor="text1"/>
                      <w:sz w:val="21"/>
                    </w:rPr>
                    <w:t>肠道病毒</w:t>
                  </w:r>
                  <w:r>
                    <w:rPr>
                      <w:rFonts w:hint="eastAsia" w:ascii="Times New Roman" w:hAnsi="Times New Roman" w:cs="Times New Roman" w:eastAsiaTheme="minorEastAsia"/>
                      <w:color w:val="000000" w:themeColor="text1"/>
                      <w:sz w:val="21"/>
                      <w:lang w:val="en-US"/>
                    </w:rPr>
                    <w:t>和其他肠道致病菌的监测</w:t>
                  </w:r>
                </w:p>
              </w:tc>
            </w:tr>
          </w:tbl>
          <w:p w14:paraId="782544DB">
            <w:pPr>
              <w:spacing w:line="360" w:lineRule="auto"/>
              <w:ind w:firstLine="482" w:firstLineChars="200"/>
              <w:rPr>
                <w:rFonts w:ascii="Times New Roman" w:hAnsi="Times New Roman" w:cs="Times New Roman"/>
                <w:color w:val="000000" w:themeColor="text1"/>
                <w:sz w:val="24"/>
              </w:rPr>
            </w:pPr>
            <w:r>
              <w:rPr>
                <w:rFonts w:ascii="Times New Roman" w:hAnsi="Times New Roman" w:cs="Times New Roman"/>
                <w:b/>
                <w:bCs/>
                <w:color w:val="000000" w:themeColor="text1"/>
                <w:sz w:val="24"/>
              </w:rPr>
              <w:t>3、噪声</w:t>
            </w:r>
          </w:p>
          <w:p w14:paraId="48CF88FC">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（1）噪声源强</w:t>
            </w:r>
          </w:p>
          <w:p w14:paraId="5CC6F619">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本项目运营期噪声主要来自空调机组等的设备噪声、污水处理站水泵运行噪声、人群活动的噪声、食堂油烟风机噪声等，各主要噪声源约为55-75 LAeq(dB)。</w:t>
            </w:r>
          </w:p>
          <w:p w14:paraId="57DC1305">
            <w:pPr>
              <w:adjustRightInd w:val="0"/>
              <w:spacing w:line="360" w:lineRule="auto"/>
              <w:jc w:val="center"/>
              <w:rPr>
                <w:rFonts w:ascii="Times New Roman" w:hAnsi="Times New Roman" w:cs="Times New Roman"/>
                <w:b/>
                <w:bCs/>
                <w:color w:val="000000" w:themeColor="text1"/>
                <w:sz w:val="24"/>
                <w:szCs w:val="24"/>
                <w:lang w:val="en-US" w:bidi="ar-SA"/>
              </w:rPr>
            </w:pPr>
            <w:r>
              <w:rPr>
                <w:rFonts w:hint="eastAsia" w:ascii="Times New Roman" w:hAnsi="Times New Roman" w:cs="Times New Roman"/>
                <w:b/>
                <w:bCs/>
                <w:color w:val="000000" w:themeColor="text1"/>
                <w:sz w:val="24"/>
                <w:szCs w:val="24"/>
                <w:lang w:val="en-US" w:bidi="ar-SA"/>
              </w:rPr>
              <w:t>表4-7主要设备噪声值   单位dB（A）</w:t>
            </w:r>
          </w:p>
          <w:tbl>
            <w:tblPr>
              <w:tblStyle w:val="28"/>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507"/>
              <w:gridCol w:w="1704"/>
              <w:gridCol w:w="1704"/>
              <w:gridCol w:w="1704"/>
            </w:tblGrid>
            <w:tr w14:paraId="0B88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28" w:type="pct"/>
                  <w:vMerge w:val="restart"/>
                  <w:vAlign w:val="center"/>
                </w:tcPr>
                <w:p w14:paraId="30D27CE9">
                  <w:pPr>
                    <w:autoSpaceDE/>
                    <w:autoSpaceDN/>
                    <w:jc w:val="center"/>
                    <w:rPr>
                      <w:rFonts w:ascii="Times New Roman" w:hAnsi="Times New Roman" w:cs="Times New Roman"/>
                      <w:b/>
                      <w:bCs/>
                      <w:color w:val="000000" w:themeColor="text1"/>
                      <w:kern w:val="2"/>
                      <w:sz w:val="21"/>
                      <w:szCs w:val="21"/>
                      <w:lang w:val="en-US" w:bidi="ar-SA"/>
                    </w:rPr>
                  </w:pPr>
                  <w:r>
                    <w:rPr>
                      <w:rFonts w:hint="eastAsia" w:ascii="Times New Roman" w:hAnsi="Times New Roman" w:cs="Times New Roman"/>
                      <w:b/>
                      <w:bCs/>
                      <w:color w:val="000000" w:themeColor="text1"/>
                      <w:kern w:val="2"/>
                      <w:sz w:val="21"/>
                      <w:szCs w:val="21"/>
                      <w:lang w:val="en-US" w:bidi="ar-SA"/>
                    </w:rPr>
                    <w:t>序号</w:t>
                  </w:r>
                </w:p>
              </w:tc>
              <w:tc>
                <w:tcPr>
                  <w:tcW w:w="1471" w:type="pct"/>
                  <w:vMerge w:val="restart"/>
                  <w:vAlign w:val="center"/>
                </w:tcPr>
                <w:p w14:paraId="160EC52C">
                  <w:pPr>
                    <w:autoSpaceDE/>
                    <w:autoSpaceDN/>
                    <w:jc w:val="center"/>
                    <w:rPr>
                      <w:rFonts w:ascii="Times New Roman" w:hAnsi="Times New Roman" w:cs="Times New Roman"/>
                      <w:b/>
                      <w:bCs/>
                      <w:color w:val="000000" w:themeColor="text1"/>
                      <w:kern w:val="2"/>
                      <w:sz w:val="21"/>
                      <w:szCs w:val="21"/>
                      <w:lang w:val="en-US" w:bidi="ar-SA"/>
                    </w:rPr>
                  </w:pPr>
                  <w:r>
                    <w:rPr>
                      <w:rFonts w:hint="eastAsia" w:ascii="Times New Roman" w:hAnsi="Times New Roman" w:cs="Times New Roman"/>
                      <w:b/>
                      <w:bCs/>
                      <w:color w:val="000000" w:themeColor="text1"/>
                      <w:kern w:val="2"/>
                      <w:sz w:val="21"/>
                      <w:szCs w:val="21"/>
                      <w:lang w:val="en-US" w:bidi="ar-SA"/>
                    </w:rPr>
                    <w:t>噪声源</w:t>
                  </w:r>
                </w:p>
              </w:tc>
              <w:tc>
                <w:tcPr>
                  <w:tcW w:w="2000" w:type="pct"/>
                  <w:gridSpan w:val="2"/>
                  <w:vAlign w:val="center"/>
                </w:tcPr>
                <w:p w14:paraId="4FAEEA3F">
                  <w:pPr>
                    <w:autoSpaceDE/>
                    <w:autoSpaceDN/>
                    <w:jc w:val="center"/>
                    <w:rPr>
                      <w:rFonts w:ascii="Times New Roman" w:hAnsi="Times New Roman" w:cs="Times New Roman"/>
                      <w:b/>
                      <w:bCs/>
                      <w:color w:val="000000" w:themeColor="text1"/>
                      <w:kern w:val="2"/>
                      <w:sz w:val="21"/>
                      <w:szCs w:val="21"/>
                      <w:lang w:val="en-US" w:bidi="ar-SA"/>
                    </w:rPr>
                  </w:pPr>
                  <w:r>
                    <w:rPr>
                      <w:rFonts w:hint="eastAsia" w:ascii="Times New Roman" w:hAnsi="Times New Roman" w:cs="Times New Roman"/>
                      <w:b/>
                      <w:bCs/>
                      <w:color w:val="000000" w:themeColor="text1"/>
                      <w:kern w:val="2"/>
                      <w:sz w:val="21"/>
                      <w:szCs w:val="21"/>
                      <w:lang w:val="en-US" w:bidi="ar-SA"/>
                    </w:rPr>
                    <w:t>LAeq（dB）</w:t>
                  </w:r>
                </w:p>
              </w:tc>
              <w:tc>
                <w:tcPr>
                  <w:tcW w:w="1000" w:type="pct"/>
                  <w:vMerge w:val="restart"/>
                  <w:vAlign w:val="center"/>
                </w:tcPr>
                <w:p w14:paraId="045D54BF">
                  <w:pPr>
                    <w:autoSpaceDE/>
                    <w:autoSpaceDN/>
                    <w:jc w:val="center"/>
                    <w:rPr>
                      <w:rFonts w:ascii="Times New Roman" w:hAnsi="Times New Roman" w:cs="Times New Roman"/>
                      <w:b/>
                      <w:bCs/>
                      <w:color w:val="000000" w:themeColor="text1"/>
                      <w:kern w:val="2"/>
                      <w:sz w:val="21"/>
                      <w:szCs w:val="21"/>
                      <w:lang w:val="en-US" w:bidi="ar-SA"/>
                    </w:rPr>
                  </w:pPr>
                  <w:r>
                    <w:rPr>
                      <w:rFonts w:hint="eastAsia" w:ascii="Times New Roman" w:hAnsi="Times New Roman" w:cs="Times New Roman"/>
                      <w:b/>
                      <w:bCs/>
                      <w:color w:val="000000" w:themeColor="text1"/>
                      <w:kern w:val="2"/>
                      <w:sz w:val="21"/>
                      <w:szCs w:val="21"/>
                      <w:lang w:val="en-US" w:bidi="ar-SA"/>
                    </w:rPr>
                    <w:t>声源性质</w:t>
                  </w:r>
                </w:p>
              </w:tc>
            </w:tr>
            <w:tr w14:paraId="06D2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28" w:type="pct"/>
                  <w:vMerge w:val="continue"/>
                  <w:vAlign w:val="center"/>
                </w:tcPr>
                <w:p w14:paraId="1CEF5F37">
                  <w:pPr>
                    <w:autoSpaceDE/>
                    <w:autoSpaceDN/>
                    <w:jc w:val="center"/>
                    <w:rPr>
                      <w:rFonts w:ascii="Times New Roman" w:hAnsi="Times New Roman" w:cs="Times New Roman"/>
                      <w:b/>
                      <w:bCs/>
                      <w:color w:val="000000" w:themeColor="text1"/>
                      <w:kern w:val="2"/>
                      <w:sz w:val="21"/>
                      <w:szCs w:val="21"/>
                      <w:lang w:val="en-US" w:bidi="ar-SA"/>
                    </w:rPr>
                  </w:pPr>
                </w:p>
              </w:tc>
              <w:tc>
                <w:tcPr>
                  <w:tcW w:w="1471" w:type="pct"/>
                  <w:vMerge w:val="continue"/>
                  <w:vAlign w:val="center"/>
                </w:tcPr>
                <w:p w14:paraId="262490EE">
                  <w:pPr>
                    <w:autoSpaceDE/>
                    <w:autoSpaceDN/>
                    <w:jc w:val="center"/>
                    <w:rPr>
                      <w:rFonts w:ascii="Times New Roman" w:hAnsi="Times New Roman" w:cs="Times New Roman"/>
                      <w:b/>
                      <w:bCs/>
                      <w:color w:val="000000" w:themeColor="text1"/>
                      <w:kern w:val="2"/>
                      <w:sz w:val="21"/>
                      <w:szCs w:val="21"/>
                      <w:lang w:val="en-US" w:bidi="ar-SA"/>
                    </w:rPr>
                  </w:pPr>
                </w:p>
              </w:tc>
              <w:tc>
                <w:tcPr>
                  <w:tcW w:w="1000" w:type="pct"/>
                  <w:vAlign w:val="center"/>
                </w:tcPr>
                <w:p w14:paraId="63D8CD08">
                  <w:pPr>
                    <w:autoSpaceDE/>
                    <w:autoSpaceDN/>
                    <w:jc w:val="center"/>
                    <w:rPr>
                      <w:rFonts w:ascii="Times New Roman" w:hAnsi="Times New Roman" w:cs="Times New Roman"/>
                      <w:b/>
                      <w:bCs/>
                      <w:color w:val="000000" w:themeColor="text1"/>
                      <w:kern w:val="2"/>
                      <w:sz w:val="21"/>
                      <w:szCs w:val="21"/>
                      <w:lang w:val="en-US" w:bidi="ar-SA"/>
                    </w:rPr>
                  </w:pPr>
                  <w:r>
                    <w:rPr>
                      <w:rFonts w:hint="eastAsia" w:ascii="Times New Roman" w:hAnsi="Times New Roman" w:cs="Times New Roman"/>
                      <w:b/>
                      <w:bCs/>
                      <w:color w:val="000000" w:themeColor="text1"/>
                      <w:kern w:val="2"/>
                      <w:sz w:val="21"/>
                      <w:szCs w:val="21"/>
                      <w:lang w:val="en-US" w:bidi="ar-SA"/>
                    </w:rPr>
                    <w:t>治理前</w:t>
                  </w:r>
                </w:p>
              </w:tc>
              <w:tc>
                <w:tcPr>
                  <w:tcW w:w="1000" w:type="pct"/>
                  <w:vAlign w:val="center"/>
                </w:tcPr>
                <w:p w14:paraId="0F3E8C31">
                  <w:pPr>
                    <w:autoSpaceDE/>
                    <w:autoSpaceDN/>
                    <w:jc w:val="center"/>
                    <w:rPr>
                      <w:rFonts w:ascii="Times New Roman" w:hAnsi="Times New Roman" w:cs="Times New Roman"/>
                      <w:b/>
                      <w:bCs/>
                      <w:color w:val="000000" w:themeColor="text1"/>
                      <w:kern w:val="2"/>
                      <w:sz w:val="21"/>
                      <w:szCs w:val="21"/>
                      <w:lang w:val="en-US" w:bidi="ar-SA"/>
                    </w:rPr>
                  </w:pPr>
                  <w:r>
                    <w:rPr>
                      <w:rFonts w:hint="eastAsia" w:ascii="Times New Roman" w:hAnsi="Times New Roman" w:cs="Times New Roman"/>
                      <w:b/>
                      <w:bCs/>
                      <w:color w:val="000000" w:themeColor="text1"/>
                      <w:kern w:val="2"/>
                      <w:sz w:val="21"/>
                      <w:szCs w:val="21"/>
                      <w:lang w:val="en-US" w:bidi="ar-SA"/>
                    </w:rPr>
                    <w:t>治理后</w:t>
                  </w:r>
                </w:p>
              </w:tc>
              <w:tc>
                <w:tcPr>
                  <w:tcW w:w="1000" w:type="pct"/>
                  <w:vMerge w:val="continue"/>
                  <w:vAlign w:val="center"/>
                </w:tcPr>
                <w:p w14:paraId="6D94F6EF">
                  <w:pPr>
                    <w:autoSpaceDE/>
                    <w:autoSpaceDN/>
                    <w:jc w:val="center"/>
                    <w:rPr>
                      <w:rFonts w:ascii="Times New Roman" w:hAnsi="Times New Roman" w:cs="Times New Roman"/>
                      <w:b/>
                      <w:bCs/>
                      <w:color w:val="000000" w:themeColor="text1"/>
                      <w:kern w:val="2"/>
                      <w:sz w:val="21"/>
                      <w:szCs w:val="21"/>
                      <w:lang w:val="en-US" w:bidi="ar-SA"/>
                    </w:rPr>
                  </w:pPr>
                </w:p>
              </w:tc>
            </w:tr>
            <w:tr w14:paraId="4B7E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28" w:type="pct"/>
                  <w:vAlign w:val="center"/>
                </w:tcPr>
                <w:p w14:paraId="46F301D8">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1</w:t>
                  </w:r>
                </w:p>
              </w:tc>
              <w:tc>
                <w:tcPr>
                  <w:tcW w:w="1471" w:type="pct"/>
                  <w:vAlign w:val="center"/>
                </w:tcPr>
                <w:p w14:paraId="739A923C">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污水处理站水泵</w:t>
                  </w:r>
                </w:p>
              </w:tc>
              <w:tc>
                <w:tcPr>
                  <w:tcW w:w="1000" w:type="pct"/>
                  <w:vAlign w:val="center"/>
                </w:tcPr>
                <w:p w14:paraId="0BE8EEAD">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75</w:t>
                  </w:r>
                </w:p>
              </w:tc>
              <w:tc>
                <w:tcPr>
                  <w:tcW w:w="1000" w:type="pct"/>
                  <w:vAlign w:val="center"/>
                </w:tcPr>
                <w:p w14:paraId="02192577">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55</w:t>
                  </w:r>
                </w:p>
              </w:tc>
              <w:tc>
                <w:tcPr>
                  <w:tcW w:w="1000" w:type="pct"/>
                  <w:vAlign w:val="center"/>
                </w:tcPr>
                <w:p w14:paraId="19BEE5B4">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持续性噪声</w:t>
                  </w:r>
                </w:p>
              </w:tc>
            </w:tr>
            <w:tr w14:paraId="4672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28" w:type="pct"/>
                  <w:vAlign w:val="center"/>
                </w:tcPr>
                <w:p w14:paraId="5EBBE32E">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2</w:t>
                  </w:r>
                </w:p>
              </w:tc>
              <w:tc>
                <w:tcPr>
                  <w:tcW w:w="1471" w:type="pct"/>
                  <w:vAlign w:val="center"/>
                </w:tcPr>
                <w:p w14:paraId="6907564B">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空调外机</w:t>
                  </w:r>
                </w:p>
              </w:tc>
              <w:tc>
                <w:tcPr>
                  <w:tcW w:w="1000" w:type="pct"/>
                  <w:vAlign w:val="center"/>
                </w:tcPr>
                <w:p w14:paraId="59865B61">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60</w:t>
                  </w:r>
                </w:p>
              </w:tc>
              <w:tc>
                <w:tcPr>
                  <w:tcW w:w="1000" w:type="pct"/>
                  <w:vAlign w:val="center"/>
                </w:tcPr>
                <w:p w14:paraId="126C73CE">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40</w:t>
                  </w:r>
                </w:p>
              </w:tc>
              <w:tc>
                <w:tcPr>
                  <w:tcW w:w="1000" w:type="pct"/>
                  <w:vAlign w:val="center"/>
                </w:tcPr>
                <w:p w14:paraId="65A357F6">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持续性噪声</w:t>
                  </w:r>
                </w:p>
              </w:tc>
            </w:tr>
            <w:tr w14:paraId="49CC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28" w:type="pct"/>
                  <w:vAlign w:val="center"/>
                </w:tcPr>
                <w:p w14:paraId="2DC24AA8">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3</w:t>
                  </w:r>
                </w:p>
              </w:tc>
              <w:tc>
                <w:tcPr>
                  <w:tcW w:w="1471" w:type="pct"/>
                  <w:vAlign w:val="center"/>
                </w:tcPr>
                <w:p w14:paraId="11B6D684">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食堂油烟风机</w:t>
                  </w:r>
                </w:p>
              </w:tc>
              <w:tc>
                <w:tcPr>
                  <w:tcW w:w="1000" w:type="pct"/>
                  <w:vAlign w:val="center"/>
                </w:tcPr>
                <w:p w14:paraId="2E50445F">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75</w:t>
                  </w:r>
                </w:p>
              </w:tc>
              <w:tc>
                <w:tcPr>
                  <w:tcW w:w="1000" w:type="pct"/>
                  <w:vAlign w:val="center"/>
                </w:tcPr>
                <w:p w14:paraId="585BAFC0">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55</w:t>
                  </w:r>
                </w:p>
              </w:tc>
              <w:tc>
                <w:tcPr>
                  <w:tcW w:w="1000" w:type="pct"/>
                  <w:vAlign w:val="center"/>
                </w:tcPr>
                <w:p w14:paraId="50723E47">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持续性噪声</w:t>
                  </w:r>
                </w:p>
              </w:tc>
            </w:tr>
            <w:tr w14:paraId="68F8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28" w:type="pct"/>
                  <w:vAlign w:val="center"/>
                </w:tcPr>
                <w:p w14:paraId="33694761">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4</w:t>
                  </w:r>
                </w:p>
              </w:tc>
              <w:tc>
                <w:tcPr>
                  <w:tcW w:w="1471" w:type="pct"/>
                  <w:vAlign w:val="center"/>
                </w:tcPr>
                <w:p w14:paraId="68E4102E">
                  <w:pPr>
                    <w:autoSpaceDE/>
                    <w:autoSpaceDN/>
                    <w:jc w:val="center"/>
                    <w:rPr>
                      <w:rFonts w:ascii="Times New Roman" w:hAnsi="Times New Roman" w:cs="Times New Roman"/>
                      <w:color w:val="000000" w:themeColor="text1"/>
                      <w:szCs w:val="21"/>
                    </w:rPr>
                  </w:pPr>
                  <w:r>
                    <w:rPr>
                      <w:rFonts w:hint="eastAsia" w:ascii="Times New Roman" w:hAnsi="Times New Roman" w:cs="Times New Roman"/>
                      <w:color w:val="000000" w:themeColor="text1"/>
                      <w:kern w:val="2"/>
                      <w:sz w:val="21"/>
                      <w:szCs w:val="21"/>
                      <w:lang w:val="en-US" w:bidi="ar-SA"/>
                    </w:rPr>
                    <w:t>人群</w:t>
                  </w:r>
                </w:p>
              </w:tc>
              <w:tc>
                <w:tcPr>
                  <w:tcW w:w="1000" w:type="pct"/>
                  <w:vAlign w:val="center"/>
                </w:tcPr>
                <w:p w14:paraId="104D9A8B">
                  <w:pPr>
                    <w:autoSpaceDE/>
                    <w:autoSpaceDN/>
                    <w:jc w:val="center"/>
                    <w:rPr>
                      <w:rFonts w:ascii="Times New Roman" w:hAnsi="Times New Roman" w:cs="Times New Roman"/>
                      <w:color w:val="000000" w:themeColor="text1"/>
                      <w:szCs w:val="21"/>
                    </w:rPr>
                  </w:pPr>
                  <w:r>
                    <w:rPr>
                      <w:rFonts w:hint="eastAsia" w:ascii="Times New Roman" w:hAnsi="Times New Roman" w:cs="Times New Roman"/>
                      <w:color w:val="000000" w:themeColor="text1"/>
                      <w:kern w:val="2"/>
                      <w:sz w:val="21"/>
                      <w:szCs w:val="21"/>
                      <w:lang w:val="en-US" w:bidi="ar-SA"/>
                    </w:rPr>
                    <w:t>55</w:t>
                  </w:r>
                </w:p>
              </w:tc>
              <w:tc>
                <w:tcPr>
                  <w:tcW w:w="1000" w:type="pct"/>
                  <w:vAlign w:val="center"/>
                </w:tcPr>
                <w:p w14:paraId="0C2E7435">
                  <w:pPr>
                    <w:autoSpaceDE/>
                    <w:autoSpaceDN/>
                    <w:jc w:val="center"/>
                    <w:rPr>
                      <w:rFonts w:ascii="Times New Roman" w:hAnsi="Times New Roman" w:cs="Times New Roman"/>
                      <w:color w:val="000000" w:themeColor="text1"/>
                      <w:szCs w:val="21"/>
                    </w:rPr>
                  </w:pPr>
                  <w:r>
                    <w:rPr>
                      <w:rFonts w:hint="eastAsia" w:ascii="Times New Roman" w:hAnsi="Times New Roman" w:cs="Times New Roman"/>
                      <w:color w:val="000000" w:themeColor="text1"/>
                      <w:kern w:val="2"/>
                      <w:sz w:val="21"/>
                      <w:szCs w:val="21"/>
                      <w:lang w:val="en-US" w:bidi="ar-SA"/>
                    </w:rPr>
                    <w:t>----</w:t>
                  </w:r>
                </w:p>
              </w:tc>
              <w:tc>
                <w:tcPr>
                  <w:tcW w:w="1000" w:type="pct"/>
                  <w:vAlign w:val="center"/>
                </w:tcPr>
                <w:p w14:paraId="6D2CC116">
                  <w:pPr>
                    <w:autoSpaceDE/>
                    <w:autoSpaceDN/>
                    <w:jc w:val="center"/>
                    <w:rPr>
                      <w:rFonts w:ascii="Times New Roman" w:hAnsi="Times New Roman" w:cs="Times New Roman"/>
                      <w:color w:val="000000" w:themeColor="text1"/>
                      <w:szCs w:val="21"/>
                    </w:rPr>
                  </w:pPr>
                  <w:r>
                    <w:rPr>
                      <w:rFonts w:hint="eastAsia" w:ascii="Times New Roman" w:hAnsi="Times New Roman" w:cs="Times New Roman"/>
                      <w:color w:val="000000" w:themeColor="text1"/>
                      <w:kern w:val="2"/>
                      <w:sz w:val="21"/>
                      <w:szCs w:val="21"/>
                      <w:lang w:val="en-US" w:bidi="ar-SA"/>
                    </w:rPr>
                    <w:t>间歇性噪声</w:t>
                  </w:r>
                </w:p>
              </w:tc>
            </w:tr>
          </w:tbl>
          <w:p w14:paraId="18A705DA">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（2）降噪措施：</w:t>
            </w:r>
          </w:p>
          <w:p w14:paraId="5A984A92">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为确保项目厂界噪声达标排放，减小项目运营期噪声对附近敏感目标的影响，应采取以下措施：</w:t>
            </w:r>
          </w:p>
          <w:p w14:paraId="1F719CBB">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olor w:val="000000" w:themeColor="text1"/>
                <w:kern w:val="2"/>
                <w:sz w:val="24"/>
                <w:szCs w:val="24"/>
                <w:lang w:val="en-US" w:bidi="ar-SA"/>
              </w:rPr>
              <w:t>①</w:t>
            </w:r>
            <w:r>
              <w:rPr>
                <w:rFonts w:hint="eastAsia" w:ascii="Times New Roman" w:hAnsi="Times New Roman" w:cs="Times New Roman"/>
                <w:color w:val="000000" w:themeColor="text1"/>
                <w:kern w:val="2"/>
                <w:sz w:val="24"/>
                <w:szCs w:val="24"/>
                <w:lang w:val="en-US" w:bidi="ar-SA"/>
              </w:rPr>
              <w:t>设备设置基础减振，高噪声设备应安装消声器；</w:t>
            </w:r>
          </w:p>
          <w:p w14:paraId="649675AB">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olor w:val="000000" w:themeColor="text1"/>
                <w:kern w:val="2"/>
                <w:sz w:val="24"/>
                <w:szCs w:val="24"/>
                <w:lang w:val="en-US" w:bidi="ar-SA"/>
              </w:rPr>
              <w:t>②</w:t>
            </w:r>
            <w:r>
              <w:rPr>
                <w:rFonts w:hint="eastAsia" w:ascii="Times New Roman" w:hAnsi="Times New Roman" w:cs="Times New Roman"/>
                <w:color w:val="000000" w:themeColor="text1"/>
                <w:kern w:val="2"/>
                <w:sz w:val="24"/>
                <w:szCs w:val="24"/>
                <w:lang w:val="en-US" w:bidi="ar-SA"/>
              </w:rPr>
              <w:t>加强设备的维修保养，适时添加润滑剂防止设备老化；</w:t>
            </w:r>
          </w:p>
          <w:p w14:paraId="7B2D02C0">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olor w:val="000000" w:themeColor="text1"/>
                <w:kern w:val="2"/>
                <w:sz w:val="24"/>
                <w:szCs w:val="24"/>
                <w:lang w:val="en-US" w:bidi="ar-SA"/>
              </w:rPr>
              <w:t>③</w:t>
            </w:r>
            <w:r>
              <w:rPr>
                <w:rFonts w:hint="eastAsia" w:ascii="Times New Roman" w:hAnsi="Times New Roman" w:cs="Times New Roman"/>
                <w:color w:val="000000" w:themeColor="text1"/>
                <w:kern w:val="2"/>
                <w:sz w:val="24"/>
                <w:szCs w:val="24"/>
                <w:lang w:val="en-US" w:bidi="ar-SA"/>
              </w:rPr>
              <w:t>合理布局，尽量将产噪设备远离敏感目标；</w:t>
            </w:r>
          </w:p>
          <w:p w14:paraId="08CF7398">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 xml:space="preserve">④空调外机合理布置，不朝着居民侧，空调外机置于楼顶，并采取隔声、减震措施，避免空调外机对附近居民产生噪声和热影响。 </w:t>
            </w:r>
          </w:p>
          <w:p w14:paraId="19923ACE">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⑤车辆在进出停车场时为低速行驶，在车辆进出口区设置限速和禁鸣标志，并加强对进出车辆的有效管理，有效疏通的基础上，可将项目区交通噪声大大降低，对环境影响较小。</w:t>
            </w:r>
          </w:p>
          <w:p w14:paraId="19E6A73D">
            <w:pPr>
              <w:autoSpaceDE/>
              <w:autoSpaceDN/>
              <w:spacing w:line="360" w:lineRule="auto"/>
              <w:ind w:firstLine="480"/>
              <w:jc w:val="both"/>
              <w:rPr>
                <w:rFonts w:ascii="Times New Roman" w:hAnsi="Times New Roman"/>
                <w:color w:val="000000" w:themeColor="text1"/>
                <w:lang w:val="en-US"/>
              </w:rPr>
            </w:pPr>
            <w:r>
              <w:rPr>
                <w:rFonts w:hint="eastAsia" w:ascii="Times New Roman" w:hAnsi="Times New Roman" w:cs="Times New Roman"/>
                <w:color w:val="000000" w:themeColor="text1"/>
                <w:kern w:val="2"/>
                <w:sz w:val="24"/>
                <w:szCs w:val="24"/>
                <w:lang w:val="en-US" w:bidi="ar-SA"/>
              </w:rPr>
              <w:t>⑥本项目污水处理站为地埋式，对外环境影响较小。</w:t>
            </w:r>
          </w:p>
          <w:p w14:paraId="40AA7DB1">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采取以上措施及墙体（砖混）阻隔后，可使降噪效果达到30dB(A)以上。</w:t>
            </w:r>
          </w:p>
          <w:p w14:paraId="67A4C16C">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（3）预测结果及影响分析</w:t>
            </w:r>
          </w:p>
          <w:p w14:paraId="369D2912">
            <w:pPr>
              <w:autoSpaceDE/>
              <w:autoSpaceDN/>
              <w:spacing w:line="360" w:lineRule="auto"/>
              <w:ind w:firstLine="480"/>
              <w:jc w:val="both"/>
              <w:rPr>
                <w:rFonts w:ascii="Times New Roman" w:hAnsi="Times New Roman" w:cs="Times New Roman"/>
                <w:color w:val="000000" w:themeColor="text1"/>
                <w:sz w:val="24"/>
              </w:rPr>
            </w:pPr>
            <w:r>
              <w:rPr>
                <w:rFonts w:ascii="Times New Roman" w:hAnsi="Times New Roman" w:cs="Times New Roman"/>
                <w:color w:val="000000" w:themeColor="text1"/>
                <w:sz w:val="24"/>
              </w:rPr>
              <w:t>①预测模式</w:t>
            </w:r>
          </w:p>
          <w:p w14:paraId="463D7367">
            <w:pPr>
              <w:autoSpaceDE/>
              <w:autoSpaceDN/>
              <w:spacing w:line="360" w:lineRule="auto"/>
              <w:ind w:firstLine="480"/>
              <w:jc w:val="both"/>
              <w:rPr>
                <w:rFonts w:ascii="Times New Roman" w:hAnsi="Times New Roman" w:cs="Times New Roman"/>
                <w:color w:val="000000" w:themeColor="text1"/>
                <w:sz w:val="24"/>
              </w:rPr>
            </w:pPr>
            <w:r>
              <w:rPr>
                <w:rFonts w:ascii="Times New Roman" w:hAnsi="Times New Roman" w:cs="Times New Roman"/>
                <w:color w:val="000000" w:themeColor="text1"/>
                <w:sz w:val="24"/>
              </w:rPr>
              <w:t>根据《环境影响评价技术导则 声环境》（HJ2.4-2021）的技术要求，本次评价采取导则推荐模式。</w:t>
            </w:r>
          </w:p>
          <w:p w14:paraId="3E81046B">
            <w:pPr>
              <w:autoSpaceDE/>
              <w:autoSpaceDN/>
              <w:spacing w:line="360" w:lineRule="auto"/>
              <w:ind w:firstLine="480"/>
              <w:jc w:val="both"/>
              <w:rPr>
                <w:rFonts w:ascii="Times New Roman" w:hAnsi="Times New Roman" w:cs="Times New Roman"/>
                <w:color w:val="000000" w:themeColor="text1"/>
                <w:sz w:val="24"/>
              </w:rPr>
            </w:pPr>
            <w:r>
              <w:rPr>
                <w:rFonts w:ascii="Times New Roman" w:hAnsi="Times New Roman" w:cs="Times New Roman"/>
                <w:color w:val="000000" w:themeColor="text1"/>
                <w:sz w:val="24"/>
              </w:rPr>
              <w:t>②预测结果</w:t>
            </w:r>
          </w:p>
          <w:p w14:paraId="76935A14">
            <w:pPr>
              <w:autoSpaceDE/>
              <w:autoSpaceDN/>
              <w:spacing w:line="360" w:lineRule="auto"/>
              <w:ind w:firstLine="480"/>
              <w:jc w:val="both"/>
              <w:rPr>
                <w:rFonts w:ascii="Times New Roman" w:hAnsi="Times New Roman" w:cs="Times New Roman"/>
                <w:color w:val="000000" w:themeColor="text1"/>
                <w:sz w:val="24"/>
                <w:szCs w:val="24"/>
                <w:u w:val="single"/>
              </w:rPr>
            </w:pPr>
            <w:r>
              <w:rPr>
                <w:rFonts w:hint="eastAsia" w:ascii="Times New Roman" w:hAnsi="Times New Roman" w:cs="Times New Roman"/>
                <w:color w:val="000000" w:themeColor="text1"/>
                <w:sz w:val="24"/>
                <w:u w:val="single"/>
                <w:lang w:val="en-US"/>
              </w:rPr>
              <w:t>医院原有项目2008年建设完成并投入运营，</w:t>
            </w:r>
            <w:r>
              <w:rPr>
                <w:rFonts w:hint="eastAsia" w:ascii="Times New Roman" w:hAnsi="Times New Roman" w:cs="Times New Roman"/>
                <w:color w:val="000000" w:themeColor="text1"/>
                <w:kern w:val="2"/>
                <w:sz w:val="24"/>
                <w:szCs w:val="24"/>
                <w:u w:val="single"/>
                <w:lang w:val="en-US" w:bidi="ar-SA"/>
              </w:rPr>
              <w:t>本项目在2020年全部建设完成并</w:t>
            </w:r>
            <w:r>
              <w:rPr>
                <w:rFonts w:hint="eastAsia" w:ascii="Times New Roman" w:hAnsi="Times New Roman" w:cs="Times New Roman"/>
                <w:color w:val="000000" w:themeColor="text1"/>
                <w:sz w:val="24"/>
                <w:u w:val="single"/>
                <w:lang w:val="en-US"/>
              </w:rPr>
              <w:t>投入运营</w:t>
            </w:r>
            <w:r>
              <w:rPr>
                <w:rFonts w:hint="eastAsia" w:ascii="Times New Roman" w:hAnsi="Times New Roman" w:cs="Times New Roman"/>
                <w:color w:val="000000" w:themeColor="text1"/>
                <w:kern w:val="2"/>
                <w:sz w:val="24"/>
                <w:szCs w:val="24"/>
                <w:u w:val="single"/>
                <w:lang w:val="en-US" w:bidi="ar-SA"/>
              </w:rPr>
              <w:t>，</w:t>
            </w:r>
            <w:r>
              <w:rPr>
                <w:rFonts w:hint="eastAsia" w:ascii="Times New Roman" w:hAnsi="Times New Roman" w:cs="Times New Roman"/>
                <w:color w:val="000000" w:themeColor="text1"/>
                <w:sz w:val="24"/>
                <w:szCs w:val="24"/>
                <w:u w:val="single"/>
                <w:lang w:val="en-US"/>
              </w:rPr>
              <w:t>永福县人民医院2023年度自行监测报告中噪声监测值是原有项目与本项目对医院厂界的噪声叠加贡献值，本次评价需</w:t>
            </w:r>
            <w:r>
              <w:rPr>
                <w:rFonts w:ascii="Times New Roman" w:hAnsi="Times New Roman" w:cs="Times New Roman"/>
                <w:color w:val="000000" w:themeColor="text1"/>
                <w:sz w:val="24"/>
                <w:u w:val="single"/>
              </w:rPr>
              <w:t>再叠加</w:t>
            </w:r>
            <w:r>
              <w:rPr>
                <w:rFonts w:hint="eastAsia" w:ascii="Times New Roman" w:hAnsi="Times New Roman" w:cs="Times New Roman"/>
                <w:color w:val="000000" w:themeColor="text1"/>
                <w:sz w:val="24"/>
                <w:u w:val="single"/>
                <w:lang w:val="en-US"/>
              </w:rPr>
              <w:t>在建</w:t>
            </w:r>
            <w:r>
              <w:rPr>
                <w:rFonts w:ascii="Times New Roman" w:hAnsi="Times New Roman" w:cs="Times New Roman"/>
                <w:color w:val="000000" w:themeColor="text1"/>
                <w:sz w:val="24"/>
                <w:u w:val="single"/>
              </w:rPr>
              <w:t>项目</w:t>
            </w:r>
            <w:r>
              <w:rPr>
                <w:rFonts w:hint="eastAsia" w:ascii="Times New Roman" w:hAnsi="Times New Roman" w:cs="Times New Roman"/>
                <w:color w:val="000000" w:themeColor="text1"/>
                <w:sz w:val="24"/>
                <w:u w:val="single"/>
                <w:lang w:val="en-US"/>
              </w:rPr>
              <w:t>对医院厂界</w:t>
            </w:r>
            <w:r>
              <w:rPr>
                <w:rFonts w:ascii="Times New Roman" w:hAnsi="Times New Roman" w:cs="Times New Roman"/>
                <w:color w:val="000000" w:themeColor="text1"/>
                <w:sz w:val="24"/>
                <w:u w:val="single"/>
              </w:rPr>
              <w:t>噪声贡献值，以判断</w:t>
            </w:r>
            <w:r>
              <w:rPr>
                <w:rFonts w:hint="eastAsia" w:ascii="Times New Roman" w:hAnsi="Times New Roman" w:cs="Times New Roman"/>
                <w:color w:val="000000" w:themeColor="text1"/>
                <w:sz w:val="24"/>
                <w:u w:val="single"/>
                <w:lang w:val="en-US"/>
              </w:rPr>
              <w:t>运营期全院</w:t>
            </w:r>
            <w:r>
              <w:rPr>
                <w:rFonts w:ascii="Times New Roman" w:hAnsi="Times New Roman" w:cs="Times New Roman"/>
                <w:color w:val="000000" w:themeColor="text1"/>
                <w:sz w:val="24"/>
                <w:u w:val="single"/>
              </w:rPr>
              <w:t>的厂界噪声是否达标，噪声经墙体隔声、距离衰减后对各</w:t>
            </w:r>
            <w:r>
              <w:rPr>
                <w:rFonts w:hint="eastAsia" w:ascii="Times New Roman" w:hAnsi="Times New Roman" w:cs="Times New Roman"/>
                <w:color w:val="000000" w:themeColor="text1"/>
                <w:sz w:val="24"/>
                <w:u w:val="single"/>
                <w:lang w:val="en-US"/>
              </w:rPr>
              <w:t>厂</w:t>
            </w:r>
            <w:r>
              <w:rPr>
                <w:rFonts w:ascii="Times New Roman" w:hAnsi="Times New Roman" w:cs="Times New Roman"/>
                <w:color w:val="000000" w:themeColor="text1"/>
                <w:sz w:val="24"/>
                <w:u w:val="single"/>
              </w:rPr>
              <w:t>界最大贡献值预测结果详见下表</w:t>
            </w:r>
            <w:r>
              <w:rPr>
                <w:rFonts w:ascii="Times New Roman" w:hAnsi="Times New Roman" w:cs="Times New Roman"/>
                <w:color w:val="000000" w:themeColor="text1"/>
                <w:sz w:val="24"/>
                <w:szCs w:val="24"/>
                <w:u w:val="single"/>
              </w:rPr>
              <w:t>。</w:t>
            </w:r>
          </w:p>
          <w:p w14:paraId="0DF3AFF9">
            <w:pPr>
              <w:spacing w:line="360" w:lineRule="auto"/>
              <w:ind w:firstLine="482"/>
              <w:jc w:val="center"/>
              <w:rPr>
                <w:rFonts w:ascii="Times New Roman" w:hAnsi="Times New Roman" w:cs="Times New Roman"/>
                <w:b/>
                <w:color w:val="000000" w:themeColor="text1"/>
                <w:sz w:val="24"/>
                <w:szCs w:val="24"/>
                <w:u w:val="single"/>
              </w:rPr>
            </w:pPr>
            <w:r>
              <w:rPr>
                <w:rFonts w:hint="eastAsia" w:ascii="Times New Roman" w:hAnsi="Times New Roman" w:cs="Times New Roman"/>
                <w:b/>
                <w:color w:val="000000" w:themeColor="text1"/>
                <w:sz w:val="24"/>
                <w:szCs w:val="24"/>
                <w:u w:val="single"/>
              </w:rPr>
              <w:t>表4</w:t>
            </w:r>
            <w:r>
              <w:rPr>
                <w:rFonts w:ascii="Times New Roman" w:hAnsi="Times New Roman" w:cs="Times New Roman"/>
                <w:b/>
                <w:color w:val="000000" w:themeColor="text1"/>
                <w:sz w:val="24"/>
                <w:szCs w:val="24"/>
                <w:u w:val="single"/>
              </w:rPr>
              <w:t>-</w:t>
            </w:r>
            <w:r>
              <w:rPr>
                <w:rFonts w:hint="eastAsia" w:ascii="Times New Roman" w:hAnsi="Times New Roman" w:cs="Times New Roman"/>
                <w:b/>
                <w:color w:val="000000" w:themeColor="text1"/>
                <w:sz w:val="24"/>
                <w:szCs w:val="24"/>
                <w:u w:val="single"/>
                <w:lang w:val="en-US"/>
              </w:rPr>
              <w:t>8</w:t>
            </w:r>
            <w:r>
              <w:rPr>
                <w:rFonts w:hint="eastAsia" w:ascii="Times New Roman" w:hAnsi="Times New Roman" w:cs="Times New Roman"/>
                <w:b/>
                <w:color w:val="000000" w:themeColor="text1"/>
                <w:sz w:val="24"/>
                <w:szCs w:val="24"/>
                <w:u w:val="single"/>
              </w:rPr>
              <w:t>项目噪声污染源贡献值一览表</w:t>
            </w:r>
          </w:p>
          <w:tbl>
            <w:tblPr>
              <w:tblStyle w:val="27"/>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633"/>
              <w:gridCol w:w="1016"/>
              <w:gridCol w:w="992"/>
              <w:gridCol w:w="1288"/>
              <w:gridCol w:w="1016"/>
              <w:gridCol w:w="9"/>
              <w:gridCol w:w="1024"/>
              <w:gridCol w:w="928"/>
            </w:tblGrid>
            <w:tr w14:paraId="3A6A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92" w:type="pct"/>
                  <w:vMerge w:val="restart"/>
                  <w:vAlign w:val="center"/>
                </w:tcPr>
                <w:p w14:paraId="58B29CED">
                  <w:pPr>
                    <w:jc w:val="center"/>
                    <w:rPr>
                      <w:rFonts w:ascii="Times New Roman" w:hAnsi="Times New Roman" w:cs="Times New Roman"/>
                      <w:b/>
                      <w:bCs/>
                      <w:color w:val="000000" w:themeColor="text1"/>
                      <w:sz w:val="21"/>
                      <w:szCs w:val="21"/>
                      <w:u w:val="single"/>
                    </w:rPr>
                  </w:pPr>
                  <w:r>
                    <w:rPr>
                      <w:rFonts w:ascii="Times New Roman" w:hAnsi="Times New Roman" w:cs="Times New Roman"/>
                      <w:b/>
                      <w:bCs/>
                      <w:color w:val="000000" w:themeColor="text1"/>
                      <w:sz w:val="21"/>
                      <w:szCs w:val="21"/>
                      <w:u w:val="single"/>
                    </w:rPr>
                    <w:t>序号</w:t>
                  </w:r>
                </w:p>
              </w:tc>
              <w:tc>
                <w:tcPr>
                  <w:tcW w:w="952" w:type="pct"/>
                  <w:vMerge w:val="restart"/>
                  <w:vAlign w:val="center"/>
                </w:tcPr>
                <w:p w14:paraId="573B1626">
                  <w:pPr>
                    <w:jc w:val="center"/>
                    <w:rPr>
                      <w:rFonts w:ascii="Times New Roman" w:hAnsi="Times New Roman" w:cs="Times New Roman"/>
                      <w:b/>
                      <w:bCs/>
                      <w:color w:val="000000" w:themeColor="text1"/>
                      <w:sz w:val="21"/>
                      <w:szCs w:val="21"/>
                      <w:u w:val="single"/>
                    </w:rPr>
                  </w:pPr>
                  <w:r>
                    <w:rPr>
                      <w:rFonts w:ascii="Times New Roman" w:hAnsi="Times New Roman" w:cs="Times New Roman"/>
                      <w:b/>
                      <w:bCs/>
                      <w:color w:val="000000" w:themeColor="text1"/>
                      <w:sz w:val="21"/>
                      <w:szCs w:val="21"/>
                      <w:u w:val="single"/>
                    </w:rPr>
                    <w:t>点位名称</w:t>
                  </w:r>
                </w:p>
              </w:tc>
              <w:tc>
                <w:tcPr>
                  <w:tcW w:w="3654" w:type="pct"/>
                  <w:gridSpan w:val="7"/>
                  <w:vAlign w:val="center"/>
                </w:tcPr>
                <w:p w14:paraId="10CD98C8">
                  <w:pPr>
                    <w:jc w:val="center"/>
                    <w:rPr>
                      <w:rFonts w:ascii="Times New Roman" w:hAnsi="Times New Roman" w:cs="Times New Roman"/>
                      <w:b/>
                      <w:bCs/>
                      <w:color w:val="000000" w:themeColor="text1"/>
                      <w:sz w:val="21"/>
                      <w:szCs w:val="21"/>
                      <w:u w:val="single"/>
                    </w:rPr>
                  </w:pPr>
                  <w:r>
                    <w:rPr>
                      <w:rFonts w:ascii="Times New Roman" w:hAnsi="Times New Roman" w:cs="Times New Roman"/>
                      <w:b/>
                      <w:bCs/>
                      <w:color w:val="000000" w:themeColor="text1"/>
                      <w:sz w:val="21"/>
                      <w:szCs w:val="21"/>
                      <w:u w:val="single"/>
                    </w:rPr>
                    <w:t>预测结果  单位dB（A）</w:t>
                  </w:r>
                </w:p>
              </w:tc>
            </w:tr>
            <w:tr w14:paraId="7A1E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92" w:type="pct"/>
                  <w:vMerge w:val="continue"/>
                  <w:vAlign w:val="center"/>
                </w:tcPr>
                <w:p w14:paraId="347EFE57">
                  <w:pPr>
                    <w:jc w:val="center"/>
                    <w:rPr>
                      <w:rFonts w:ascii="Times New Roman" w:hAnsi="Times New Roman" w:cs="Times New Roman"/>
                      <w:b/>
                      <w:bCs/>
                      <w:color w:val="000000" w:themeColor="text1"/>
                      <w:sz w:val="21"/>
                      <w:szCs w:val="21"/>
                      <w:u w:val="single"/>
                    </w:rPr>
                  </w:pPr>
                </w:p>
              </w:tc>
              <w:tc>
                <w:tcPr>
                  <w:tcW w:w="952" w:type="pct"/>
                  <w:vMerge w:val="continue"/>
                  <w:vAlign w:val="center"/>
                </w:tcPr>
                <w:p w14:paraId="06F01CC9">
                  <w:pPr>
                    <w:jc w:val="center"/>
                    <w:rPr>
                      <w:rFonts w:ascii="Times New Roman" w:hAnsi="Times New Roman" w:cs="Times New Roman"/>
                      <w:b/>
                      <w:bCs/>
                      <w:color w:val="000000" w:themeColor="text1"/>
                      <w:sz w:val="21"/>
                      <w:szCs w:val="21"/>
                      <w:u w:val="single"/>
                    </w:rPr>
                  </w:pPr>
                </w:p>
              </w:tc>
              <w:tc>
                <w:tcPr>
                  <w:tcW w:w="1170" w:type="pct"/>
                  <w:gridSpan w:val="2"/>
                  <w:tcBorders>
                    <w:right w:val="single" w:color="auto" w:sz="4" w:space="0"/>
                  </w:tcBorders>
                  <w:vAlign w:val="center"/>
                </w:tcPr>
                <w:p w14:paraId="448D01F1">
                  <w:pPr>
                    <w:jc w:val="center"/>
                    <w:rPr>
                      <w:rFonts w:ascii="Times New Roman" w:hAnsi="Times New Roman" w:cs="Times New Roman"/>
                      <w:b/>
                      <w:bCs/>
                      <w:color w:val="000000" w:themeColor="text1"/>
                      <w:sz w:val="21"/>
                      <w:szCs w:val="21"/>
                      <w:u w:val="single"/>
                    </w:rPr>
                  </w:pPr>
                  <w:r>
                    <w:rPr>
                      <w:rFonts w:hint="eastAsia" w:ascii="Times New Roman" w:hAnsi="Times New Roman" w:cs="Times New Roman"/>
                      <w:b/>
                      <w:bCs/>
                      <w:color w:val="000000" w:themeColor="text1"/>
                      <w:sz w:val="21"/>
                      <w:szCs w:val="21"/>
                      <w:u w:val="single"/>
                      <w:lang w:val="en-US"/>
                    </w:rPr>
                    <w:t>监测值（</w:t>
                  </w:r>
                  <w:r>
                    <w:rPr>
                      <w:rFonts w:ascii="Times New Roman" w:hAnsi="Times New Roman" w:cs="Times New Roman"/>
                      <w:b/>
                      <w:bCs/>
                      <w:color w:val="000000" w:themeColor="text1"/>
                      <w:sz w:val="21"/>
                      <w:szCs w:val="21"/>
                      <w:u w:val="single"/>
                    </w:rPr>
                    <w:t>本项目</w:t>
                  </w:r>
                  <w:r>
                    <w:rPr>
                      <w:rFonts w:hint="eastAsia" w:ascii="Times New Roman" w:hAnsi="Times New Roman" w:cs="Times New Roman"/>
                      <w:b/>
                      <w:bCs/>
                      <w:color w:val="000000" w:themeColor="text1"/>
                      <w:sz w:val="21"/>
                      <w:szCs w:val="21"/>
                      <w:u w:val="single"/>
                      <w:lang w:val="en-US"/>
                    </w:rPr>
                    <w:t>+</w:t>
                  </w:r>
                  <w:r>
                    <w:rPr>
                      <w:rFonts w:ascii="Times New Roman" w:hAnsi="Times New Roman" w:cs="Times New Roman"/>
                      <w:b/>
                      <w:bCs/>
                      <w:color w:val="000000" w:themeColor="text1"/>
                      <w:sz w:val="21"/>
                      <w:szCs w:val="21"/>
                      <w:u w:val="single"/>
                    </w:rPr>
                    <w:t>原</w:t>
                  </w:r>
                  <w:r>
                    <w:rPr>
                      <w:rFonts w:hint="eastAsia" w:ascii="Times New Roman" w:hAnsi="Times New Roman" w:cs="Times New Roman"/>
                      <w:b/>
                      <w:bCs/>
                      <w:color w:val="000000" w:themeColor="text1"/>
                      <w:sz w:val="21"/>
                      <w:szCs w:val="21"/>
                      <w:u w:val="single"/>
                      <w:lang w:val="en-US"/>
                    </w:rPr>
                    <w:t>有</w:t>
                  </w:r>
                  <w:r>
                    <w:rPr>
                      <w:rFonts w:ascii="Times New Roman" w:hAnsi="Times New Roman" w:cs="Times New Roman"/>
                      <w:b/>
                      <w:bCs/>
                      <w:color w:val="000000" w:themeColor="text1"/>
                      <w:sz w:val="21"/>
                      <w:szCs w:val="21"/>
                      <w:u w:val="single"/>
                    </w:rPr>
                    <w:t>项目</w:t>
                  </w:r>
                  <w:r>
                    <w:rPr>
                      <w:rFonts w:hint="eastAsia" w:ascii="Times New Roman" w:hAnsi="Times New Roman" w:cs="Times New Roman"/>
                      <w:b/>
                      <w:bCs/>
                      <w:color w:val="000000" w:themeColor="text1"/>
                      <w:sz w:val="21"/>
                      <w:szCs w:val="21"/>
                      <w:u w:val="single"/>
                      <w:lang w:val="en-US"/>
                    </w:rPr>
                    <w:t>）</w:t>
                  </w:r>
                </w:p>
              </w:tc>
              <w:tc>
                <w:tcPr>
                  <w:tcW w:w="751" w:type="pct"/>
                  <w:vMerge w:val="restart"/>
                  <w:tcBorders>
                    <w:top w:val="single" w:color="auto" w:sz="4" w:space="0"/>
                    <w:left w:val="single" w:color="auto" w:sz="4" w:space="0"/>
                    <w:right w:val="single" w:color="auto" w:sz="4" w:space="0"/>
                  </w:tcBorders>
                  <w:vAlign w:val="center"/>
                </w:tcPr>
                <w:p w14:paraId="709059DB">
                  <w:pPr>
                    <w:jc w:val="center"/>
                    <w:rPr>
                      <w:rFonts w:ascii="Times New Roman" w:hAnsi="Times New Roman" w:cs="Times New Roman"/>
                      <w:b/>
                      <w:bCs/>
                      <w:color w:val="000000" w:themeColor="text1"/>
                      <w:sz w:val="21"/>
                      <w:szCs w:val="21"/>
                      <w:u w:val="single"/>
                    </w:rPr>
                  </w:pPr>
                  <w:r>
                    <w:rPr>
                      <w:rFonts w:hint="eastAsia" w:ascii="Times New Roman" w:hAnsi="Times New Roman" w:cs="Times New Roman"/>
                      <w:b/>
                      <w:bCs/>
                      <w:color w:val="000000" w:themeColor="text1"/>
                      <w:sz w:val="21"/>
                      <w:szCs w:val="21"/>
                      <w:u w:val="single"/>
                      <w:lang w:val="en-US"/>
                    </w:rPr>
                    <w:t>在建项目</w:t>
                  </w:r>
                  <w:r>
                    <w:rPr>
                      <w:rFonts w:ascii="Times New Roman" w:hAnsi="Times New Roman" w:cs="Times New Roman"/>
                      <w:b/>
                      <w:bCs/>
                      <w:color w:val="000000" w:themeColor="text1"/>
                      <w:sz w:val="21"/>
                      <w:szCs w:val="21"/>
                      <w:u w:val="single"/>
                    </w:rPr>
                    <w:t>贡献值</w:t>
                  </w:r>
                </w:p>
              </w:tc>
              <w:tc>
                <w:tcPr>
                  <w:tcW w:w="1194" w:type="pct"/>
                  <w:gridSpan w:val="3"/>
                  <w:tcBorders>
                    <w:top w:val="single" w:color="auto" w:sz="4" w:space="0"/>
                    <w:left w:val="single" w:color="auto" w:sz="4" w:space="0"/>
                    <w:right w:val="single" w:color="auto" w:sz="4" w:space="0"/>
                  </w:tcBorders>
                  <w:vAlign w:val="center"/>
                </w:tcPr>
                <w:p w14:paraId="6CD4288F">
                  <w:pPr>
                    <w:jc w:val="center"/>
                    <w:rPr>
                      <w:rFonts w:ascii="Times New Roman" w:hAnsi="Times New Roman" w:cs="Times New Roman"/>
                      <w:b/>
                      <w:bCs/>
                      <w:color w:val="000000" w:themeColor="text1"/>
                      <w:sz w:val="21"/>
                      <w:szCs w:val="21"/>
                      <w:u w:val="single"/>
                    </w:rPr>
                  </w:pPr>
                  <w:r>
                    <w:rPr>
                      <w:rFonts w:ascii="Times New Roman" w:hAnsi="Times New Roman" w:cs="Times New Roman"/>
                      <w:b/>
                      <w:bCs/>
                      <w:color w:val="000000" w:themeColor="text1"/>
                      <w:sz w:val="21"/>
                      <w:szCs w:val="21"/>
                      <w:u w:val="single"/>
                    </w:rPr>
                    <w:t>叠加值</w:t>
                  </w:r>
                </w:p>
              </w:tc>
              <w:tc>
                <w:tcPr>
                  <w:tcW w:w="538" w:type="pct"/>
                  <w:vMerge w:val="restart"/>
                  <w:tcBorders>
                    <w:left w:val="single" w:color="auto" w:sz="4" w:space="0"/>
                  </w:tcBorders>
                  <w:vAlign w:val="center"/>
                </w:tcPr>
                <w:p w14:paraId="2224D57C">
                  <w:pPr>
                    <w:jc w:val="center"/>
                    <w:rPr>
                      <w:rFonts w:ascii="Times New Roman" w:hAnsi="Times New Roman" w:cs="Times New Roman"/>
                      <w:b/>
                      <w:bCs/>
                      <w:color w:val="000000" w:themeColor="text1"/>
                      <w:sz w:val="21"/>
                      <w:szCs w:val="21"/>
                      <w:u w:val="single"/>
                    </w:rPr>
                  </w:pPr>
                  <w:r>
                    <w:rPr>
                      <w:rFonts w:ascii="Times New Roman" w:hAnsi="Times New Roman" w:cs="Times New Roman"/>
                      <w:b/>
                      <w:bCs/>
                      <w:color w:val="000000" w:themeColor="text1"/>
                      <w:sz w:val="21"/>
                      <w:szCs w:val="21"/>
                      <w:u w:val="single"/>
                    </w:rPr>
                    <w:t>达标情况</w:t>
                  </w:r>
                </w:p>
              </w:tc>
            </w:tr>
            <w:tr w14:paraId="7222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392" w:type="pct"/>
                  <w:vMerge w:val="continue"/>
                  <w:vAlign w:val="center"/>
                </w:tcPr>
                <w:p w14:paraId="08C4240A">
                  <w:pPr>
                    <w:jc w:val="center"/>
                    <w:rPr>
                      <w:rFonts w:hint="eastAsia"/>
                      <w:color w:val="000000" w:themeColor="text1"/>
                      <w:u w:val="single"/>
                    </w:rPr>
                  </w:pPr>
                </w:p>
              </w:tc>
              <w:tc>
                <w:tcPr>
                  <w:tcW w:w="952" w:type="pct"/>
                  <w:vMerge w:val="continue"/>
                  <w:vAlign w:val="center"/>
                </w:tcPr>
                <w:p w14:paraId="67A753FE">
                  <w:pPr>
                    <w:jc w:val="center"/>
                    <w:rPr>
                      <w:rFonts w:hint="eastAsia"/>
                      <w:color w:val="000000" w:themeColor="text1"/>
                      <w:u w:val="single"/>
                    </w:rPr>
                  </w:pPr>
                </w:p>
              </w:tc>
              <w:tc>
                <w:tcPr>
                  <w:tcW w:w="592" w:type="pct"/>
                  <w:tcBorders>
                    <w:right w:val="single" w:color="auto" w:sz="4" w:space="0"/>
                  </w:tcBorders>
                  <w:vAlign w:val="center"/>
                </w:tcPr>
                <w:p w14:paraId="194E389A">
                  <w:pPr>
                    <w:jc w:val="center"/>
                    <w:rPr>
                      <w:rFonts w:ascii="Times New Roman" w:hAnsi="Times New Roman" w:cs="Times New Roman"/>
                      <w:b/>
                      <w:bCs/>
                      <w:color w:val="000000" w:themeColor="text1"/>
                      <w:sz w:val="21"/>
                      <w:szCs w:val="21"/>
                      <w:u w:val="single"/>
                      <w:lang w:val="en-US"/>
                    </w:rPr>
                  </w:pPr>
                  <w:r>
                    <w:rPr>
                      <w:rFonts w:hint="eastAsia" w:ascii="Times New Roman" w:hAnsi="Times New Roman" w:cs="Times New Roman"/>
                      <w:b/>
                      <w:bCs/>
                      <w:color w:val="000000" w:themeColor="text1"/>
                      <w:sz w:val="21"/>
                      <w:szCs w:val="21"/>
                      <w:u w:val="single"/>
                      <w:lang w:val="en-US"/>
                    </w:rPr>
                    <w:t>昼间</w:t>
                  </w:r>
                </w:p>
              </w:tc>
              <w:tc>
                <w:tcPr>
                  <w:tcW w:w="578" w:type="pct"/>
                  <w:tcBorders>
                    <w:right w:val="single" w:color="auto" w:sz="4" w:space="0"/>
                  </w:tcBorders>
                  <w:vAlign w:val="center"/>
                </w:tcPr>
                <w:p w14:paraId="68DE330D">
                  <w:pPr>
                    <w:jc w:val="center"/>
                    <w:rPr>
                      <w:rFonts w:ascii="Times New Roman" w:hAnsi="Times New Roman" w:cs="Times New Roman"/>
                      <w:b/>
                      <w:bCs/>
                      <w:color w:val="000000" w:themeColor="text1"/>
                      <w:sz w:val="21"/>
                      <w:szCs w:val="21"/>
                      <w:u w:val="single"/>
                      <w:lang w:val="en-US"/>
                    </w:rPr>
                  </w:pPr>
                  <w:r>
                    <w:rPr>
                      <w:rFonts w:hint="eastAsia" w:ascii="Times New Roman" w:hAnsi="Times New Roman" w:cs="Times New Roman"/>
                      <w:b/>
                      <w:bCs/>
                      <w:color w:val="000000" w:themeColor="text1"/>
                      <w:sz w:val="21"/>
                      <w:szCs w:val="21"/>
                      <w:u w:val="single"/>
                      <w:lang w:val="en-US"/>
                    </w:rPr>
                    <w:t>夜间</w:t>
                  </w:r>
                </w:p>
              </w:tc>
              <w:tc>
                <w:tcPr>
                  <w:tcW w:w="751" w:type="pct"/>
                  <w:vMerge w:val="continue"/>
                  <w:tcBorders>
                    <w:left w:val="single" w:color="auto" w:sz="4" w:space="0"/>
                    <w:bottom w:val="single" w:color="auto" w:sz="4" w:space="0"/>
                    <w:right w:val="single" w:color="auto" w:sz="4" w:space="0"/>
                  </w:tcBorders>
                  <w:vAlign w:val="center"/>
                </w:tcPr>
                <w:p w14:paraId="2F596206">
                  <w:pPr>
                    <w:jc w:val="center"/>
                    <w:rPr>
                      <w:rFonts w:ascii="Times New Roman" w:hAnsi="Times New Roman" w:cs="Times New Roman"/>
                      <w:b/>
                      <w:bCs/>
                      <w:color w:val="000000" w:themeColor="text1"/>
                      <w:sz w:val="21"/>
                      <w:szCs w:val="21"/>
                      <w:u w:val="single"/>
                    </w:rPr>
                  </w:pPr>
                </w:p>
              </w:tc>
              <w:tc>
                <w:tcPr>
                  <w:tcW w:w="592" w:type="pct"/>
                  <w:tcBorders>
                    <w:left w:val="single" w:color="auto" w:sz="4" w:space="0"/>
                    <w:bottom w:val="single" w:color="auto" w:sz="4" w:space="0"/>
                    <w:right w:val="single" w:color="auto" w:sz="4" w:space="0"/>
                  </w:tcBorders>
                  <w:vAlign w:val="center"/>
                </w:tcPr>
                <w:p w14:paraId="13125407">
                  <w:pPr>
                    <w:jc w:val="center"/>
                    <w:rPr>
                      <w:rFonts w:ascii="Times New Roman" w:hAnsi="Times New Roman" w:cs="Times New Roman"/>
                      <w:b/>
                      <w:bCs/>
                      <w:color w:val="000000" w:themeColor="text1"/>
                      <w:sz w:val="21"/>
                      <w:szCs w:val="21"/>
                      <w:u w:val="single"/>
                    </w:rPr>
                  </w:pPr>
                  <w:r>
                    <w:rPr>
                      <w:rFonts w:hint="eastAsia" w:ascii="Times New Roman" w:hAnsi="Times New Roman" w:cs="Times New Roman"/>
                      <w:b/>
                      <w:bCs/>
                      <w:color w:val="000000" w:themeColor="text1"/>
                      <w:sz w:val="21"/>
                      <w:szCs w:val="21"/>
                      <w:u w:val="single"/>
                      <w:lang w:val="en-US"/>
                    </w:rPr>
                    <w:t>昼间</w:t>
                  </w:r>
                </w:p>
              </w:tc>
              <w:tc>
                <w:tcPr>
                  <w:tcW w:w="602" w:type="pct"/>
                  <w:gridSpan w:val="2"/>
                  <w:tcBorders>
                    <w:left w:val="single" w:color="auto" w:sz="4" w:space="0"/>
                    <w:bottom w:val="single" w:color="auto" w:sz="4" w:space="0"/>
                    <w:right w:val="single" w:color="auto" w:sz="4" w:space="0"/>
                  </w:tcBorders>
                  <w:vAlign w:val="center"/>
                </w:tcPr>
                <w:p w14:paraId="412E4DD6">
                  <w:pPr>
                    <w:jc w:val="center"/>
                    <w:rPr>
                      <w:rFonts w:ascii="Times New Roman" w:hAnsi="Times New Roman" w:cs="Times New Roman"/>
                      <w:b/>
                      <w:bCs/>
                      <w:color w:val="000000" w:themeColor="text1"/>
                      <w:sz w:val="21"/>
                      <w:szCs w:val="21"/>
                      <w:u w:val="single"/>
                    </w:rPr>
                  </w:pPr>
                  <w:r>
                    <w:rPr>
                      <w:rFonts w:hint="eastAsia" w:ascii="Times New Roman" w:hAnsi="Times New Roman" w:cs="Times New Roman"/>
                      <w:b/>
                      <w:bCs/>
                      <w:color w:val="000000" w:themeColor="text1"/>
                      <w:sz w:val="21"/>
                      <w:szCs w:val="21"/>
                      <w:u w:val="single"/>
                      <w:lang w:val="en-US"/>
                    </w:rPr>
                    <w:t>夜间</w:t>
                  </w:r>
                </w:p>
              </w:tc>
              <w:tc>
                <w:tcPr>
                  <w:tcW w:w="538" w:type="pct"/>
                  <w:vMerge w:val="continue"/>
                  <w:tcBorders>
                    <w:left w:val="single" w:color="auto" w:sz="4" w:space="0"/>
                  </w:tcBorders>
                  <w:vAlign w:val="center"/>
                </w:tcPr>
                <w:p w14:paraId="286CD48C">
                  <w:pPr>
                    <w:jc w:val="center"/>
                    <w:rPr>
                      <w:rFonts w:ascii="Times New Roman" w:hAnsi="Times New Roman" w:cs="Times New Roman"/>
                      <w:b/>
                      <w:bCs/>
                      <w:color w:val="000000" w:themeColor="text1"/>
                      <w:sz w:val="21"/>
                      <w:szCs w:val="21"/>
                      <w:u w:val="single"/>
                    </w:rPr>
                  </w:pPr>
                </w:p>
              </w:tc>
            </w:tr>
            <w:tr w14:paraId="0FE1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92" w:type="pct"/>
                  <w:vAlign w:val="center"/>
                </w:tcPr>
                <w:p w14:paraId="3D648243">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1</w:t>
                  </w:r>
                </w:p>
              </w:tc>
              <w:tc>
                <w:tcPr>
                  <w:tcW w:w="952" w:type="pct"/>
                  <w:vAlign w:val="center"/>
                </w:tcPr>
                <w:p w14:paraId="53E60F31">
                  <w:pPr>
                    <w:adjustRightInd w:val="0"/>
                    <w:snapToGrid w:val="0"/>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lang w:val="en-US"/>
                    </w:rPr>
                    <w:t>东</w:t>
                  </w:r>
                  <w:r>
                    <w:rPr>
                      <w:rFonts w:ascii="Times New Roman" w:hAnsi="Times New Roman" w:cs="Times New Roman"/>
                      <w:color w:val="000000" w:themeColor="text1"/>
                      <w:sz w:val="21"/>
                      <w:szCs w:val="21"/>
                      <w:u w:val="single"/>
                    </w:rPr>
                    <w:t>面厂界</w:t>
                  </w:r>
                </w:p>
              </w:tc>
              <w:tc>
                <w:tcPr>
                  <w:tcW w:w="592" w:type="pct"/>
                  <w:vAlign w:val="center"/>
                </w:tcPr>
                <w:p w14:paraId="3BE1B640">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50.4</w:t>
                  </w:r>
                </w:p>
              </w:tc>
              <w:tc>
                <w:tcPr>
                  <w:tcW w:w="578" w:type="pct"/>
                  <w:vAlign w:val="center"/>
                </w:tcPr>
                <w:p w14:paraId="5D197ADB">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42.8</w:t>
                  </w:r>
                </w:p>
              </w:tc>
              <w:tc>
                <w:tcPr>
                  <w:tcW w:w="751" w:type="pct"/>
                  <w:tcBorders>
                    <w:top w:val="single" w:color="auto" w:sz="4" w:space="0"/>
                  </w:tcBorders>
                  <w:vAlign w:val="center"/>
                </w:tcPr>
                <w:p w14:paraId="358B19F2">
                  <w:pPr>
                    <w:adjustRightInd w:val="0"/>
                    <w:snapToGrid w:val="0"/>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lang w:val="en-US"/>
                    </w:rPr>
                    <w:t>46.94</w:t>
                  </w:r>
                </w:p>
              </w:tc>
              <w:tc>
                <w:tcPr>
                  <w:tcW w:w="597" w:type="pct"/>
                  <w:gridSpan w:val="2"/>
                  <w:tcBorders>
                    <w:top w:val="single" w:color="auto" w:sz="4" w:space="0"/>
                  </w:tcBorders>
                  <w:vAlign w:val="center"/>
                </w:tcPr>
                <w:p w14:paraId="346F3274">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52.02</w:t>
                  </w:r>
                </w:p>
              </w:tc>
              <w:tc>
                <w:tcPr>
                  <w:tcW w:w="597" w:type="pct"/>
                  <w:tcBorders>
                    <w:top w:val="single" w:color="auto" w:sz="4" w:space="0"/>
                  </w:tcBorders>
                  <w:vAlign w:val="center"/>
                </w:tcPr>
                <w:p w14:paraId="28EF684E">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48.36</w:t>
                  </w:r>
                </w:p>
              </w:tc>
              <w:tc>
                <w:tcPr>
                  <w:tcW w:w="538" w:type="pct"/>
                  <w:vAlign w:val="center"/>
                </w:tcPr>
                <w:p w14:paraId="03813BDA">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达标</w:t>
                  </w:r>
                </w:p>
              </w:tc>
            </w:tr>
            <w:tr w14:paraId="2A07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92" w:type="pct"/>
                  <w:vAlign w:val="center"/>
                </w:tcPr>
                <w:p w14:paraId="62A507C9">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2</w:t>
                  </w:r>
                </w:p>
              </w:tc>
              <w:tc>
                <w:tcPr>
                  <w:tcW w:w="952" w:type="pct"/>
                  <w:vAlign w:val="center"/>
                </w:tcPr>
                <w:p w14:paraId="7028A20D">
                  <w:pPr>
                    <w:adjustRightInd w:val="0"/>
                    <w:snapToGrid w:val="0"/>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lang w:val="en-US"/>
                    </w:rPr>
                    <w:t>南</w:t>
                  </w:r>
                  <w:r>
                    <w:rPr>
                      <w:rFonts w:ascii="Times New Roman" w:hAnsi="Times New Roman" w:cs="Times New Roman"/>
                      <w:color w:val="000000" w:themeColor="text1"/>
                      <w:sz w:val="21"/>
                      <w:szCs w:val="21"/>
                      <w:u w:val="single"/>
                    </w:rPr>
                    <w:t>面厂界</w:t>
                  </w:r>
                </w:p>
              </w:tc>
              <w:tc>
                <w:tcPr>
                  <w:tcW w:w="592" w:type="pct"/>
                  <w:vAlign w:val="center"/>
                </w:tcPr>
                <w:p w14:paraId="61DDCC79">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51.4</w:t>
                  </w:r>
                </w:p>
              </w:tc>
              <w:tc>
                <w:tcPr>
                  <w:tcW w:w="578" w:type="pct"/>
                  <w:vAlign w:val="center"/>
                </w:tcPr>
                <w:p w14:paraId="14FA32A0">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44.0</w:t>
                  </w:r>
                </w:p>
              </w:tc>
              <w:tc>
                <w:tcPr>
                  <w:tcW w:w="751" w:type="pct"/>
                  <w:vAlign w:val="center"/>
                </w:tcPr>
                <w:p w14:paraId="5D74D07B">
                  <w:pPr>
                    <w:adjustRightInd w:val="0"/>
                    <w:snapToGrid w:val="0"/>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lang w:val="en-US"/>
                    </w:rPr>
                    <w:t>23.06</w:t>
                  </w:r>
                </w:p>
              </w:tc>
              <w:tc>
                <w:tcPr>
                  <w:tcW w:w="597" w:type="pct"/>
                  <w:gridSpan w:val="2"/>
                  <w:vAlign w:val="center"/>
                </w:tcPr>
                <w:p w14:paraId="656EECE7">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51.41</w:t>
                  </w:r>
                </w:p>
              </w:tc>
              <w:tc>
                <w:tcPr>
                  <w:tcW w:w="597" w:type="pct"/>
                  <w:vAlign w:val="center"/>
                </w:tcPr>
                <w:p w14:paraId="6B833B2C">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44.03</w:t>
                  </w:r>
                </w:p>
              </w:tc>
              <w:tc>
                <w:tcPr>
                  <w:tcW w:w="538" w:type="pct"/>
                  <w:vAlign w:val="center"/>
                </w:tcPr>
                <w:p w14:paraId="2481FE59">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达标</w:t>
                  </w:r>
                </w:p>
              </w:tc>
            </w:tr>
            <w:tr w14:paraId="6490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92" w:type="pct"/>
                  <w:vAlign w:val="center"/>
                </w:tcPr>
                <w:p w14:paraId="7798B255">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3</w:t>
                  </w:r>
                </w:p>
              </w:tc>
              <w:tc>
                <w:tcPr>
                  <w:tcW w:w="952" w:type="pct"/>
                  <w:vAlign w:val="center"/>
                </w:tcPr>
                <w:p w14:paraId="37FE5181">
                  <w:pPr>
                    <w:adjustRightInd w:val="0"/>
                    <w:snapToGrid w:val="0"/>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lang w:val="en-US"/>
                    </w:rPr>
                    <w:t>西</w:t>
                  </w:r>
                  <w:r>
                    <w:rPr>
                      <w:rFonts w:ascii="Times New Roman" w:hAnsi="Times New Roman" w:cs="Times New Roman"/>
                      <w:color w:val="000000" w:themeColor="text1"/>
                      <w:sz w:val="21"/>
                      <w:szCs w:val="21"/>
                      <w:u w:val="single"/>
                    </w:rPr>
                    <w:t>面厂界</w:t>
                  </w:r>
                </w:p>
              </w:tc>
              <w:tc>
                <w:tcPr>
                  <w:tcW w:w="592" w:type="pct"/>
                  <w:vAlign w:val="center"/>
                </w:tcPr>
                <w:p w14:paraId="3289879F">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53.5</w:t>
                  </w:r>
                </w:p>
              </w:tc>
              <w:tc>
                <w:tcPr>
                  <w:tcW w:w="578" w:type="pct"/>
                  <w:vAlign w:val="center"/>
                </w:tcPr>
                <w:p w14:paraId="6124BCB8">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46.6</w:t>
                  </w:r>
                </w:p>
              </w:tc>
              <w:tc>
                <w:tcPr>
                  <w:tcW w:w="751" w:type="pct"/>
                  <w:vAlign w:val="center"/>
                </w:tcPr>
                <w:p w14:paraId="5968D681">
                  <w:pPr>
                    <w:adjustRightInd w:val="0"/>
                    <w:snapToGrid w:val="0"/>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lang w:val="en-US"/>
                    </w:rPr>
                    <w:t>25.45</w:t>
                  </w:r>
                </w:p>
              </w:tc>
              <w:tc>
                <w:tcPr>
                  <w:tcW w:w="597" w:type="pct"/>
                  <w:gridSpan w:val="2"/>
                  <w:vAlign w:val="center"/>
                </w:tcPr>
                <w:p w14:paraId="25F9EFC7">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53.51</w:t>
                  </w:r>
                </w:p>
              </w:tc>
              <w:tc>
                <w:tcPr>
                  <w:tcW w:w="597" w:type="pct"/>
                  <w:vAlign w:val="center"/>
                </w:tcPr>
                <w:p w14:paraId="007061C4">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46.63</w:t>
                  </w:r>
                </w:p>
              </w:tc>
              <w:tc>
                <w:tcPr>
                  <w:tcW w:w="538" w:type="pct"/>
                  <w:vAlign w:val="center"/>
                </w:tcPr>
                <w:p w14:paraId="72633FB7">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达标</w:t>
                  </w:r>
                </w:p>
              </w:tc>
            </w:tr>
            <w:tr w14:paraId="5FDA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2" w:type="pct"/>
                  <w:vAlign w:val="center"/>
                </w:tcPr>
                <w:p w14:paraId="0FDD8366">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4</w:t>
                  </w:r>
                </w:p>
              </w:tc>
              <w:tc>
                <w:tcPr>
                  <w:tcW w:w="952" w:type="pct"/>
                  <w:vAlign w:val="center"/>
                </w:tcPr>
                <w:p w14:paraId="40068AC4">
                  <w:pPr>
                    <w:adjustRightInd w:val="0"/>
                    <w:snapToGrid w:val="0"/>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lang w:val="en-US"/>
                    </w:rPr>
                    <w:t>北</w:t>
                  </w:r>
                  <w:r>
                    <w:rPr>
                      <w:rFonts w:ascii="Times New Roman" w:hAnsi="Times New Roman" w:cs="Times New Roman"/>
                      <w:color w:val="000000" w:themeColor="text1"/>
                      <w:sz w:val="21"/>
                      <w:szCs w:val="21"/>
                      <w:u w:val="single"/>
                    </w:rPr>
                    <w:t>面厂界</w:t>
                  </w:r>
                </w:p>
              </w:tc>
              <w:tc>
                <w:tcPr>
                  <w:tcW w:w="592" w:type="pct"/>
                  <w:vAlign w:val="center"/>
                </w:tcPr>
                <w:p w14:paraId="56064935">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53.1</w:t>
                  </w:r>
                </w:p>
              </w:tc>
              <w:tc>
                <w:tcPr>
                  <w:tcW w:w="578" w:type="pct"/>
                  <w:vAlign w:val="center"/>
                </w:tcPr>
                <w:p w14:paraId="4A336572">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45.0</w:t>
                  </w:r>
                </w:p>
              </w:tc>
              <w:tc>
                <w:tcPr>
                  <w:tcW w:w="751" w:type="pct"/>
                  <w:vAlign w:val="center"/>
                </w:tcPr>
                <w:p w14:paraId="30C7B589">
                  <w:pPr>
                    <w:adjustRightInd w:val="0"/>
                    <w:snapToGrid w:val="0"/>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lang w:val="en-US"/>
                    </w:rPr>
                    <w:t>25.18</w:t>
                  </w:r>
                </w:p>
              </w:tc>
              <w:tc>
                <w:tcPr>
                  <w:tcW w:w="597" w:type="pct"/>
                  <w:gridSpan w:val="2"/>
                  <w:vAlign w:val="center"/>
                </w:tcPr>
                <w:p w14:paraId="788C0A8E">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53.11</w:t>
                  </w:r>
                </w:p>
              </w:tc>
              <w:tc>
                <w:tcPr>
                  <w:tcW w:w="597" w:type="pct"/>
                  <w:vAlign w:val="center"/>
                </w:tcPr>
                <w:p w14:paraId="2F7DD5DC">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45.05</w:t>
                  </w:r>
                </w:p>
              </w:tc>
              <w:tc>
                <w:tcPr>
                  <w:tcW w:w="538" w:type="pct"/>
                  <w:vAlign w:val="center"/>
                </w:tcPr>
                <w:p w14:paraId="09821E89">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达标</w:t>
                  </w:r>
                </w:p>
              </w:tc>
            </w:tr>
            <w:tr w14:paraId="3D9C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9"/>
                  <w:vAlign w:val="center"/>
                </w:tcPr>
                <w:p w14:paraId="4CC1B080">
                  <w:pPr>
                    <w:jc w:val="center"/>
                    <w:rPr>
                      <w:rFonts w:ascii="Times New Roman" w:hAnsi="Times New Roman" w:cs="Times New Roman"/>
                      <w:color w:val="000000" w:themeColor="text1"/>
                      <w:sz w:val="21"/>
                      <w:szCs w:val="21"/>
                      <w:u w:val="single"/>
                      <w:lang w:val="en-US"/>
                    </w:rPr>
                  </w:pPr>
                  <w:r>
                    <w:rPr>
                      <w:rFonts w:ascii="Times New Roman" w:hAnsi="Times New Roman" w:cs="Times New Roman"/>
                      <w:color w:val="000000" w:themeColor="text1"/>
                      <w:sz w:val="21"/>
                      <w:szCs w:val="21"/>
                      <w:u w:val="single"/>
                    </w:rPr>
                    <w:t>注：监测值来源</w:t>
                  </w:r>
                  <w:r>
                    <w:rPr>
                      <w:rFonts w:hint="eastAsia" w:ascii="Times New Roman" w:hAnsi="Times New Roman" w:cs="Times New Roman"/>
                      <w:color w:val="000000" w:themeColor="text1"/>
                      <w:sz w:val="21"/>
                      <w:szCs w:val="21"/>
                      <w:u w:val="single"/>
                      <w:lang w:val="en-US"/>
                    </w:rPr>
                    <w:t>于</w:t>
                  </w:r>
                  <w:r>
                    <w:rPr>
                      <w:rFonts w:ascii="Times New Roman" w:hAnsi="Times New Roman" w:cs="Times New Roman"/>
                      <w:color w:val="000000" w:themeColor="text1"/>
                      <w:sz w:val="21"/>
                      <w:szCs w:val="21"/>
                      <w:u w:val="single"/>
                    </w:rPr>
                    <w:t>永福县人民医院2023年度自行监测报告中噪声监测数据</w:t>
                  </w:r>
                  <w:r>
                    <w:rPr>
                      <w:rFonts w:hint="eastAsia" w:ascii="Times New Roman" w:hAnsi="Times New Roman" w:cs="Times New Roman"/>
                      <w:color w:val="000000" w:themeColor="text1"/>
                      <w:sz w:val="21"/>
                      <w:szCs w:val="21"/>
                      <w:u w:val="single"/>
                    </w:rPr>
                    <w:t>，在建项目贡献值</w:t>
                  </w:r>
                  <w:r>
                    <w:rPr>
                      <w:rFonts w:ascii="Times New Roman" w:hAnsi="Times New Roman" w:cs="Times New Roman"/>
                      <w:color w:val="000000" w:themeColor="text1"/>
                      <w:sz w:val="21"/>
                      <w:szCs w:val="21"/>
                      <w:u w:val="single"/>
                    </w:rPr>
                    <w:t>来源</w:t>
                  </w:r>
                  <w:r>
                    <w:rPr>
                      <w:rFonts w:hint="eastAsia" w:ascii="Times New Roman" w:hAnsi="Times New Roman" w:cs="Times New Roman"/>
                      <w:color w:val="000000" w:themeColor="text1"/>
                      <w:sz w:val="21"/>
                      <w:szCs w:val="21"/>
                      <w:u w:val="single"/>
                      <w:lang w:val="en-US"/>
                    </w:rPr>
                    <w:t>于《永福县人民医院专病综合楼建设项目环境影响报告表》。</w:t>
                  </w:r>
                </w:p>
              </w:tc>
            </w:tr>
          </w:tbl>
          <w:p w14:paraId="4A490F45">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sz w:val="24"/>
                <w:szCs w:val="24"/>
              </w:rPr>
              <w:t>考虑整个医院对外环境的噪声影响，经预测结果可知，</w:t>
            </w:r>
            <w:r>
              <w:rPr>
                <w:rFonts w:hint="eastAsia" w:ascii="Times New Roman" w:hAnsi="Times New Roman" w:cs="Times New Roman"/>
                <w:color w:val="000000" w:themeColor="text1"/>
                <w:sz w:val="24"/>
                <w:szCs w:val="28"/>
                <w:lang w:val="en-US"/>
              </w:rPr>
              <w:t>医院（包含原有项目+本项目+在建项目）</w:t>
            </w:r>
            <w:r>
              <w:rPr>
                <w:rFonts w:hint="eastAsia" w:ascii="Times New Roman" w:hAnsi="Times New Roman" w:cs="Times New Roman"/>
                <w:color w:val="000000" w:themeColor="text1"/>
                <w:kern w:val="2"/>
                <w:sz w:val="24"/>
                <w:szCs w:val="24"/>
                <w:lang w:val="en-US" w:bidi="ar-SA"/>
              </w:rPr>
              <w:t>运营期西侧</w:t>
            </w:r>
            <w:r>
              <w:rPr>
                <w:rFonts w:ascii="Times New Roman" w:hAnsi="Times New Roman" w:cs="Times New Roman"/>
                <w:color w:val="000000" w:themeColor="text1"/>
                <w:sz w:val="24"/>
                <w:szCs w:val="28"/>
              </w:rPr>
              <w:t>厂界噪声</w:t>
            </w:r>
            <w:r>
              <w:rPr>
                <w:rFonts w:hint="eastAsia" w:ascii="Times New Roman" w:hAnsi="Times New Roman" w:cs="Times New Roman"/>
                <w:color w:val="000000" w:themeColor="text1"/>
                <w:sz w:val="24"/>
                <w:szCs w:val="28"/>
                <w:lang w:val="en-US"/>
              </w:rPr>
              <w:t>达到</w:t>
            </w:r>
            <w:r>
              <w:rPr>
                <w:rFonts w:ascii="Times New Roman" w:hAnsi="Times New Roman" w:cs="Times New Roman"/>
                <w:color w:val="000000" w:themeColor="text1"/>
                <w:sz w:val="24"/>
                <w:szCs w:val="28"/>
              </w:rPr>
              <w:t>《工业企业厂界环境噪声排放标准》（GB</w:t>
            </w:r>
            <w:r>
              <w:rPr>
                <w:rFonts w:hint="eastAsia" w:ascii="Times New Roman" w:hAnsi="Times New Roman" w:cs="Times New Roman"/>
                <w:color w:val="000000" w:themeColor="text1"/>
                <w:sz w:val="24"/>
                <w:szCs w:val="28"/>
                <w:lang w:val="en-US"/>
              </w:rPr>
              <w:t xml:space="preserve"> </w:t>
            </w:r>
            <w:r>
              <w:rPr>
                <w:rFonts w:ascii="Times New Roman" w:hAnsi="Times New Roman" w:cs="Times New Roman"/>
                <w:color w:val="000000" w:themeColor="text1"/>
                <w:sz w:val="24"/>
                <w:szCs w:val="28"/>
              </w:rPr>
              <w:t>12348-2008）中</w:t>
            </w:r>
            <w:r>
              <w:rPr>
                <w:rFonts w:hint="eastAsia" w:ascii="Times New Roman" w:hAnsi="Times New Roman" w:cs="Times New Roman"/>
                <w:color w:val="000000" w:themeColor="text1"/>
                <w:sz w:val="24"/>
                <w:szCs w:val="28"/>
                <w:lang w:val="en-US"/>
              </w:rPr>
              <w:t>4</w:t>
            </w:r>
            <w:r>
              <w:rPr>
                <w:rFonts w:ascii="Times New Roman" w:hAnsi="Times New Roman" w:cs="Times New Roman"/>
                <w:color w:val="000000" w:themeColor="text1"/>
                <w:sz w:val="24"/>
                <w:szCs w:val="28"/>
              </w:rPr>
              <w:t>类标准，</w:t>
            </w:r>
            <w:r>
              <w:rPr>
                <w:rFonts w:hint="eastAsia" w:ascii="Times New Roman" w:hAnsi="Times New Roman" w:cs="Times New Roman"/>
                <w:color w:val="000000" w:themeColor="text1"/>
                <w:kern w:val="2"/>
                <w:sz w:val="24"/>
                <w:szCs w:val="24"/>
                <w:lang w:val="en-US" w:bidi="ar-SA"/>
              </w:rPr>
              <w:t>东侧、南侧、北侧</w:t>
            </w:r>
            <w:r>
              <w:rPr>
                <w:rFonts w:ascii="Times New Roman" w:hAnsi="Times New Roman" w:cs="Times New Roman"/>
                <w:color w:val="000000" w:themeColor="text1"/>
                <w:sz w:val="24"/>
                <w:szCs w:val="28"/>
              </w:rPr>
              <w:t>厂界噪声</w:t>
            </w:r>
            <w:r>
              <w:rPr>
                <w:rFonts w:hint="eastAsia" w:ascii="Times New Roman" w:hAnsi="Times New Roman" w:cs="Times New Roman"/>
                <w:color w:val="000000" w:themeColor="text1"/>
                <w:sz w:val="24"/>
                <w:szCs w:val="28"/>
                <w:lang w:val="en-US"/>
              </w:rPr>
              <w:t>均可达到</w:t>
            </w:r>
            <w:r>
              <w:rPr>
                <w:rFonts w:ascii="Times New Roman" w:hAnsi="Times New Roman" w:cs="Times New Roman"/>
                <w:color w:val="000000" w:themeColor="text1"/>
                <w:sz w:val="24"/>
                <w:szCs w:val="28"/>
              </w:rPr>
              <w:t>《工业企业厂界环境噪声排放标准》（GB</w:t>
            </w:r>
            <w:r>
              <w:rPr>
                <w:rFonts w:hint="eastAsia" w:ascii="Times New Roman" w:hAnsi="Times New Roman" w:cs="Times New Roman"/>
                <w:color w:val="000000" w:themeColor="text1"/>
                <w:sz w:val="24"/>
                <w:szCs w:val="28"/>
                <w:lang w:val="en-US"/>
              </w:rPr>
              <w:t xml:space="preserve"> </w:t>
            </w:r>
            <w:r>
              <w:rPr>
                <w:rFonts w:ascii="Times New Roman" w:hAnsi="Times New Roman" w:cs="Times New Roman"/>
                <w:color w:val="000000" w:themeColor="text1"/>
                <w:sz w:val="24"/>
                <w:szCs w:val="28"/>
              </w:rPr>
              <w:t>12348-2008）中</w:t>
            </w:r>
            <w:r>
              <w:rPr>
                <w:rFonts w:hint="eastAsia" w:ascii="Times New Roman" w:hAnsi="Times New Roman" w:cs="Times New Roman"/>
                <w:color w:val="000000" w:themeColor="text1"/>
                <w:sz w:val="24"/>
                <w:szCs w:val="28"/>
                <w:lang w:val="en-US"/>
              </w:rPr>
              <w:t>2</w:t>
            </w:r>
            <w:r>
              <w:rPr>
                <w:rFonts w:ascii="Times New Roman" w:hAnsi="Times New Roman" w:cs="Times New Roman"/>
                <w:color w:val="000000" w:themeColor="text1"/>
                <w:sz w:val="24"/>
                <w:szCs w:val="28"/>
              </w:rPr>
              <w:t>类标准</w:t>
            </w:r>
            <w:r>
              <w:rPr>
                <w:rFonts w:hint="eastAsia" w:ascii="Times New Roman" w:hAnsi="Times New Roman" w:cs="Times New Roman"/>
                <w:color w:val="000000" w:themeColor="text1"/>
                <w:sz w:val="24"/>
                <w:szCs w:val="28"/>
              </w:rPr>
              <w:t>，</w:t>
            </w:r>
            <w:r>
              <w:rPr>
                <w:rFonts w:hint="eastAsia" w:ascii="Times New Roman" w:hAnsi="Times New Roman" w:cs="Times New Roman"/>
                <w:color w:val="000000" w:themeColor="text1"/>
                <w:kern w:val="2"/>
                <w:sz w:val="24"/>
                <w:szCs w:val="24"/>
                <w:lang w:val="en-US" w:bidi="ar-SA"/>
              </w:rPr>
              <w:t>项目厂界噪声可达标排放。</w:t>
            </w:r>
          </w:p>
          <w:p w14:paraId="6FDB96CA">
            <w:pPr>
              <w:autoSpaceDE/>
              <w:autoSpaceDN/>
              <w:spacing w:line="360" w:lineRule="auto"/>
              <w:ind w:firstLine="480" w:firstLineChars="200"/>
              <w:jc w:val="both"/>
              <w:rPr>
                <w:rFonts w:ascii="Times New Roman" w:hAnsi="Times New Roman" w:cs="Times New Roman"/>
                <w:color w:val="000000" w:themeColor="text1"/>
                <w:kern w:val="2"/>
                <w:sz w:val="24"/>
                <w:szCs w:val="24"/>
                <w:u w:val="single"/>
                <w:lang w:val="en-US" w:bidi="ar-SA"/>
              </w:rPr>
            </w:pPr>
            <w:r>
              <w:rPr>
                <w:rFonts w:hint="eastAsia" w:ascii="Times New Roman" w:hAnsi="Times New Roman" w:cs="Times New Roman"/>
                <w:color w:val="000000" w:themeColor="text1"/>
                <w:kern w:val="2"/>
                <w:sz w:val="24"/>
                <w:szCs w:val="24"/>
                <w:u w:val="single"/>
                <w:lang w:val="en-US" w:bidi="ar-SA"/>
              </w:rPr>
              <w:t>本项目位于广西壮族自治区桂林市永福县永福镇迎宾路132号永福县人民医院内，周边50米范围内敏感目标主要为永福县人民医院急诊医技楼、永福镇南侧、西南侧居民，由于监测时本项目和原有项目均已运营，因此附件7监测报告中的</w:t>
            </w:r>
            <w:r>
              <w:rPr>
                <w:rFonts w:hint="eastAsia" w:ascii="Times New Roman" w:hAnsi="Times New Roman" w:cs="Times New Roman"/>
                <w:color w:val="000000" w:themeColor="text1"/>
                <w:sz w:val="24"/>
                <w:szCs w:val="24"/>
                <w:u w:val="single"/>
                <w:lang w:val="en-US"/>
              </w:rPr>
              <w:t>噪声监测值即为原有项目与本项目对敏感点的共同噪声预测值（含背景值），</w:t>
            </w:r>
            <w:r>
              <w:rPr>
                <w:rFonts w:ascii="Times New Roman" w:hAnsi="Times New Roman" w:cs="Times New Roman"/>
                <w:color w:val="000000" w:themeColor="text1"/>
                <w:sz w:val="24"/>
                <w:u w:val="single"/>
              </w:rPr>
              <w:t>再叠加</w:t>
            </w:r>
            <w:r>
              <w:rPr>
                <w:rFonts w:hint="eastAsia" w:ascii="Times New Roman" w:hAnsi="Times New Roman" w:cs="Times New Roman"/>
                <w:color w:val="000000" w:themeColor="text1"/>
                <w:sz w:val="24"/>
                <w:u w:val="single"/>
                <w:lang w:val="en-US"/>
              </w:rPr>
              <w:t>在建</w:t>
            </w:r>
            <w:r>
              <w:rPr>
                <w:rFonts w:ascii="Times New Roman" w:hAnsi="Times New Roman" w:cs="Times New Roman"/>
                <w:color w:val="000000" w:themeColor="text1"/>
                <w:sz w:val="24"/>
                <w:u w:val="single"/>
              </w:rPr>
              <w:t>项目</w:t>
            </w:r>
            <w:r>
              <w:rPr>
                <w:rFonts w:hint="eastAsia" w:ascii="Times New Roman" w:hAnsi="Times New Roman" w:cs="Times New Roman"/>
                <w:color w:val="000000" w:themeColor="text1"/>
                <w:sz w:val="24"/>
                <w:u w:val="single"/>
                <w:lang w:val="en-US"/>
              </w:rPr>
              <w:t>对敏感点</w:t>
            </w:r>
            <w:r>
              <w:rPr>
                <w:rFonts w:ascii="Times New Roman" w:hAnsi="Times New Roman" w:cs="Times New Roman"/>
                <w:color w:val="000000" w:themeColor="text1"/>
                <w:sz w:val="24"/>
                <w:u w:val="single"/>
              </w:rPr>
              <w:t>噪声贡献值，以判断</w:t>
            </w:r>
            <w:r>
              <w:rPr>
                <w:rFonts w:hint="eastAsia" w:ascii="Times New Roman" w:hAnsi="Times New Roman" w:cs="Times New Roman"/>
                <w:color w:val="000000" w:themeColor="text1"/>
                <w:sz w:val="24"/>
                <w:u w:val="single"/>
                <w:lang w:val="en-US"/>
              </w:rPr>
              <w:t>运营期全院</w:t>
            </w:r>
            <w:r>
              <w:rPr>
                <w:rFonts w:ascii="Times New Roman" w:hAnsi="Times New Roman" w:cs="Times New Roman"/>
                <w:color w:val="000000" w:themeColor="text1"/>
                <w:sz w:val="24"/>
                <w:u w:val="single"/>
              </w:rPr>
              <w:t>噪声</w:t>
            </w:r>
            <w:r>
              <w:rPr>
                <w:rFonts w:hint="eastAsia" w:ascii="Times New Roman" w:hAnsi="Times New Roman" w:cs="Times New Roman"/>
                <w:color w:val="000000" w:themeColor="text1"/>
                <w:sz w:val="24"/>
                <w:u w:val="single"/>
                <w:lang w:val="en-US"/>
              </w:rPr>
              <w:t>对</w:t>
            </w:r>
            <w:r>
              <w:rPr>
                <w:rFonts w:hint="eastAsia" w:ascii="Times New Roman" w:hAnsi="Times New Roman" w:cs="Times New Roman"/>
                <w:color w:val="000000" w:themeColor="text1"/>
                <w:kern w:val="2"/>
                <w:sz w:val="24"/>
                <w:szCs w:val="24"/>
                <w:u w:val="single"/>
                <w:lang w:val="en-US" w:bidi="ar-SA"/>
              </w:rPr>
              <w:t>敏感点的影响，敏感点噪声预测见下表</w:t>
            </w:r>
            <w:r>
              <w:rPr>
                <w:rFonts w:hint="eastAsia" w:ascii="Times New Roman" w:hAnsi="Times New Roman" w:cs="Times New Roman"/>
                <w:color w:val="000000" w:themeColor="text1"/>
                <w:sz w:val="24"/>
                <w:u w:val="single"/>
              </w:rPr>
              <w:t>。</w:t>
            </w:r>
          </w:p>
          <w:p w14:paraId="5634C396">
            <w:pPr>
              <w:autoSpaceDE/>
              <w:autoSpaceDN/>
              <w:spacing w:line="360" w:lineRule="auto"/>
              <w:jc w:val="center"/>
              <w:rPr>
                <w:rFonts w:ascii="Times New Roman" w:hAnsi="Times New Roman" w:cs="Times New Roman"/>
                <w:b/>
                <w:bCs/>
                <w:color w:val="000000" w:themeColor="text1"/>
                <w:kern w:val="2"/>
                <w:sz w:val="24"/>
                <w:szCs w:val="24"/>
                <w:u w:val="single"/>
                <w:lang w:val="en-US" w:bidi="ar-SA"/>
              </w:rPr>
            </w:pPr>
            <w:r>
              <w:rPr>
                <w:rFonts w:hint="eastAsia" w:ascii="Times New Roman" w:hAnsi="Times New Roman" w:cs="Times New Roman"/>
                <w:b/>
                <w:bCs/>
                <w:color w:val="000000" w:themeColor="text1"/>
                <w:kern w:val="2"/>
                <w:sz w:val="24"/>
                <w:szCs w:val="24"/>
                <w:u w:val="single"/>
                <w:lang w:val="en-US" w:bidi="ar-SA"/>
              </w:rPr>
              <w:t>表4-9敏感点预测表   单位dB(A)</w:t>
            </w:r>
          </w:p>
          <w:tbl>
            <w:tblPr>
              <w:tblStyle w:val="27"/>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972"/>
              <w:gridCol w:w="912"/>
              <w:gridCol w:w="1227"/>
              <w:gridCol w:w="1816"/>
              <w:gridCol w:w="705"/>
              <w:gridCol w:w="7"/>
              <w:gridCol w:w="712"/>
              <w:gridCol w:w="754"/>
            </w:tblGrid>
            <w:tr w14:paraId="0D25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50" w:type="pct"/>
                  <w:vMerge w:val="restart"/>
                  <w:vAlign w:val="center"/>
                </w:tcPr>
                <w:p w14:paraId="4140233D">
                  <w:pPr>
                    <w:jc w:val="center"/>
                    <w:rPr>
                      <w:rFonts w:ascii="Times New Roman" w:hAnsi="Times New Roman" w:cs="Times New Roman"/>
                      <w:b/>
                      <w:bCs/>
                      <w:color w:val="000000" w:themeColor="text1"/>
                      <w:sz w:val="21"/>
                      <w:szCs w:val="21"/>
                      <w:u w:val="single"/>
                    </w:rPr>
                  </w:pPr>
                  <w:r>
                    <w:rPr>
                      <w:rFonts w:ascii="Times New Roman" w:hAnsi="Times New Roman" w:cs="Times New Roman"/>
                      <w:b/>
                      <w:bCs/>
                      <w:color w:val="000000" w:themeColor="text1"/>
                      <w:sz w:val="21"/>
                      <w:szCs w:val="21"/>
                      <w:u w:val="single"/>
                    </w:rPr>
                    <w:t>序号</w:t>
                  </w:r>
                </w:p>
              </w:tc>
              <w:tc>
                <w:tcPr>
                  <w:tcW w:w="1156" w:type="pct"/>
                  <w:vMerge w:val="restart"/>
                  <w:vAlign w:val="center"/>
                </w:tcPr>
                <w:p w14:paraId="5494BB84">
                  <w:pPr>
                    <w:jc w:val="center"/>
                    <w:rPr>
                      <w:rFonts w:ascii="Times New Roman" w:hAnsi="Times New Roman" w:cs="Times New Roman"/>
                      <w:b/>
                      <w:bCs/>
                      <w:color w:val="000000" w:themeColor="text1"/>
                      <w:sz w:val="21"/>
                      <w:szCs w:val="21"/>
                      <w:u w:val="single"/>
                    </w:rPr>
                  </w:pPr>
                  <w:r>
                    <w:rPr>
                      <w:rFonts w:ascii="Times New Roman" w:hAnsi="Times New Roman" w:cs="Times New Roman"/>
                      <w:b/>
                      <w:bCs/>
                      <w:color w:val="000000" w:themeColor="text1"/>
                      <w:sz w:val="21"/>
                      <w:szCs w:val="21"/>
                      <w:u w:val="single"/>
                    </w:rPr>
                    <w:t>点位名称</w:t>
                  </w:r>
                </w:p>
              </w:tc>
              <w:tc>
                <w:tcPr>
                  <w:tcW w:w="3593" w:type="pct"/>
                  <w:gridSpan w:val="7"/>
                  <w:vAlign w:val="center"/>
                </w:tcPr>
                <w:p w14:paraId="68EAA76B">
                  <w:pPr>
                    <w:jc w:val="center"/>
                    <w:rPr>
                      <w:rFonts w:ascii="Times New Roman" w:hAnsi="Times New Roman" w:cs="Times New Roman"/>
                      <w:b/>
                      <w:bCs/>
                      <w:color w:val="000000" w:themeColor="text1"/>
                      <w:sz w:val="21"/>
                      <w:szCs w:val="21"/>
                      <w:u w:val="single"/>
                    </w:rPr>
                  </w:pPr>
                  <w:r>
                    <w:rPr>
                      <w:rFonts w:ascii="Times New Roman" w:hAnsi="Times New Roman" w:cs="Times New Roman"/>
                      <w:b/>
                      <w:bCs/>
                      <w:color w:val="000000" w:themeColor="text1"/>
                      <w:sz w:val="21"/>
                      <w:szCs w:val="21"/>
                      <w:u w:val="single"/>
                    </w:rPr>
                    <w:t>预测结果  单位dB（A）</w:t>
                  </w:r>
                </w:p>
              </w:tc>
            </w:tr>
            <w:tr w14:paraId="0BE0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50" w:type="pct"/>
                  <w:vMerge w:val="continue"/>
                  <w:vAlign w:val="center"/>
                </w:tcPr>
                <w:p w14:paraId="786C063D">
                  <w:pPr>
                    <w:jc w:val="center"/>
                    <w:rPr>
                      <w:rFonts w:ascii="Times New Roman" w:hAnsi="Times New Roman" w:cs="Times New Roman"/>
                      <w:b/>
                      <w:bCs/>
                      <w:color w:val="000000" w:themeColor="text1"/>
                      <w:sz w:val="21"/>
                      <w:szCs w:val="21"/>
                      <w:u w:val="single"/>
                    </w:rPr>
                  </w:pPr>
                </w:p>
              </w:tc>
              <w:tc>
                <w:tcPr>
                  <w:tcW w:w="1156" w:type="pct"/>
                  <w:vMerge w:val="continue"/>
                  <w:vAlign w:val="center"/>
                </w:tcPr>
                <w:p w14:paraId="633844CC">
                  <w:pPr>
                    <w:jc w:val="center"/>
                    <w:rPr>
                      <w:rFonts w:ascii="Times New Roman" w:hAnsi="Times New Roman" w:cs="Times New Roman"/>
                      <w:b/>
                      <w:bCs/>
                      <w:color w:val="000000" w:themeColor="text1"/>
                      <w:sz w:val="21"/>
                      <w:szCs w:val="21"/>
                      <w:u w:val="single"/>
                    </w:rPr>
                  </w:pPr>
                </w:p>
              </w:tc>
              <w:tc>
                <w:tcPr>
                  <w:tcW w:w="1254" w:type="pct"/>
                  <w:gridSpan w:val="2"/>
                  <w:tcBorders>
                    <w:right w:val="single" w:color="auto" w:sz="4" w:space="0"/>
                  </w:tcBorders>
                  <w:vAlign w:val="center"/>
                </w:tcPr>
                <w:p w14:paraId="00B44305">
                  <w:pPr>
                    <w:jc w:val="center"/>
                    <w:rPr>
                      <w:rFonts w:ascii="Times New Roman" w:hAnsi="Times New Roman" w:cs="Times New Roman"/>
                      <w:b/>
                      <w:bCs/>
                      <w:color w:val="000000" w:themeColor="text1"/>
                      <w:sz w:val="21"/>
                      <w:szCs w:val="21"/>
                      <w:u w:val="single"/>
                    </w:rPr>
                  </w:pPr>
                  <w:r>
                    <w:rPr>
                      <w:rFonts w:ascii="Times New Roman" w:hAnsi="Times New Roman" w:cs="Times New Roman"/>
                      <w:b/>
                      <w:bCs/>
                      <w:color w:val="000000" w:themeColor="text1"/>
                      <w:sz w:val="21"/>
                      <w:szCs w:val="21"/>
                      <w:u w:val="single"/>
                    </w:rPr>
                    <w:t>监测值（本项目+原有项目）</w:t>
                  </w:r>
                </w:p>
              </w:tc>
              <w:tc>
                <w:tcPr>
                  <w:tcW w:w="1064" w:type="pct"/>
                  <w:vMerge w:val="restart"/>
                  <w:tcBorders>
                    <w:top w:val="single" w:color="auto" w:sz="4" w:space="0"/>
                    <w:left w:val="single" w:color="auto" w:sz="4" w:space="0"/>
                    <w:right w:val="single" w:color="auto" w:sz="4" w:space="0"/>
                  </w:tcBorders>
                  <w:vAlign w:val="center"/>
                </w:tcPr>
                <w:p w14:paraId="1E7BC26D">
                  <w:pPr>
                    <w:jc w:val="center"/>
                    <w:rPr>
                      <w:rFonts w:ascii="Times New Roman" w:hAnsi="Times New Roman" w:cs="Times New Roman"/>
                      <w:b/>
                      <w:bCs/>
                      <w:color w:val="000000" w:themeColor="text1"/>
                      <w:sz w:val="21"/>
                      <w:szCs w:val="21"/>
                      <w:u w:val="single"/>
                    </w:rPr>
                  </w:pPr>
                  <w:r>
                    <w:rPr>
                      <w:rFonts w:hint="eastAsia" w:ascii="Times New Roman" w:hAnsi="Times New Roman" w:cs="Times New Roman"/>
                      <w:b/>
                      <w:bCs/>
                      <w:color w:val="000000" w:themeColor="text1"/>
                      <w:sz w:val="21"/>
                      <w:szCs w:val="21"/>
                      <w:u w:val="single"/>
                      <w:lang w:val="en-US"/>
                    </w:rPr>
                    <w:t>在建项目</w:t>
                  </w:r>
                  <w:r>
                    <w:rPr>
                      <w:rFonts w:ascii="Times New Roman" w:hAnsi="Times New Roman" w:cs="Times New Roman"/>
                      <w:b/>
                      <w:bCs/>
                      <w:color w:val="000000" w:themeColor="text1"/>
                      <w:sz w:val="21"/>
                      <w:szCs w:val="21"/>
                      <w:u w:val="single"/>
                    </w:rPr>
                    <w:t>贡献值</w:t>
                  </w:r>
                </w:p>
              </w:tc>
              <w:tc>
                <w:tcPr>
                  <w:tcW w:w="834" w:type="pct"/>
                  <w:gridSpan w:val="3"/>
                  <w:tcBorders>
                    <w:top w:val="single" w:color="auto" w:sz="4" w:space="0"/>
                    <w:left w:val="single" w:color="auto" w:sz="4" w:space="0"/>
                    <w:right w:val="single" w:color="auto" w:sz="4" w:space="0"/>
                  </w:tcBorders>
                  <w:vAlign w:val="center"/>
                </w:tcPr>
                <w:p w14:paraId="0CDE9E80">
                  <w:pPr>
                    <w:jc w:val="center"/>
                    <w:rPr>
                      <w:rFonts w:ascii="Times New Roman" w:hAnsi="Times New Roman" w:cs="Times New Roman"/>
                      <w:b/>
                      <w:bCs/>
                      <w:color w:val="000000" w:themeColor="text1"/>
                      <w:sz w:val="21"/>
                      <w:szCs w:val="21"/>
                      <w:u w:val="single"/>
                    </w:rPr>
                  </w:pPr>
                  <w:r>
                    <w:rPr>
                      <w:rFonts w:ascii="Times New Roman" w:hAnsi="Times New Roman" w:cs="Times New Roman"/>
                      <w:b/>
                      <w:bCs/>
                      <w:color w:val="000000" w:themeColor="text1"/>
                      <w:sz w:val="21"/>
                      <w:szCs w:val="21"/>
                      <w:u w:val="single"/>
                    </w:rPr>
                    <w:t>叠加值</w:t>
                  </w:r>
                </w:p>
              </w:tc>
              <w:tc>
                <w:tcPr>
                  <w:tcW w:w="440" w:type="pct"/>
                  <w:vMerge w:val="restart"/>
                  <w:tcBorders>
                    <w:left w:val="single" w:color="auto" w:sz="4" w:space="0"/>
                  </w:tcBorders>
                  <w:vAlign w:val="center"/>
                </w:tcPr>
                <w:p w14:paraId="53735DBE">
                  <w:pPr>
                    <w:jc w:val="center"/>
                    <w:rPr>
                      <w:rFonts w:ascii="Times New Roman" w:hAnsi="Times New Roman" w:cs="Times New Roman"/>
                      <w:b/>
                      <w:bCs/>
                      <w:color w:val="000000" w:themeColor="text1"/>
                      <w:sz w:val="21"/>
                      <w:szCs w:val="21"/>
                      <w:u w:val="single"/>
                    </w:rPr>
                  </w:pPr>
                  <w:r>
                    <w:rPr>
                      <w:rFonts w:ascii="Times New Roman" w:hAnsi="Times New Roman" w:cs="Times New Roman"/>
                      <w:b/>
                      <w:bCs/>
                      <w:color w:val="000000" w:themeColor="text1"/>
                      <w:sz w:val="21"/>
                      <w:szCs w:val="21"/>
                      <w:u w:val="single"/>
                    </w:rPr>
                    <w:t>达标情况</w:t>
                  </w:r>
                </w:p>
              </w:tc>
            </w:tr>
            <w:tr w14:paraId="7EA1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50" w:type="pct"/>
                  <w:vMerge w:val="continue"/>
                  <w:vAlign w:val="center"/>
                </w:tcPr>
                <w:p w14:paraId="2FE8CB70">
                  <w:pPr>
                    <w:jc w:val="center"/>
                    <w:rPr>
                      <w:rFonts w:hint="eastAsia"/>
                      <w:color w:val="000000" w:themeColor="text1"/>
                      <w:u w:val="single"/>
                    </w:rPr>
                  </w:pPr>
                </w:p>
              </w:tc>
              <w:tc>
                <w:tcPr>
                  <w:tcW w:w="1156" w:type="pct"/>
                  <w:vMerge w:val="continue"/>
                  <w:vAlign w:val="center"/>
                </w:tcPr>
                <w:p w14:paraId="10D16653">
                  <w:pPr>
                    <w:jc w:val="center"/>
                    <w:rPr>
                      <w:rFonts w:hint="eastAsia"/>
                      <w:color w:val="000000" w:themeColor="text1"/>
                      <w:u w:val="single"/>
                    </w:rPr>
                  </w:pPr>
                </w:p>
              </w:tc>
              <w:tc>
                <w:tcPr>
                  <w:tcW w:w="535" w:type="pct"/>
                  <w:tcBorders>
                    <w:right w:val="single" w:color="auto" w:sz="4" w:space="0"/>
                  </w:tcBorders>
                  <w:vAlign w:val="center"/>
                </w:tcPr>
                <w:p w14:paraId="4C4F4170">
                  <w:pPr>
                    <w:jc w:val="center"/>
                    <w:rPr>
                      <w:rFonts w:ascii="Times New Roman" w:hAnsi="Times New Roman" w:cs="Times New Roman"/>
                      <w:b/>
                      <w:bCs/>
                      <w:color w:val="000000" w:themeColor="text1"/>
                      <w:sz w:val="21"/>
                      <w:szCs w:val="21"/>
                      <w:u w:val="single"/>
                      <w:lang w:val="en-US"/>
                    </w:rPr>
                  </w:pPr>
                  <w:r>
                    <w:rPr>
                      <w:rFonts w:hint="eastAsia" w:ascii="Times New Roman" w:hAnsi="Times New Roman" w:cs="Times New Roman"/>
                      <w:b/>
                      <w:bCs/>
                      <w:color w:val="000000" w:themeColor="text1"/>
                      <w:sz w:val="21"/>
                      <w:szCs w:val="21"/>
                      <w:u w:val="single"/>
                      <w:lang w:val="en-US"/>
                    </w:rPr>
                    <w:t>昼间</w:t>
                  </w:r>
                </w:p>
              </w:tc>
              <w:tc>
                <w:tcPr>
                  <w:tcW w:w="718" w:type="pct"/>
                  <w:tcBorders>
                    <w:right w:val="single" w:color="auto" w:sz="4" w:space="0"/>
                  </w:tcBorders>
                  <w:vAlign w:val="center"/>
                </w:tcPr>
                <w:p w14:paraId="178E43E0">
                  <w:pPr>
                    <w:jc w:val="center"/>
                    <w:rPr>
                      <w:rFonts w:ascii="Times New Roman" w:hAnsi="Times New Roman" w:cs="Times New Roman"/>
                      <w:b/>
                      <w:bCs/>
                      <w:color w:val="000000" w:themeColor="text1"/>
                      <w:sz w:val="21"/>
                      <w:szCs w:val="21"/>
                      <w:u w:val="single"/>
                      <w:lang w:val="en-US"/>
                    </w:rPr>
                  </w:pPr>
                  <w:r>
                    <w:rPr>
                      <w:rFonts w:hint="eastAsia" w:ascii="Times New Roman" w:hAnsi="Times New Roman" w:cs="Times New Roman"/>
                      <w:b/>
                      <w:bCs/>
                      <w:color w:val="000000" w:themeColor="text1"/>
                      <w:sz w:val="21"/>
                      <w:szCs w:val="21"/>
                      <w:u w:val="single"/>
                      <w:lang w:val="en-US"/>
                    </w:rPr>
                    <w:t>夜间</w:t>
                  </w:r>
                </w:p>
              </w:tc>
              <w:tc>
                <w:tcPr>
                  <w:tcW w:w="1064" w:type="pct"/>
                  <w:vMerge w:val="continue"/>
                  <w:tcBorders>
                    <w:left w:val="single" w:color="auto" w:sz="4" w:space="0"/>
                    <w:bottom w:val="single" w:color="auto" w:sz="4" w:space="0"/>
                    <w:right w:val="single" w:color="auto" w:sz="4" w:space="0"/>
                  </w:tcBorders>
                  <w:vAlign w:val="center"/>
                </w:tcPr>
                <w:p w14:paraId="47CEA837">
                  <w:pPr>
                    <w:jc w:val="center"/>
                    <w:rPr>
                      <w:rFonts w:ascii="Times New Roman" w:hAnsi="Times New Roman" w:cs="Times New Roman"/>
                      <w:b/>
                      <w:bCs/>
                      <w:color w:val="000000" w:themeColor="text1"/>
                      <w:sz w:val="21"/>
                      <w:szCs w:val="21"/>
                      <w:u w:val="single"/>
                    </w:rPr>
                  </w:pPr>
                </w:p>
              </w:tc>
              <w:tc>
                <w:tcPr>
                  <w:tcW w:w="413" w:type="pct"/>
                  <w:tcBorders>
                    <w:left w:val="single" w:color="auto" w:sz="4" w:space="0"/>
                    <w:bottom w:val="single" w:color="auto" w:sz="4" w:space="0"/>
                    <w:right w:val="single" w:color="auto" w:sz="4" w:space="0"/>
                  </w:tcBorders>
                  <w:vAlign w:val="center"/>
                </w:tcPr>
                <w:p w14:paraId="5E181687">
                  <w:pPr>
                    <w:jc w:val="center"/>
                    <w:rPr>
                      <w:rFonts w:ascii="Times New Roman" w:hAnsi="Times New Roman" w:cs="Times New Roman"/>
                      <w:b/>
                      <w:bCs/>
                      <w:color w:val="000000" w:themeColor="text1"/>
                      <w:sz w:val="21"/>
                      <w:szCs w:val="21"/>
                      <w:u w:val="single"/>
                    </w:rPr>
                  </w:pPr>
                  <w:r>
                    <w:rPr>
                      <w:rFonts w:hint="eastAsia" w:ascii="Times New Roman" w:hAnsi="Times New Roman" w:cs="Times New Roman"/>
                      <w:b/>
                      <w:bCs/>
                      <w:color w:val="000000" w:themeColor="text1"/>
                      <w:sz w:val="21"/>
                      <w:szCs w:val="21"/>
                      <w:u w:val="single"/>
                      <w:lang w:val="en-US"/>
                    </w:rPr>
                    <w:t>昼间</w:t>
                  </w:r>
                </w:p>
              </w:tc>
              <w:tc>
                <w:tcPr>
                  <w:tcW w:w="421" w:type="pct"/>
                  <w:gridSpan w:val="2"/>
                  <w:tcBorders>
                    <w:left w:val="single" w:color="auto" w:sz="4" w:space="0"/>
                    <w:bottom w:val="single" w:color="auto" w:sz="4" w:space="0"/>
                    <w:right w:val="single" w:color="auto" w:sz="4" w:space="0"/>
                  </w:tcBorders>
                  <w:vAlign w:val="center"/>
                </w:tcPr>
                <w:p w14:paraId="5D251CFF">
                  <w:pPr>
                    <w:jc w:val="center"/>
                    <w:rPr>
                      <w:rFonts w:ascii="Times New Roman" w:hAnsi="Times New Roman" w:cs="Times New Roman"/>
                      <w:b/>
                      <w:bCs/>
                      <w:color w:val="000000" w:themeColor="text1"/>
                      <w:sz w:val="21"/>
                      <w:szCs w:val="21"/>
                      <w:u w:val="single"/>
                    </w:rPr>
                  </w:pPr>
                  <w:r>
                    <w:rPr>
                      <w:rFonts w:hint="eastAsia" w:ascii="Times New Roman" w:hAnsi="Times New Roman" w:cs="Times New Roman"/>
                      <w:b/>
                      <w:bCs/>
                      <w:color w:val="000000" w:themeColor="text1"/>
                      <w:sz w:val="21"/>
                      <w:szCs w:val="21"/>
                      <w:u w:val="single"/>
                      <w:lang w:val="en-US"/>
                    </w:rPr>
                    <w:t>夜间</w:t>
                  </w:r>
                </w:p>
              </w:tc>
              <w:tc>
                <w:tcPr>
                  <w:tcW w:w="440" w:type="pct"/>
                  <w:vMerge w:val="continue"/>
                  <w:tcBorders>
                    <w:left w:val="single" w:color="auto" w:sz="4" w:space="0"/>
                  </w:tcBorders>
                  <w:vAlign w:val="center"/>
                </w:tcPr>
                <w:p w14:paraId="73D64850">
                  <w:pPr>
                    <w:jc w:val="center"/>
                    <w:rPr>
                      <w:rFonts w:ascii="Times New Roman" w:hAnsi="Times New Roman" w:cs="Times New Roman"/>
                      <w:b/>
                      <w:bCs/>
                      <w:color w:val="000000" w:themeColor="text1"/>
                      <w:sz w:val="21"/>
                      <w:szCs w:val="21"/>
                      <w:u w:val="single"/>
                    </w:rPr>
                  </w:pPr>
                </w:p>
              </w:tc>
            </w:tr>
            <w:tr w14:paraId="561A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Align w:val="center"/>
                </w:tcPr>
                <w:p w14:paraId="042B7564">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1</w:t>
                  </w:r>
                </w:p>
              </w:tc>
              <w:tc>
                <w:tcPr>
                  <w:tcW w:w="1156" w:type="pct"/>
                  <w:vAlign w:val="center"/>
                </w:tcPr>
                <w:p w14:paraId="12433A19">
                  <w:pPr>
                    <w:widowControl/>
                    <w:autoSpaceDE/>
                    <w:autoSpaceDN/>
                    <w:adjustRightInd w:val="0"/>
                    <w:snapToGrid w:val="0"/>
                    <w:jc w:val="center"/>
                    <w:rPr>
                      <w:rFonts w:ascii="Times New Roman" w:hAnsi="Times New Roman" w:cs="Times New Roman"/>
                      <w:color w:val="000000" w:themeColor="text1"/>
                      <w:sz w:val="21"/>
                      <w:szCs w:val="21"/>
                      <w:u w:val="single"/>
                    </w:rPr>
                  </w:pPr>
                  <w:r>
                    <w:rPr>
                      <w:rFonts w:hint="eastAsia" w:ascii="Times New Roman" w:hAnsi="Times New Roman"/>
                      <w:color w:val="000000" w:themeColor="text1"/>
                      <w:sz w:val="21"/>
                      <w:szCs w:val="21"/>
                      <w:u w:val="single"/>
                      <w:lang w:val="en-US"/>
                    </w:rPr>
                    <w:t>永福镇南侧居民</w:t>
                  </w:r>
                </w:p>
              </w:tc>
              <w:tc>
                <w:tcPr>
                  <w:tcW w:w="535" w:type="pct"/>
                  <w:vAlign w:val="center"/>
                </w:tcPr>
                <w:p w14:paraId="38189079">
                  <w:pPr>
                    <w:autoSpaceDE/>
                    <w:autoSpaceDN/>
                    <w:spacing w:line="320" w:lineRule="exact"/>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kern w:val="2"/>
                      <w:sz w:val="21"/>
                      <w:szCs w:val="21"/>
                      <w:u w:val="single"/>
                      <w:lang w:val="en-US" w:bidi="ar-SA"/>
                    </w:rPr>
                    <w:t>51.4</w:t>
                  </w:r>
                </w:p>
              </w:tc>
              <w:tc>
                <w:tcPr>
                  <w:tcW w:w="718" w:type="pct"/>
                  <w:vAlign w:val="center"/>
                </w:tcPr>
                <w:p w14:paraId="216B3F0F">
                  <w:pPr>
                    <w:autoSpaceDE/>
                    <w:autoSpaceDN/>
                    <w:spacing w:line="320" w:lineRule="exact"/>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kern w:val="2"/>
                      <w:sz w:val="21"/>
                      <w:szCs w:val="21"/>
                      <w:u w:val="single"/>
                      <w:lang w:val="en-US" w:bidi="ar-SA"/>
                    </w:rPr>
                    <w:t>40.8</w:t>
                  </w:r>
                </w:p>
              </w:tc>
              <w:tc>
                <w:tcPr>
                  <w:tcW w:w="1064" w:type="pct"/>
                  <w:tcBorders>
                    <w:top w:val="single" w:color="auto" w:sz="4" w:space="0"/>
                  </w:tcBorders>
                  <w:vAlign w:val="center"/>
                </w:tcPr>
                <w:p w14:paraId="2A5EF8C5">
                  <w:pPr>
                    <w:adjustRightInd w:val="0"/>
                    <w:snapToGrid w:val="0"/>
                    <w:jc w:val="center"/>
                    <w:rPr>
                      <w:rFonts w:ascii="Times New Roman" w:hAnsi="Times New Roman" w:cs="Times New Roman"/>
                      <w:color w:val="000000" w:themeColor="text1"/>
                      <w:sz w:val="21"/>
                      <w:szCs w:val="21"/>
                      <w:u w:val="single"/>
                      <w:lang w:val="en-US"/>
                    </w:rPr>
                  </w:pPr>
                  <w:r>
                    <w:rPr>
                      <w:rFonts w:hint="eastAsia" w:ascii="Times New Roman" w:hAnsi="Times New Roman" w:cs="Times New Roman"/>
                      <w:color w:val="000000" w:themeColor="text1"/>
                      <w:sz w:val="21"/>
                      <w:szCs w:val="21"/>
                      <w:u w:val="single"/>
                      <w:lang w:val="en-US"/>
                    </w:rPr>
                    <w:t>20.60</w:t>
                  </w:r>
                </w:p>
              </w:tc>
              <w:tc>
                <w:tcPr>
                  <w:tcW w:w="417" w:type="pct"/>
                  <w:gridSpan w:val="2"/>
                  <w:tcBorders>
                    <w:top w:val="single" w:color="auto" w:sz="4" w:space="0"/>
                  </w:tcBorders>
                  <w:vAlign w:val="center"/>
                </w:tcPr>
                <w:p w14:paraId="187A5AA3">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51.4</w:t>
                  </w:r>
                </w:p>
              </w:tc>
              <w:tc>
                <w:tcPr>
                  <w:tcW w:w="417" w:type="pct"/>
                  <w:tcBorders>
                    <w:top w:val="single" w:color="auto" w:sz="4" w:space="0"/>
                  </w:tcBorders>
                  <w:vAlign w:val="center"/>
                </w:tcPr>
                <w:p w14:paraId="28F3D41E">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40.84</w:t>
                  </w:r>
                </w:p>
              </w:tc>
              <w:tc>
                <w:tcPr>
                  <w:tcW w:w="440" w:type="pct"/>
                  <w:vAlign w:val="center"/>
                </w:tcPr>
                <w:p w14:paraId="2D1D3F84">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达标</w:t>
                  </w:r>
                </w:p>
              </w:tc>
            </w:tr>
            <w:tr w14:paraId="781A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50" w:type="pct"/>
                  <w:vAlign w:val="center"/>
                </w:tcPr>
                <w:p w14:paraId="521794E9">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2</w:t>
                  </w:r>
                </w:p>
              </w:tc>
              <w:tc>
                <w:tcPr>
                  <w:tcW w:w="1156" w:type="pct"/>
                  <w:vAlign w:val="center"/>
                </w:tcPr>
                <w:p w14:paraId="6DB88436">
                  <w:pPr>
                    <w:widowControl/>
                    <w:autoSpaceDE/>
                    <w:autoSpaceDN/>
                    <w:adjustRightInd w:val="0"/>
                    <w:snapToGrid w:val="0"/>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rPr>
                    <w:t>永福镇西南侧居民</w:t>
                  </w:r>
                </w:p>
              </w:tc>
              <w:tc>
                <w:tcPr>
                  <w:tcW w:w="535" w:type="pct"/>
                  <w:vAlign w:val="center"/>
                </w:tcPr>
                <w:p w14:paraId="5AB4F617">
                  <w:pPr>
                    <w:autoSpaceDE/>
                    <w:autoSpaceDN/>
                    <w:spacing w:line="320" w:lineRule="exact"/>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kern w:val="2"/>
                      <w:sz w:val="21"/>
                      <w:szCs w:val="21"/>
                      <w:u w:val="single"/>
                      <w:lang w:val="en-US" w:bidi="ar-SA"/>
                    </w:rPr>
                    <w:t>54.6</w:t>
                  </w:r>
                </w:p>
              </w:tc>
              <w:tc>
                <w:tcPr>
                  <w:tcW w:w="718" w:type="pct"/>
                  <w:vAlign w:val="center"/>
                </w:tcPr>
                <w:p w14:paraId="6B51AE8A">
                  <w:pPr>
                    <w:autoSpaceDE/>
                    <w:autoSpaceDN/>
                    <w:spacing w:line="320" w:lineRule="exact"/>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kern w:val="2"/>
                      <w:sz w:val="21"/>
                      <w:szCs w:val="21"/>
                      <w:u w:val="single"/>
                      <w:lang w:val="en-US" w:bidi="ar-SA"/>
                    </w:rPr>
                    <w:t>42.0</w:t>
                  </w:r>
                </w:p>
              </w:tc>
              <w:tc>
                <w:tcPr>
                  <w:tcW w:w="1064" w:type="pct"/>
                  <w:vAlign w:val="center"/>
                </w:tcPr>
                <w:p w14:paraId="37A1CA56">
                  <w:pPr>
                    <w:adjustRightInd w:val="0"/>
                    <w:snapToGrid w:val="0"/>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lang w:val="en-US"/>
                    </w:rPr>
                    <w:t>20.19</w:t>
                  </w:r>
                </w:p>
              </w:tc>
              <w:tc>
                <w:tcPr>
                  <w:tcW w:w="417" w:type="pct"/>
                  <w:gridSpan w:val="2"/>
                  <w:vAlign w:val="center"/>
                </w:tcPr>
                <w:p w14:paraId="54DC15CA">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54.6</w:t>
                  </w:r>
                </w:p>
              </w:tc>
              <w:tc>
                <w:tcPr>
                  <w:tcW w:w="417" w:type="pct"/>
                  <w:vAlign w:val="center"/>
                </w:tcPr>
                <w:p w14:paraId="1A3CCA57">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42.03</w:t>
                  </w:r>
                </w:p>
              </w:tc>
              <w:tc>
                <w:tcPr>
                  <w:tcW w:w="440" w:type="pct"/>
                  <w:vAlign w:val="center"/>
                </w:tcPr>
                <w:p w14:paraId="292B2AEC">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达标</w:t>
                  </w:r>
                </w:p>
              </w:tc>
            </w:tr>
            <w:tr w14:paraId="32D9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Align w:val="center"/>
                </w:tcPr>
                <w:p w14:paraId="27C2D017">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3</w:t>
                  </w:r>
                </w:p>
              </w:tc>
              <w:tc>
                <w:tcPr>
                  <w:tcW w:w="1156" w:type="pct"/>
                  <w:vAlign w:val="center"/>
                </w:tcPr>
                <w:p w14:paraId="77B5BF1F">
                  <w:pPr>
                    <w:widowControl/>
                    <w:autoSpaceDE/>
                    <w:autoSpaceDN/>
                    <w:adjustRightInd w:val="0"/>
                    <w:snapToGrid w:val="0"/>
                    <w:jc w:val="center"/>
                    <w:rPr>
                      <w:rFonts w:ascii="Times New Roman" w:hAnsi="Times New Roman" w:cs="Times New Roman"/>
                      <w:color w:val="000000" w:themeColor="text1"/>
                      <w:sz w:val="21"/>
                      <w:szCs w:val="21"/>
                      <w:u w:val="single"/>
                    </w:rPr>
                  </w:pPr>
                  <w:r>
                    <w:rPr>
                      <w:rFonts w:hint="eastAsia" w:ascii="Times New Roman" w:hAnsi="Times New Roman"/>
                      <w:color w:val="000000" w:themeColor="text1"/>
                      <w:sz w:val="21"/>
                      <w:szCs w:val="21"/>
                      <w:u w:val="single"/>
                      <w:lang w:val="en-US"/>
                    </w:rPr>
                    <w:t>永福县人民医院急诊医技楼</w:t>
                  </w:r>
                </w:p>
              </w:tc>
              <w:tc>
                <w:tcPr>
                  <w:tcW w:w="535" w:type="pct"/>
                  <w:vAlign w:val="center"/>
                </w:tcPr>
                <w:p w14:paraId="1271EE04">
                  <w:pPr>
                    <w:autoSpaceDE/>
                    <w:autoSpaceDN/>
                    <w:spacing w:line="320" w:lineRule="exact"/>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kern w:val="2"/>
                      <w:sz w:val="21"/>
                      <w:szCs w:val="21"/>
                      <w:u w:val="single"/>
                      <w:lang w:val="en-US" w:bidi="ar-SA"/>
                    </w:rPr>
                    <w:t>51.4</w:t>
                  </w:r>
                </w:p>
              </w:tc>
              <w:tc>
                <w:tcPr>
                  <w:tcW w:w="718" w:type="pct"/>
                  <w:vAlign w:val="center"/>
                </w:tcPr>
                <w:p w14:paraId="37C4DCB4">
                  <w:pPr>
                    <w:autoSpaceDE/>
                    <w:autoSpaceDN/>
                    <w:spacing w:line="320" w:lineRule="exact"/>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kern w:val="2"/>
                      <w:sz w:val="21"/>
                      <w:szCs w:val="21"/>
                      <w:u w:val="single"/>
                      <w:lang w:val="en-US" w:bidi="ar-SA"/>
                    </w:rPr>
                    <w:t>41.4</w:t>
                  </w:r>
                </w:p>
              </w:tc>
              <w:tc>
                <w:tcPr>
                  <w:tcW w:w="1064" w:type="pct"/>
                  <w:vAlign w:val="center"/>
                </w:tcPr>
                <w:p w14:paraId="1653C9A6">
                  <w:pPr>
                    <w:adjustRightInd w:val="0"/>
                    <w:snapToGrid w:val="0"/>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lang w:val="en-US"/>
                    </w:rPr>
                    <w:t>28.35</w:t>
                  </w:r>
                </w:p>
              </w:tc>
              <w:tc>
                <w:tcPr>
                  <w:tcW w:w="417" w:type="pct"/>
                  <w:gridSpan w:val="2"/>
                  <w:vAlign w:val="center"/>
                </w:tcPr>
                <w:p w14:paraId="276B9A22">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51.42</w:t>
                  </w:r>
                </w:p>
              </w:tc>
              <w:tc>
                <w:tcPr>
                  <w:tcW w:w="417" w:type="pct"/>
                  <w:vAlign w:val="center"/>
                </w:tcPr>
                <w:p w14:paraId="6604C000">
                  <w:pPr>
                    <w:adjustRightInd w:val="0"/>
                    <w:snapToGrid w:val="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41.61</w:t>
                  </w:r>
                </w:p>
              </w:tc>
              <w:tc>
                <w:tcPr>
                  <w:tcW w:w="440" w:type="pct"/>
                  <w:vAlign w:val="center"/>
                </w:tcPr>
                <w:p w14:paraId="5F469BEF">
                  <w:pPr>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达标</w:t>
                  </w:r>
                </w:p>
              </w:tc>
            </w:tr>
            <w:tr w14:paraId="174B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5000" w:type="pct"/>
                  <w:gridSpan w:val="9"/>
                  <w:vAlign w:val="center"/>
                </w:tcPr>
                <w:p w14:paraId="4DF3A69F">
                  <w:pPr>
                    <w:jc w:val="center"/>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kern w:val="2"/>
                      <w:sz w:val="21"/>
                      <w:szCs w:val="21"/>
                      <w:u w:val="single"/>
                      <w:lang w:val="en-US" w:bidi="ar-SA"/>
                    </w:rPr>
                    <w:t>备注：根据附件7监测报告得知，项目永福镇南侧、西南侧居民、永福县人民医院急诊医技楼夜间最大声级分别是59.0dB(A)、64.2dB(A)、54.8dB(A)，经与在建项目贡献值叠加，预测值分别是59.0dB(A)、64.2dB(A)、54.81dB(A)，满足《声环境质量标准》（GB3096-2008）5.4各类声环境功能区夜间突发噪声，其最大声级超过环境噪声限值的幅度不得高于15dB(A)。</w:t>
                  </w:r>
                </w:p>
              </w:tc>
            </w:tr>
          </w:tbl>
          <w:p w14:paraId="58D4F68E">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由上表预测可知，通过采取措施及墙体阻隔、距离衰减后，项目北侧永福县人民医院急诊医技楼噪声预测值</w:t>
            </w:r>
            <w:r>
              <w:rPr>
                <w:rFonts w:ascii="Times New Roman" w:hAnsi="Times New Roman" w:cs="Times New Roman"/>
                <w:color w:val="000000" w:themeColor="text1"/>
                <w:kern w:val="2"/>
                <w:sz w:val="24"/>
                <w:szCs w:val="20"/>
                <w:lang w:val="en-US" w:bidi="ar-SA"/>
              </w:rPr>
              <w:t>满足《声环境质量标准》（GB3096-2008）1类标准限值要求</w:t>
            </w:r>
            <w:r>
              <w:rPr>
                <w:rFonts w:hint="eastAsia" w:ascii="Times New Roman" w:hAnsi="Times New Roman" w:cs="Times New Roman"/>
                <w:color w:val="000000" w:themeColor="text1"/>
                <w:kern w:val="2"/>
                <w:sz w:val="24"/>
                <w:szCs w:val="20"/>
                <w:lang w:val="en-US" w:bidi="ar-SA"/>
              </w:rPr>
              <w:t>，项目南侧、西南侧永福镇居民</w:t>
            </w:r>
            <w:r>
              <w:rPr>
                <w:rFonts w:hint="eastAsia" w:ascii="Times New Roman" w:hAnsi="Times New Roman" w:cs="Times New Roman"/>
                <w:color w:val="000000" w:themeColor="text1"/>
                <w:kern w:val="2"/>
                <w:sz w:val="24"/>
                <w:szCs w:val="24"/>
                <w:lang w:val="en-US" w:bidi="ar-SA"/>
              </w:rPr>
              <w:t>预测值</w:t>
            </w:r>
            <w:r>
              <w:rPr>
                <w:rFonts w:ascii="Times New Roman" w:hAnsi="Times New Roman" w:cs="Times New Roman"/>
                <w:color w:val="000000" w:themeColor="text1"/>
                <w:kern w:val="2"/>
                <w:sz w:val="24"/>
                <w:szCs w:val="20"/>
                <w:lang w:val="en-US" w:bidi="ar-SA"/>
              </w:rPr>
              <w:t>满足《声环境质量标准》（GB3096-2008）</w:t>
            </w:r>
            <w:r>
              <w:rPr>
                <w:rFonts w:hint="eastAsia" w:ascii="Times New Roman" w:hAnsi="Times New Roman" w:cs="Times New Roman"/>
                <w:color w:val="000000" w:themeColor="text1"/>
                <w:kern w:val="2"/>
                <w:sz w:val="24"/>
                <w:szCs w:val="20"/>
                <w:lang w:val="en-US" w:bidi="ar-SA"/>
              </w:rPr>
              <w:t>2</w:t>
            </w:r>
            <w:r>
              <w:rPr>
                <w:rFonts w:ascii="Times New Roman" w:hAnsi="Times New Roman" w:cs="Times New Roman"/>
                <w:color w:val="000000" w:themeColor="text1"/>
                <w:kern w:val="2"/>
                <w:sz w:val="24"/>
                <w:szCs w:val="20"/>
                <w:lang w:val="en-US" w:bidi="ar-SA"/>
              </w:rPr>
              <w:t>类标准限值要求</w:t>
            </w:r>
            <w:r>
              <w:rPr>
                <w:rFonts w:hint="eastAsia" w:ascii="Times New Roman" w:hAnsi="Times New Roman" w:cs="Times New Roman"/>
                <w:color w:val="000000" w:themeColor="text1"/>
                <w:kern w:val="2"/>
                <w:sz w:val="24"/>
                <w:szCs w:val="20"/>
                <w:lang w:val="en-US" w:bidi="ar-SA"/>
              </w:rPr>
              <w:t>，</w:t>
            </w:r>
            <w:r>
              <w:rPr>
                <w:rFonts w:hint="eastAsia" w:ascii="Times New Roman" w:hAnsi="Times New Roman" w:cs="Times New Roman"/>
                <w:color w:val="000000" w:themeColor="text1"/>
                <w:kern w:val="2"/>
                <w:sz w:val="24"/>
                <w:szCs w:val="24"/>
                <w:lang w:val="en-US" w:bidi="ar-SA"/>
              </w:rPr>
              <w:t>不改变周边声环境质量，项目运营期产生的噪声对周围声环境影响较小。</w:t>
            </w:r>
          </w:p>
          <w:p w14:paraId="7D03966D">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（4）外环境对本项目的声环境影响分析</w:t>
            </w:r>
          </w:p>
          <w:p w14:paraId="0DAEC292">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项目建成后本身即成为环境保护目标，因此，在该项目建设时需考虑外环境对本项目的影响。根据《声环境质量标准》（GB3096-2008），本项目属于“医疗卫生”范畴，为需保持安静的区域，应执行《声环境质量标准》（GB3096-2008）1类标准限值；根据片区的现状及规划，本项目位于永福县永福镇迎宾路132号永福县人民医院内，区域内未有大型工业企业等污染源，项目周边为永福县人民医院内部业务用房、永福镇居民，对本项目的声环境影响较小。项目周边主要噪声污染源为西侧道路来往汽车产生的交通噪声，为了给病人提供一个良好的医疗环境，医院朝西一侧的门窗均选用隔声性能好的铝合金或双层门窗结构，以进一步降低噪声对项目的影响，确保声环境可达到《声环境质量标准》（GB3096-2008）1类标准限值，噪声对本项目影响较小。</w:t>
            </w:r>
          </w:p>
          <w:p w14:paraId="046B0EF8">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综上所述，项目营运期排放的噪声经采取有效的治理措施后，不会对外环境造成明显影响，且外环境对本项目影响较小。</w:t>
            </w:r>
          </w:p>
          <w:p w14:paraId="1A29EEDA">
            <w:pPr>
              <w:spacing w:line="360" w:lineRule="auto"/>
              <w:ind w:firstLine="482" w:firstLineChars="200"/>
              <w:rPr>
                <w:rFonts w:ascii="Times New Roman" w:hAnsi="Times New Roman" w:cs="Times New Roman" w:eastAsiaTheme="minorEastAsia"/>
                <w:color w:val="000000" w:themeColor="text1"/>
                <w:sz w:val="24"/>
              </w:rPr>
            </w:pPr>
            <w:r>
              <w:rPr>
                <w:rFonts w:ascii="Times New Roman" w:hAnsi="Times New Roman" w:cs="Times New Roman" w:eastAsiaTheme="minorEastAsia"/>
                <w:b/>
                <w:bCs/>
                <w:color w:val="000000" w:themeColor="text1"/>
                <w:sz w:val="24"/>
              </w:rPr>
              <w:t>4、固废</w:t>
            </w:r>
          </w:p>
          <w:p w14:paraId="55BCE1DC">
            <w:pPr>
              <w:autoSpaceDE/>
              <w:autoSpaceDN/>
              <w:spacing w:line="360" w:lineRule="auto"/>
              <w:ind w:firstLine="480" w:firstLineChars="200"/>
              <w:jc w:val="both"/>
              <w:rPr>
                <w:rFonts w:ascii="Times New Roman" w:hAnsi="Times New Roman" w:cs="Times New Roman" w:eastAsiaTheme="minorEastAsia"/>
                <w:color w:val="000000" w:themeColor="text1"/>
                <w:kern w:val="2"/>
                <w:sz w:val="24"/>
                <w:szCs w:val="24"/>
                <w:lang w:val="en-US" w:bidi="ar-SA"/>
              </w:rPr>
            </w:pPr>
            <w:r>
              <w:rPr>
                <w:rFonts w:ascii="Times New Roman" w:hAnsi="Times New Roman" w:cs="Times New Roman" w:eastAsiaTheme="minorEastAsia"/>
                <w:color w:val="000000" w:themeColor="text1"/>
                <w:kern w:val="2"/>
                <w:sz w:val="24"/>
                <w:szCs w:val="24"/>
                <w:lang w:val="en-US" w:bidi="ar-SA"/>
              </w:rPr>
              <w:t>本项目产生的固体废物主要为生活垃圾、医疗废物、污泥</w:t>
            </w:r>
            <w:r>
              <w:rPr>
                <w:rFonts w:hint="eastAsia" w:ascii="Times New Roman" w:hAnsi="Times New Roman" w:cs="Times New Roman"/>
                <w:color w:val="000000" w:themeColor="text1"/>
                <w:sz w:val="24"/>
                <w:szCs w:val="24"/>
                <w:lang w:val="en-US"/>
              </w:rPr>
              <w:t>及格栅渣</w:t>
            </w:r>
            <w:r>
              <w:rPr>
                <w:rFonts w:hint="eastAsia" w:ascii="Times New Roman" w:hAnsi="Times New Roman" w:cs="Times New Roman" w:eastAsiaTheme="minorEastAsia"/>
                <w:color w:val="000000" w:themeColor="text1"/>
                <w:kern w:val="2"/>
                <w:sz w:val="24"/>
                <w:szCs w:val="24"/>
                <w:lang w:val="en-US" w:bidi="ar-SA"/>
              </w:rPr>
              <w:t>、输液瓶</w:t>
            </w:r>
            <w:r>
              <w:rPr>
                <w:rFonts w:ascii="Times New Roman" w:hAnsi="Times New Roman" w:cs="Times New Roman" w:eastAsiaTheme="minorEastAsia"/>
                <w:color w:val="000000" w:themeColor="text1"/>
                <w:kern w:val="2"/>
                <w:sz w:val="24"/>
                <w:szCs w:val="24"/>
                <w:lang w:val="en-US" w:bidi="ar-SA"/>
              </w:rPr>
              <w:t>。</w:t>
            </w:r>
          </w:p>
          <w:p w14:paraId="4A318565">
            <w:pPr>
              <w:autoSpaceDE/>
              <w:autoSpaceDN/>
              <w:spacing w:line="360" w:lineRule="auto"/>
              <w:ind w:firstLine="480" w:firstLineChars="200"/>
              <w:jc w:val="both"/>
              <w:rPr>
                <w:rFonts w:ascii="Times New Roman" w:hAnsi="Times New Roman" w:cs="Times New Roman" w:eastAsiaTheme="minorEastAsia"/>
                <w:color w:val="000000" w:themeColor="text1"/>
                <w:kern w:val="2"/>
                <w:sz w:val="24"/>
                <w:szCs w:val="24"/>
                <w:lang w:val="en-US" w:bidi="ar-SA"/>
              </w:rPr>
            </w:pPr>
            <w:r>
              <w:rPr>
                <w:rFonts w:hint="eastAsia" w:eastAsiaTheme="minorEastAsia"/>
                <w:color w:val="000000" w:themeColor="text1"/>
                <w:kern w:val="2"/>
                <w:sz w:val="24"/>
                <w:szCs w:val="24"/>
                <w:lang w:val="en-US" w:bidi="ar-SA"/>
              </w:rPr>
              <w:t>（1）</w:t>
            </w:r>
            <w:r>
              <w:rPr>
                <w:rFonts w:ascii="Times New Roman" w:hAnsi="Times New Roman" w:cs="Times New Roman" w:eastAsiaTheme="minorEastAsia"/>
                <w:color w:val="000000" w:themeColor="text1"/>
                <w:kern w:val="2"/>
                <w:sz w:val="24"/>
                <w:szCs w:val="24"/>
                <w:lang w:val="en-US" w:bidi="ar-SA"/>
              </w:rPr>
              <w:t>源强</w:t>
            </w:r>
          </w:p>
          <w:p w14:paraId="68D750AD">
            <w:pPr>
              <w:autoSpaceDE/>
              <w:autoSpaceDN/>
              <w:spacing w:line="360" w:lineRule="auto"/>
              <w:ind w:firstLine="470" w:firstLineChars="196"/>
              <w:jc w:val="both"/>
              <w:rPr>
                <w:rFonts w:ascii="Times New Roman" w:hAnsi="Times New Roman" w:cs="Times New Roman" w:eastAsiaTheme="minorEastAsia"/>
                <w:color w:val="000000" w:themeColor="text1"/>
                <w:kern w:val="2"/>
                <w:sz w:val="24"/>
                <w:szCs w:val="24"/>
                <w:lang w:val="en-US" w:bidi="ar-SA"/>
              </w:rPr>
            </w:pPr>
            <w:r>
              <w:rPr>
                <w:rFonts w:ascii="Times New Roman" w:hAnsi="Times New Roman" w:cs="Times New Roman" w:eastAsiaTheme="minorEastAsia"/>
                <w:color w:val="000000" w:themeColor="text1"/>
                <w:kern w:val="2"/>
                <w:sz w:val="24"/>
                <w:szCs w:val="24"/>
                <w:lang w:val="en-US" w:bidi="ar-SA"/>
              </w:rPr>
              <w:t>1）生活垃圾</w:t>
            </w:r>
          </w:p>
          <w:p w14:paraId="273EE6A6">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项目职工为内部调配，无新增职工，无职工新增生活垃圾，生活垃圾</w:t>
            </w:r>
            <w:r>
              <w:rPr>
                <w:rFonts w:ascii="Times New Roman" w:hAnsi="Times New Roman" w:cs="Times New Roman"/>
                <w:color w:val="000000" w:themeColor="text1"/>
                <w:kern w:val="2"/>
                <w:sz w:val="24"/>
                <w:szCs w:val="24"/>
                <w:lang w:val="en-US" w:bidi="ar-SA"/>
              </w:rPr>
              <w:t>主要由</w:t>
            </w:r>
            <w:r>
              <w:rPr>
                <w:rFonts w:hint="eastAsia" w:ascii="Times New Roman" w:hAnsi="Times New Roman" w:cs="Times New Roman"/>
                <w:color w:val="000000" w:themeColor="text1"/>
                <w:kern w:val="2"/>
                <w:sz w:val="24"/>
                <w:szCs w:val="24"/>
                <w:lang w:val="en-US" w:bidi="ar-SA"/>
              </w:rPr>
              <w:t>新增</w:t>
            </w:r>
            <w:r>
              <w:rPr>
                <w:rFonts w:ascii="Times New Roman" w:hAnsi="Times New Roman" w:cs="Times New Roman"/>
                <w:color w:val="000000" w:themeColor="text1"/>
                <w:kern w:val="2"/>
                <w:sz w:val="24"/>
                <w:szCs w:val="24"/>
                <w:lang w:val="en-US" w:bidi="ar-SA"/>
              </w:rPr>
              <w:t>就诊病人与住院病人产生。</w:t>
            </w:r>
          </w:p>
          <w:p w14:paraId="33233410">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①门</w:t>
            </w:r>
            <w:r>
              <w:rPr>
                <w:rFonts w:ascii="Times New Roman" w:hAnsi="Times New Roman" w:cs="Times New Roman"/>
                <w:color w:val="000000" w:themeColor="text1"/>
                <w:kern w:val="2"/>
                <w:sz w:val="24"/>
                <w:szCs w:val="24"/>
                <w:lang w:val="en-US" w:bidi="ar-SA"/>
              </w:rPr>
              <w:t>诊病人生活垃圾：本项目每天</w:t>
            </w:r>
            <w:r>
              <w:rPr>
                <w:rFonts w:hint="eastAsia" w:ascii="Times New Roman" w:hAnsi="Times New Roman" w:cs="Times New Roman"/>
                <w:color w:val="000000" w:themeColor="text1"/>
                <w:kern w:val="2"/>
                <w:sz w:val="24"/>
                <w:szCs w:val="24"/>
                <w:lang w:val="en-US" w:bidi="ar-SA"/>
              </w:rPr>
              <w:t>新增门</w:t>
            </w:r>
            <w:r>
              <w:rPr>
                <w:rFonts w:ascii="Times New Roman" w:hAnsi="Times New Roman" w:cs="Times New Roman"/>
                <w:color w:val="000000" w:themeColor="text1"/>
                <w:kern w:val="2"/>
                <w:sz w:val="24"/>
                <w:szCs w:val="24"/>
                <w:lang w:val="en-US" w:bidi="ar-SA"/>
              </w:rPr>
              <w:t>诊人数为</w:t>
            </w:r>
            <w:r>
              <w:rPr>
                <w:rFonts w:hint="eastAsia" w:ascii="Times New Roman" w:hAnsi="Times New Roman" w:cs="Times New Roman"/>
                <w:color w:val="000000" w:themeColor="text1"/>
                <w:kern w:val="2"/>
                <w:sz w:val="24"/>
                <w:szCs w:val="24"/>
                <w:lang w:val="en-US" w:bidi="ar-SA"/>
              </w:rPr>
              <w:t>101</w:t>
            </w:r>
            <w:r>
              <w:rPr>
                <w:rFonts w:ascii="Times New Roman" w:hAnsi="Times New Roman" w:cs="Times New Roman"/>
                <w:color w:val="000000" w:themeColor="text1"/>
                <w:kern w:val="2"/>
                <w:sz w:val="24"/>
                <w:szCs w:val="24"/>
                <w:lang w:val="en-US" w:bidi="ar-SA"/>
              </w:rPr>
              <w:t>人，按每人每天产生生活垃圾0.1kg计算，年运营天数为365天，则就诊病人生活垃圾产生量约为</w:t>
            </w:r>
            <w:r>
              <w:rPr>
                <w:rFonts w:hint="eastAsia" w:ascii="Times New Roman" w:hAnsi="Times New Roman" w:cs="Times New Roman"/>
                <w:color w:val="000000" w:themeColor="text1"/>
                <w:kern w:val="2"/>
                <w:sz w:val="24"/>
                <w:szCs w:val="24"/>
                <w:lang w:val="en-US" w:bidi="ar-SA"/>
              </w:rPr>
              <w:t>0.010t</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3.687</w:t>
            </w:r>
            <w:r>
              <w:rPr>
                <w:rFonts w:ascii="Times New Roman" w:hAnsi="Times New Roman" w:cs="Times New Roman"/>
                <w:color w:val="000000" w:themeColor="text1"/>
                <w:kern w:val="2"/>
                <w:sz w:val="24"/>
                <w:szCs w:val="24"/>
                <w:lang w:val="en-US" w:bidi="ar-SA"/>
              </w:rPr>
              <w:t>t/a）。</w:t>
            </w:r>
          </w:p>
          <w:p w14:paraId="689127C5">
            <w:pPr>
              <w:autoSpaceDE/>
              <w:autoSpaceDN/>
              <w:spacing w:line="360" w:lineRule="auto"/>
              <w:ind w:firstLine="480"/>
              <w:jc w:val="both"/>
              <w:rPr>
                <w:rFonts w:ascii="Times New Roman" w:hAnsi="Times New Roman" w:cs="Times New Roman" w:eastAsiaTheme="minorEastAsia"/>
                <w:color w:val="000000" w:themeColor="text1"/>
                <w:kern w:val="2"/>
                <w:sz w:val="24"/>
                <w:szCs w:val="24"/>
                <w:lang w:val="en-US" w:bidi="ar-SA"/>
              </w:rPr>
            </w:pPr>
            <w:r>
              <w:rPr>
                <w:rFonts w:hint="eastAsia"/>
                <w:color w:val="000000" w:themeColor="text1"/>
                <w:kern w:val="2"/>
                <w:sz w:val="24"/>
                <w:szCs w:val="24"/>
                <w:lang w:val="en-US" w:bidi="ar-SA"/>
              </w:rPr>
              <w:t>②</w:t>
            </w:r>
            <w:r>
              <w:rPr>
                <w:rFonts w:ascii="Times New Roman" w:hAnsi="Times New Roman" w:cs="Times New Roman" w:eastAsiaTheme="minorEastAsia"/>
                <w:color w:val="000000" w:themeColor="text1"/>
                <w:kern w:val="2"/>
                <w:sz w:val="24"/>
                <w:szCs w:val="24"/>
                <w:lang w:val="en-US" w:bidi="ar-SA"/>
              </w:rPr>
              <w:t>住院病人生活垃圾：本项目</w:t>
            </w:r>
            <w:r>
              <w:rPr>
                <w:rFonts w:hint="eastAsia" w:ascii="Times New Roman" w:hAnsi="Times New Roman" w:cs="Times New Roman" w:eastAsiaTheme="minorEastAsia"/>
                <w:color w:val="000000" w:themeColor="text1"/>
                <w:kern w:val="2"/>
                <w:sz w:val="24"/>
                <w:szCs w:val="24"/>
                <w:lang w:val="en-US" w:bidi="ar-SA"/>
              </w:rPr>
              <w:t>新增204</w:t>
            </w:r>
            <w:r>
              <w:rPr>
                <w:rFonts w:ascii="Times New Roman" w:hAnsi="Times New Roman" w:cs="Times New Roman" w:eastAsiaTheme="minorEastAsia"/>
                <w:color w:val="000000" w:themeColor="text1"/>
                <w:kern w:val="2"/>
                <w:sz w:val="24"/>
                <w:szCs w:val="24"/>
                <w:lang w:val="en-US" w:bidi="ar-SA"/>
              </w:rPr>
              <w:t>张床位，按每床每天产生生活垃圾</w:t>
            </w:r>
            <w:r>
              <w:rPr>
                <w:rFonts w:hint="eastAsia" w:ascii="Times New Roman" w:hAnsi="Times New Roman" w:cs="Times New Roman" w:eastAsiaTheme="minorEastAsia"/>
                <w:color w:val="000000" w:themeColor="text1"/>
                <w:kern w:val="2"/>
                <w:sz w:val="24"/>
                <w:szCs w:val="24"/>
                <w:lang w:val="en-US" w:bidi="ar-SA"/>
              </w:rPr>
              <w:t>1</w:t>
            </w:r>
            <w:r>
              <w:rPr>
                <w:rFonts w:ascii="Times New Roman" w:hAnsi="Times New Roman" w:cs="Times New Roman" w:eastAsiaTheme="minorEastAsia"/>
                <w:color w:val="000000" w:themeColor="text1"/>
                <w:kern w:val="2"/>
                <w:sz w:val="24"/>
                <w:szCs w:val="24"/>
                <w:lang w:val="en-US" w:bidi="ar-SA"/>
              </w:rPr>
              <w:t>kg计算，年营运天数为365天，则住院病人生活垃圾产生量约为</w:t>
            </w:r>
            <w:r>
              <w:rPr>
                <w:rFonts w:hint="eastAsia" w:ascii="Times New Roman" w:hAnsi="Times New Roman" w:cs="Times New Roman" w:eastAsiaTheme="minorEastAsia"/>
                <w:color w:val="000000" w:themeColor="text1"/>
                <w:kern w:val="2"/>
                <w:sz w:val="24"/>
                <w:szCs w:val="24"/>
                <w:lang w:val="en-US" w:bidi="ar-SA"/>
              </w:rPr>
              <w:t>74.46</w:t>
            </w:r>
            <w:r>
              <w:rPr>
                <w:rFonts w:ascii="Times New Roman" w:hAnsi="Times New Roman" w:cs="Times New Roman" w:eastAsiaTheme="minorEastAsia"/>
                <w:color w:val="000000" w:themeColor="text1"/>
                <w:kern w:val="2"/>
                <w:sz w:val="24"/>
                <w:szCs w:val="24"/>
                <w:lang w:val="en-US" w:bidi="ar-SA"/>
              </w:rPr>
              <w:t>t/a。</w:t>
            </w:r>
          </w:p>
          <w:p w14:paraId="23AFA83B">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因此，本项目共计产生的生活垃圾为</w:t>
            </w:r>
            <w:r>
              <w:rPr>
                <w:rFonts w:hint="eastAsia" w:ascii="Times New Roman" w:hAnsi="Times New Roman" w:cs="Times New Roman"/>
                <w:color w:val="000000" w:themeColor="text1"/>
                <w:kern w:val="2"/>
                <w:sz w:val="24"/>
                <w:szCs w:val="24"/>
                <w:lang w:val="en-US" w:bidi="ar-SA"/>
              </w:rPr>
              <w:t>0.214t</w:t>
            </w:r>
            <w:r>
              <w:rPr>
                <w:rFonts w:ascii="Times New Roman" w:hAnsi="Times New Roman" w:cs="Times New Roman"/>
                <w:color w:val="000000" w:themeColor="text1"/>
                <w:kern w:val="2"/>
                <w:sz w:val="24"/>
                <w:szCs w:val="24"/>
                <w:lang w:val="en-US" w:bidi="ar-SA"/>
              </w:rPr>
              <w:t>/d（</w:t>
            </w:r>
            <w:r>
              <w:rPr>
                <w:rFonts w:hint="eastAsia" w:ascii="Times New Roman" w:hAnsi="Times New Roman" w:cs="Times New Roman"/>
                <w:color w:val="000000" w:themeColor="text1"/>
                <w:kern w:val="2"/>
                <w:sz w:val="24"/>
                <w:szCs w:val="24"/>
                <w:lang w:val="en-US" w:bidi="ar-SA"/>
              </w:rPr>
              <w:t>78.147</w:t>
            </w:r>
            <w:r>
              <w:rPr>
                <w:rFonts w:ascii="Times New Roman" w:hAnsi="Times New Roman" w:cs="Times New Roman"/>
                <w:color w:val="000000" w:themeColor="text1"/>
                <w:kern w:val="2"/>
                <w:sz w:val="24"/>
                <w:szCs w:val="24"/>
                <w:lang w:val="en-US" w:bidi="ar-SA"/>
              </w:rPr>
              <w:t>t/a）。</w:t>
            </w:r>
          </w:p>
          <w:p w14:paraId="24D595FC">
            <w:pPr>
              <w:autoSpaceDE/>
              <w:autoSpaceDN/>
              <w:spacing w:line="360" w:lineRule="auto"/>
              <w:ind w:firstLine="480"/>
              <w:jc w:val="both"/>
              <w:rPr>
                <w:rFonts w:ascii="Times New Roman" w:hAnsi="Times New Roman" w:cs="Times New Roman" w:eastAsiaTheme="minorEastAsia"/>
                <w:color w:val="000000" w:themeColor="text1"/>
                <w:kern w:val="2"/>
                <w:sz w:val="24"/>
                <w:szCs w:val="24"/>
                <w:lang w:val="en-US" w:bidi="ar-SA"/>
              </w:rPr>
            </w:pPr>
            <w:r>
              <w:rPr>
                <w:rFonts w:hint="eastAsia" w:ascii="Times New Roman" w:hAnsi="Times New Roman" w:cs="Times New Roman" w:eastAsiaTheme="minorEastAsia"/>
                <w:color w:val="000000" w:themeColor="text1"/>
                <w:kern w:val="2"/>
                <w:sz w:val="24"/>
                <w:szCs w:val="24"/>
                <w:lang w:val="en-US" w:bidi="ar-SA"/>
              </w:rPr>
              <w:t>2</w:t>
            </w:r>
            <w:r>
              <w:rPr>
                <w:rFonts w:ascii="Times New Roman" w:hAnsi="Times New Roman" w:cs="Times New Roman" w:eastAsiaTheme="minorEastAsia"/>
                <w:color w:val="000000" w:themeColor="text1"/>
                <w:kern w:val="2"/>
                <w:sz w:val="24"/>
                <w:szCs w:val="24"/>
                <w:lang w:val="en-US" w:bidi="ar-SA"/>
              </w:rPr>
              <w:t>）医疗废物</w:t>
            </w:r>
          </w:p>
          <w:p w14:paraId="30E7A104">
            <w:pPr>
              <w:autoSpaceDE/>
              <w:autoSpaceDN/>
              <w:spacing w:line="360" w:lineRule="auto"/>
              <w:ind w:firstLine="465"/>
              <w:jc w:val="both"/>
              <w:rPr>
                <w:rFonts w:ascii="Times New Roman" w:hAnsi="Times New Roman" w:cs="Times New Roman" w:eastAsiaTheme="minorEastAsia"/>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医疗废物是指医疗卫生机构在医疗、预防、保健以及其他相关活动中产生的具有直接的或间接感染性、毒性以及其他危害性废物。主要来源于包扎残余物、废弃的医疗材料，根据《国家危险废物名录（</w:t>
            </w:r>
            <w:r>
              <w:rPr>
                <w:rFonts w:ascii="Times New Roman" w:hAnsi="Times New Roman" w:cs="Times New Roman"/>
                <w:color w:val="000000" w:themeColor="text1"/>
                <w:kern w:val="2"/>
                <w:sz w:val="24"/>
                <w:szCs w:val="24"/>
                <w:lang w:val="en-US" w:bidi="ar-SA"/>
              </w:rPr>
              <w:t>202</w:t>
            </w:r>
            <w:r>
              <w:rPr>
                <w:rFonts w:hint="eastAsia" w:ascii="Times New Roman" w:hAnsi="Times New Roman" w:cs="Times New Roman"/>
                <w:color w:val="000000" w:themeColor="text1"/>
                <w:kern w:val="2"/>
                <w:sz w:val="24"/>
                <w:szCs w:val="24"/>
                <w:lang w:val="en-US" w:bidi="ar-SA"/>
              </w:rPr>
              <w:t>5</w:t>
            </w:r>
            <w:r>
              <w:rPr>
                <w:rFonts w:ascii="Times New Roman" w:hAnsi="Times New Roman" w:cs="Times New Roman"/>
                <w:color w:val="000000" w:themeColor="text1"/>
                <w:kern w:val="2"/>
                <w:sz w:val="24"/>
                <w:szCs w:val="24"/>
                <w:lang w:val="en-US" w:bidi="ar-SA"/>
              </w:rPr>
              <w:t>年版）》，项目医疗废物属于危险废物，编号为HW01。</w:t>
            </w:r>
          </w:p>
          <w:p w14:paraId="4118E055">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olor w:val="000000" w:themeColor="text1"/>
                <w:kern w:val="2"/>
                <w:sz w:val="24"/>
                <w:szCs w:val="24"/>
                <w:lang w:val="en-US" w:bidi="ar-SA"/>
              </w:rPr>
              <w:t>①</w:t>
            </w:r>
            <w:r>
              <w:rPr>
                <w:rFonts w:ascii="Times New Roman" w:hAnsi="Times New Roman" w:cs="Times New Roman"/>
                <w:color w:val="000000" w:themeColor="text1"/>
                <w:kern w:val="2"/>
                <w:sz w:val="24"/>
                <w:szCs w:val="24"/>
                <w:lang w:val="en-US" w:bidi="ar-SA"/>
              </w:rPr>
              <w:t>病床的医疗废物产生量：</w:t>
            </w:r>
          </w:p>
          <w:p w14:paraId="7262FA76">
            <w:pPr>
              <w:autoSpaceDE/>
              <w:autoSpaceDN/>
              <w:spacing w:line="360" w:lineRule="auto"/>
              <w:ind w:firstLine="465"/>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计算公式 GW=Gj×N×365÷1000</w:t>
            </w:r>
          </w:p>
          <w:p w14:paraId="5A2F7C0C">
            <w:pPr>
              <w:autoSpaceDE/>
              <w:autoSpaceDN/>
              <w:spacing w:line="360" w:lineRule="auto"/>
              <w:ind w:firstLine="465"/>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 xml:space="preserve">  GW—年医疗废物产生量，单位：吨/年；</w:t>
            </w:r>
          </w:p>
          <w:p w14:paraId="6AB6C9E0">
            <w:pPr>
              <w:autoSpaceDE/>
              <w:autoSpaceDN/>
              <w:spacing w:line="360" w:lineRule="auto"/>
              <w:ind w:left="662" w:leftChars="192" w:hanging="240" w:hangingChars="1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 xml:space="preserve">  Gj—医疗废物产生量核算系数，单位：kg/床*日，核算系数为0.37；</w:t>
            </w:r>
          </w:p>
          <w:p w14:paraId="016B7756">
            <w:pPr>
              <w:autoSpaceDE/>
              <w:autoSpaceDN/>
              <w:spacing w:line="360" w:lineRule="auto"/>
              <w:ind w:left="642" w:leftChars="292"/>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N —实际住院床位数，单位：张；</w:t>
            </w:r>
          </w:p>
          <w:p w14:paraId="12CDD35F">
            <w:pPr>
              <w:autoSpaceDE/>
              <w:autoSpaceDN/>
              <w:spacing w:line="360" w:lineRule="auto"/>
              <w:ind w:firstLine="465"/>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则GW=0.37×</w:t>
            </w:r>
            <w:r>
              <w:rPr>
                <w:rFonts w:hint="eastAsia" w:ascii="Times New Roman" w:hAnsi="Times New Roman" w:cs="Times New Roman"/>
                <w:color w:val="000000" w:themeColor="text1"/>
                <w:kern w:val="2"/>
                <w:sz w:val="24"/>
                <w:szCs w:val="24"/>
                <w:lang w:val="en-US" w:bidi="ar-SA"/>
              </w:rPr>
              <w:t>204</w:t>
            </w:r>
            <w:r>
              <w:rPr>
                <w:rFonts w:ascii="Times New Roman" w:hAnsi="Times New Roman" w:cs="Times New Roman"/>
                <w:color w:val="000000" w:themeColor="text1"/>
                <w:kern w:val="2"/>
                <w:sz w:val="24"/>
                <w:szCs w:val="24"/>
                <w:lang w:val="en-US" w:bidi="ar-SA"/>
              </w:rPr>
              <w:t>×365÷1000=</w:t>
            </w:r>
            <w:r>
              <w:rPr>
                <w:rFonts w:hint="eastAsia" w:ascii="Times New Roman" w:hAnsi="Times New Roman" w:cs="Times New Roman"/>
                <w:color w:val="000000" w:themeColor="text1"/>
                <w:kern w:val="2"/>
                <w:sz w:val="24"/>
                <w:szCs w:val="24"/>
                <w:lang w:val="en-US" w:bidi="ar-SA"/>
              </w:rPr>
              <w:t>27.550</w:t>
            </w:r>
            <w:r>
              <w:rPr>
                <w:rFonts w:ascii="Times New Roman" w:hAnsi="Times New Roman" w:cs="Times New Roman"/>
                <w:color w:val="000000" w:themeColor="text1"/>
                <w:kern w:val="2"/>
                <w:sz w:val="24"/>
                <w:szCs w:val="24"/>
                <w:lang w:val="en-US" w:bidi="ar-SA"/>
              </w:rPr>
              <w:t>（t/a）</w:t>
            </w:r>
          </w:p>
          <w:p w14:paraId="7D328EAB">
            <w:pPr>
              <w:autoSpaceDE/>
              <w:autoSpaceDN/>
              <w:spacing w:line="360" w:lineRule="auto"/>
              <w:ind w:firstLine="465"/>
              <w:jc w:val="both"/>
              <w:rPr>
                <w:rFonts w:ascii="Times New Roman" w:hAnsi="Times New Roman" w:cs="Times New Roman"/>
                <w:color w:val="000000" w:themeColor="text1"/>
                <w:kern w:val="2"/>
                <w:sz w:val="24"/>
                <w:szCs w:val="24"/>
                <w:lang w:val="en-US" w:bidi="ar-SA"/>
              </w:rPr>
            </w:pPr>
            <w:r>
              <w:rPr>
                <w:rFonts w:hint="eastAsia" w:ascii="Times New Roman" w:hAnsi="Times New Roman"/>
                <w:color w:val="000000" w:themeColor="text1"/>
                <w:kern w:val="2"/>
                <w:sz w:val="24"/>
                <w:szCs w:val="24"/>
                <w:lang w:val="en-US" w:bidi="ar-SA"/>
              </w:rPr>
              <w:t>②</w:t>
            </w:r>
            <w:r>
              <w:rPr>
                <w:rFonts w:ascii="Times New Roman" w:hAnsi="Times New Roman" w:cs="Times New Roman"/>
                <w:color w:val="000000" w:themeColor="text1"/>
                <w:kern w:val="2"/>
                <w:sz w:val="24"/>
                <w:szCs w:val="24"/>
                <w:lang w:val="en-US" w:bidi="ar-SA"/>
              </w:rPr>
              <w:t>门诊医疗废物：</w:t>
            </w:r>
          </w:p>
          <w:p w14:paraId="17983371">
            <w:pPr>
              <w:autoSpaceDE/>
              <w:autoSpaceDN/>
              <w:spacing w:line="360" w:lineRule="auto"/>
              <w:ind w:firstLine="465"/>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门诊医疗废物按每日每天每人次产生0.2kg计，平均每天</w:t>
            </w:r>
            <w:r>
              <w:rPr>
                <w:rFonts w:hint="eastAsia" w:ascii="Times New Roman" w:hAnsi="Times New Roman" w:cs="Times New Roman"/>
                <w:color w:val="000000" w:themeColor="text1"/>
                <w:kern w:val="2"/>
                <w:sz w:val="24"/>
                <w:szCs w:val="24"/>
                <w:lang w:val="en-US" w:bidi="ar-SA"/>
              </w:rPr>
              <w:t>新增</w:t>
            </w:r>
            <w:r>
              <w:rPr>
                <w:rFonts w:ascii="Times New Roman" w:hAnsi="Times New Roman" w:cs="Times New Roman"/>
                <w:color w:val="000000" w:themeColor="text1"/>
                <w:kern w:val="2"/>
                <w:sz w:val="24"/>
                <w:szCs w:val="24"/>
                <w:lang w:val="en-US" w:bidi="ar-SA"/>
              </w:rPr>
              <w:t>就诊人数为</w:t>
            </w:r>
            <w:r>
              <w:rPr>
                <w:rFonts w:hint="eastAsia" w:ascii="Times New Roman" w:hAnsi="Times New Roman" w:cs="Times New Roman"/>
                <w:color w:val="000000" w:themeColor="text1"/>
                <w:kern w:val="2"/>
                <w:sz w:val="24"/>
                <w:szCs w:val="24"/>
                <w:lang w:val="en-US" w:bidi="ar-SA"/>
              </w:rPr>
              <w:t>101</w:t>
            </w:r>
            <w:r>
              <w:rPr>
                <w:rFonts w:ascii="Times New Roman" w:hAnsi="Times New Roman" w:cs="Times New Roman"/>
                <w:color w:val="000000" w:themeColor="text1"/>
                <w:kern w:val="2"/>
                <w:sz w:val="24"/>
                <w:szCs w:val="24"/>
                <w:lang w:val="en-US" w:bidi="ar-SA"/>
              </w:rPr>
              <w:t>人次，年运营365天，则门诊医疗废物产生量为</w:t>
            </w:r>
            <w:r>
              <w:rPr>
                <w:rFonts w:hint="eastAsia" w:ascii="Times New Roman" w:hAnsi="Times New Roman" w:cs="Times New Roman"/>
                <w:color w:val="000000" w:themeColor="text1"/>
                <w:kern w:val="2"/>
                <w:sz w:val="24"/>
                <w:szCs w:val="24"/>
                <w:lang w:val="en-US" w:bidi="ar-SA"/>
              </w:rPr>
              <w:t>7.373</w:t>
            </w:r>
            <w:r>
              <w:rPr>
                <w:rFonts w:ascii="Times New Roman" w:hAnsi="Times New Roman" w:cs="Times New Roman"/>
                <w:color w:val="000000" w:themeColor="text1"/>
                <w:kern w:val="2"/>
                <w:sz w:val="24"/>
                <w:szCs w:val="24"/>
                <w:lang w:val="en-US" w:bidi="ar-SA"/>
              </w:rPr>
              <w:t>t/a。</w:t>
            </w:r>
          </w:p>
          <w:p w14:paraId="44FA34EA">
            <w:pPr>
              <w:autoSpaceDE/>
              <w:autoSpaceDN/>
              <w:spacing w:line="360" w:lineRule="auto"/>
              <w:ind w:firstLine="480"/>
              <w:jc w:val="both"/>
              <w:rPr>
                <w:rFonts w:ascii="Times New Roman" w:hAnsi="Times New Roman" w:cs="Times New Roman" w:eastAsiaTheme="minorEastAsia"/>
                <w:color w:val="000000" w:themeColor="text1"/>
                <w:kern w:val="2"/>
                <w:sz w:val="24"/>
                <w:szCs w:val="24"/>
                <w:lang w:val="en-US" w:bidi="ar-SA"/>
              </w:rPr>
            </w:pPr>
            <w:r>
              <w:rPr>
                <w:rFonts w:ascii="Times New Roman" w:hAnsi="Times New Roman" w:cs="Times New Roman" w:eastAsiaTheme="minorEastAsia"/>
                <w:color w:val="000000" w:themeColor="text1"/>
                <w:kern w:val="2"/>
                <w:sz w:val="24"/>
                <w:szCs w:val="24"/>
                <w:lang w:val="en-US" w:bidi="ar-SA"/>
              </w:rPr>
              <w:t>因此，本项目医疗废物总计产生量为</w:t>
            </w:r>
            <w:r>
              <w:rPr>
                <w:rFonts w:hint="eastAsia" w:ascii="Times New Roman" w:hAnsi="Times New Roman" w:cs="Times New Roman" w:eastAsiaTheme="minorEastAsia"/>
                <w:color w:val="000000" w:themeColor="text1"/>
                <w:kern w:val="2"/>
                <w:sz w:val="24"/>
                <w:szCs w:val="24"/>
                <w:lang w:val="en-US" w:bidi="ar-SA"/>
              </w:rPr>
              <w:t>34.923</w:t>
            </w:r>
            <w:r>
              <w:rPr>
                <w:rFonts w:ascii="Times New Roman" w:hAnsi="Times New Roman" w:cs="Times New Roman" w:eastAsiaTheme="minorEastAsia"/>
                <w:color w:val="000000" w:themeColor="text1"/>
                <w:kern w:val="2"/>
                <w:sz w:val="24"/>
                <w:szCs w:val="24"/>
                <w:lang w:val="en-US" w:bidi="ar-SA"/>
              </w:rPr>
              <w:t>t/a。</w:t>
            </w:r>
          </w:p>
          <w:p w14:paraId="4DCCDE0F">
            <w:pPr>
              <w:autoSpaceDE/>
              <w:autoSpaceDN/>
              <w:spacing w:line="360" w:lineRule="auto"/>
              <w:ind w:firstLine="480"/>
              <w:jc w:val="both"/>
              <w:rPr>
                <w:rFonts w:ascii="Times New Roman" w:hAnsi="Times New Roman" w:cs="Times New Roman" w:eastAsiaTheme="minorEastAsia"/>
                <w:color w:val="000000" w:themeColor="text1"/>
                <w:kern w:val="2"/>
                <w:sz w:val="24"/>
                <w:szCs w:val="24"/>
                <w:lang w:val="en-US" w:bidi="ar-SA"/>
              </w:rPr>
            </w:pPr>
            <w:r>
              <w:rPr>
                <w:rFonts w:hint="eastAsia" w:ascii="Times New Roman" w:hAnsi="Times New Roman" w:cs="Times New Roman" w:eastAsiaTheme="minorEastAsia"/>
                <w:color w:val="000000" w:themeColor="text1"/>
                <w:kern w:val="2"/>
                <w:sz w:val="24"/>
                <w:szCs w:val="24"/>
                <w:lang w:val="en-US" w:bidi="ar-SA"/>
              </w:rPr>
              <w:t>3</w:t>
            </w:r>
            <w:r>
              <w:rPr>
                <w:rFonts w:ascii="Times New Roman" w:hAnsi="Times New Roman" w:cs="Times New Roman" w:eastAsiaTheme="minorEastAsia"/>
                <w:color w:val="000000" w:themeColor="text1"/>
                <w:kern w:val="2"/>
                <w:sz w:val="24"/>
                <w:szCs w:val="24"/>
                <w:lang w:val="en-US" w:bidi="ar-SA"/>
              </w:rPr>
              <w:t>）污水处理站污泥</w:t>
            </w:r>
            <w:r>
              <w:rPr>
                <w:rFonts w:hint="eastAsia" w:ascii="Times New Roman" w:hAnsi="Times New Roman" w:cs="Times New Roman" w:eastAsiaTheme="minorEastAsia"/>
                <w:color w:val="000000" w:themeColor="text1"/>
                <w:kern w:val="2"/>
                <w:sz w:val="24"/>
                <w:szCs w:val="24"/>
                <w:lang w:val="en-US" w:bidi="ar-SA"/>
              </w:rPr>
              <w:t>及格栅渣</w:t>
            </w:r>
          </w:p>
          <w:p w14:paraId="476FB240">
            <w:pPr>
              <w:autoSpaceDE/>
              <w:autoSpaceDN/>
              <w:spacing w:line="360" w:lineRule="auto"/>
              <w:ind w:firstLine="480"/>
              <w:jc w:val="both"/>
              <w:rPr>
                <w:rFonts w:ascii="Times New Roman" w:hAnsi="Times New Roman" w:cs="Times New Roman" w:eastAsiaTheme="minorEastAsia"/>
                <w:color w:val="000000" w:themeColor="text1"/>
                <w:kern w:val="2"/>
                <w:sz w:val="24"/>
                <w:szCs w:val="24"/>
                <w:lang w:val="en-US" w:bidi="ar-SA"/>
              </w:rPr>
            </w:pPr>
            <w:r>
              <w:rPr>
                <w:rFonts w:ascii="Times New Roman" w:hAnsi="Times New Roman" w:cs="Times New Roman" w:eastAsiaTheme="minorEastAsia"/>
                <w:color w:val="000000" w:themeColor="text1"/>
                <w:kern w:val="2"/>
                <w:sz w:val="24"/>
                <w:szCs w:val="24"/>
                <w:lang w:val="en-US" w:bidi="ar-SA"/>
              </w:rPr>
              <w:t>按照《医疗机构水污染物排放标准》（GB18466-2005），本项目污水处理站污泥</w:t>
            </w:r>
            <w:r>
              <w:rPr>
                <w:rFonts w:hint="eastAsia" w:ascii="Times New Roman" w:hAnsi="Times New Roman" w:cs="Times New Roman" w:eastAsiaTheme="minorEastAsia"/>
                <w:color w:val="000000" w:themeColor="text1"/>
                <w:kern w:val="2"/>
                <w:sz w:val="24"/>
                <w:szCs w:val="24"/>
                <w:lang w:val="en-US" w:bidi="ar-SA"/>
              </w:rPr>
              <w:t>及格栅渣</w:t>
            </w:r>
            <w:r>
              <w:rPr>
                <w:rFonts w:ascii="Times New Roman" w:hAnsi="Times New Roman" w:cs="Times New Roman" w:eastAsiaTheme="minorEastAsia"/>
                <w:color w:val="000000" w:themeColor="text1"/>
                <w:kern w:val="2"/>
                <w:sz w:val="24"/>
                <w:szCs w:val="24"/>
                <w:lang w:val="en-US" w:bidi="ar-SA"/>
              </w:rPr>
              <w:t>属于危险废物，应按危险废物处理和处置。</w:t>
            </w:r>
          </w:p>
          <w:p w14:paraId="2316220F">
            <w:pPr>
              <w:autoSpaceDE/>
              <w:autoSpaceDN/>
              <w:spacing w:line="360" w:lineRule="auto"/>
              <w:ind w:firstLine="480"/>
              <w:jc w:val="both"/>
              <w:rPr>
                <w:rFonts w:ascii="Times New Roman" w:hAnsi="Times New Roman" w:cs="Times New Roman" w:eastAsiaTheme="minorEastAsia"/>
                <w:color w:val="000000" w:themeColor="text1"/>
                <w:kern w:val="2"/>
                <w:sz w:val="24"/>
                <w:szCs w:val="24"/>
                <w:lang w:val="en-US" w:bidi="ar-SA"/>
              </w:rPr>
            </w:pPr>
            <w:r>
              <w:rPr>
                <w:rFonts w:ascii="Times New Roman" w:hAnsi="Times New Roman" w:cs="Times New Roman" w:eastAsiaTheme="minorEastAsia"/>
                <w:color w:val="000000" w:themeColor="text1"/>
                <w:kern w:val="2"/>
                <w:sz w:val="24"/>
                <w:szCs w:val="24"/>
                <w:lang w:val="en-US" w:bidi="ar-SA"/>
              </w:rPr>
              <w:t>医院医疗废水经沉淀后有70%~80%的病菌、病毒和90%的蠕虫卵转移到污泥中，项目污水处理站产生的污泥和格栅渣属于国家危险废物（HW01:841-001-01），污泥</w:t>
            </w:r>
            <w:r>
              <w:rPr>
                <w:rFonts w:hint="eastAsia" w:ascii="Times New Roman" w:hAnsi="Times New Roman" w:cs="Times New Roman"/>
                <w:color w:val="000000" w:themeColor="text1"/>
                <w:sz w:val="24"/>
                <w:szCs w:val="24"/>
                <w:lang w:val="en-US"/>
              </w:rPr>
              <w:t>及格栅渣</w:t>
            </w:r>
            <w:r>
              <w:rPr>
                <w:rFonts w:ascii="Times New Roman" w:hAnsi="Times New Roman" w:cs="Times New Roman" w:eastAsiaTheme="minorEastAsia"/>
                <w:color w:val="000000" w:themeColor="text1"/>
                <w:kern w:val="2"/>
                <w:sz w:val="24"/>
                <w:szCs w:val="24"/>
                <w:lang w:val="en-US" w:bidi="ar-SA"/>
              </w:rPr>
              <w:t>产生量以医疗废水量的0.015%计，</w:t>
            </w:r>
            <w:r>
              <w:rPr>
                <w:rFonts w:hint="eastAsia" w:ascii="Times New Roman" w:hAnsi="Times New Roman" w:cs="Times New Roman" w:eastAsiaTheme="minorEastAsia"/>
                <w:color w:val="000000" w:themeColor="text1"/>
                <w:kern w:val="2"/>
                <w:sz w:val="24"/>
                <w:szCs w:val="24"/>
                <w:lang w:val="en-US" w:bidi="ar-SA"/>
              </w:rPr>
              <w:t>本项目</w:t>
            </w:r>
            <w:r>
              <w:rPr>
                <w:rFonts w:ascii="Times New Roman" w:hAnsi="Times New Roman" w:cs="Times New Roman" w:eastAsiaTheme="minorEastAsia"/>
                <w:color w:val="000000" w:themeColor="text1"/>
                <w:kern w:val="2"/>
                <w:sz w:val="24"/>
                <w:szCs w:val="24"/>
                <w:lang w:val="en-US" w:bidi="ar-SA"/>
              </w:rPr>
              <w:t>医</w:t>
            </w:r>
            <w:r>
              <w:rPr>
                <w:rFonts w:hint="eastAsia" w:ascii="Times New Roman" w:hAnsi="Times New Roman" w:cs="Times New Roman" w:eastAsiaTheme="minorEastAsia"/>
                <w:color w:val="000000" w:themeColor="text1"/>
                <w:kern w:val="2"/>
                <w:sz w:val="24"/>
                <w:szCs w:val="24"/>
                <w:lang w:val="en-US" w:bidi="ar-SA"/>
              </w:rPr>
              <w:t>疗</w:t>
            </w:r>
            <w:r>
              <w:rPr>
                <w:rFonts w:ascii="Times New Roman" w:hAnsi="Times New Roman" w:cs="Times New Roman" w:eastAsiaTheme="minorEastAsia"/>
                <w:color w:val="000000" w:themeColor="text1"/>
                <w:kern w:val="2"/>
                <w:sz w:val="24"/>
                <w:szCs w:val="24"/>
                <w:lang w:val="en-US" w:bidi="ar-SA"/>
              </w:rPr>
              <w:t>废水产生量为</w:t>
            </w:r>
            <w:r>
              <w:rPr>
                <w:rFonts w:hint="eastAsia" w:ascii="Times New Roman" w:hAnsi="Times New Roman" w:cs="Times New Roman" w:eastAsiaTheme="minorEastAsia"/>
                <w:color w:val="000000" w:themeColor="text1"/>
                <w:kern w:val="2"/>
                <w:sz w:val="24"/>
                <w:szCs w:val="24"/>
                <w:lang w:val="en-US" w:bidi="ar-SA"/>
              </w:rPr>
              <w:t>109.58</w:t>
            </w:r>
            <w:r>
              <w:rPr>
                <w:rFonts w:hint="eastAsia" w:ascii="Times New Roman" w:hAnsi="Times New Roman" w:cs="Times New Roman"/>
                <w:color w:val="000000" w:themeColor="text1"/>
                <w:kern w:val="2"/>
                <w:sz w:val="24"/>
                <w:szCs w:val="24"/>
                <w:lang w:val="en-US" w:bidi="ar-SA"/>
              </w:rPr>
              <w:t>m</w:t>
            </w:r>
            <w:r>
              <w:rPr>
                <w:rFonts w:hint="eastAsia" w:ascii="Times New Roman" w:hAnsi="Times New Roman" w:cs="Times New Roman"/>
                <w:color w:val="000000" w:themeColor="text1"/>
                <w:kern w:val="2"/>
                <w:sz w:val="24"/>
                <w:szCs w:val="24"/>
                <w:vertAlign w:val="superscript"/>
                <w:lang w:val="en-US" w:bidi="ar-SA"/>
              </w:rPr>
              <w:t>3</w:t>
            </w:r>
            <w:r>
              <w:rPr>
                <w:rFonts w:hint="eastAsia" w:ascii="Times New Roman" w:hAnsi="Times New Roman" w:cs="Times New Roman"/>
                <w:color w:val="000000" w:themeColor="text1"/>
                <w:kern w:val="2"/>
                <w:sz w:val="24"/>
                <w:szCs w:val="24"/>
                <w:lang w:val="en-US" w:bidi="ar-SA"/>
              </w:rPr>
              <w:t>/d（39998.34m</w:t>
            </w:r>
            <w:r>
              <w:rPr>
                <w:rFonts w:hint="eastAsia" w:ascii="Times New Roman" w:hAnsi="Times New Roman" w:cs="Times New Roman"/>
                <w:color w:val="000000" w:themeColor="text1"/>
                <w:kern w:val="2"/>
                <w:sz w:val="24"/>
                <w:szCs w:val="24"/>
                <w:vertAlign w:val="superscript"/>
                <w:lang w:val="en-US" w:bidi="ar-SA"/>
              </w:rPr>
              <w:t>3</w:t>
            </w:r>
            <w:r>
              <w:rPr>
                <w:rFonts w:hint="eastAsia" w:ascii="Times New Roman" w:hAnsi="Times New Roman" w:cs="Times New Roman"/>
                <w:color w:val="000000" w:themeColor="text1"/>
                <w:kern w:val="2"/>
                <w:sz w:val="24"/>
                <w:szCs w:val="24"/>
                <w:lang w:val="en-US" w:bidi="ar-SA"/>
              </w:rPr>
              <w:t>/a）</w:t>
            </w:r>
            <w:r>
              <w:rPr>
                <w:rFonts w:ascii="Times New Roman" w:hAnsi="Times New Roman" w:cs="Times New Roman" w:eastAsiaTheme="minorEastAsia"/>
                <w:color w:val="000000" w:themeColor="text1"/>
                <w:kern w:val="2"/>
                <w:sz w:val="24"/>
                <w:szCs w:val="24"/>
                <w:lang w:val="en-US" w:bidi="ar-SA"/>
              </w:rPr>
              <w:t>，则污泥</w:t>
            </w:r>
            <w:r>
              <w:rPr>
                <w:rFonts w:hint="eastAsia" w:ascii="Times New Roman" w:hAnsi="Times New Roman" w:cs="Times New Roman"/>
                <w:color w:val="000000" w:themeColor="text1"/>
                <w:sz w:val="24"/>
                <w:szCs w:val="24"/>
                <w:lang w:val="en-US"/>
              </w:rPr>
              <w:t>及格栅渣</w:t>
            </w:r>
            <w:r>
              <w:rPr>
                <w:rFonts w:ascii="Times New Roman" w:hAnsi="Times New Roman" w:cs="Times New Roman" w:eastAsiaTheme="minorEastAsia"/>
                <w:color w:val="000000" w:themeColor="text1"/>
                <w:kern w:val="2"/>
                <w:sz w:val="24"/>
                <w:szCs w:val="24"/>
                <w:lang w:val="en-US" w:bidi="ar-SA"/>
              </w:rPr>
              <w:t>（干）产生量为</w:t>
            </w:r>
            <w:r>
              <w:rPr>
                <w:rFonts w:hint="eastAsia" w:ascii="Times New Roman" w:hAnsi="Times New Roman" w:cs="Times New Roman" w:eastAsiaTheme="minorEastAsia"/>
                <w:color w:val="000000" w:themeColor="text1"/>
                <w:kern w:val="2"/>
                <w:sz w:val="24"/>
                <w:szCs w:val="24"/>
                <w:lang w:val="en-US" w:bidi="ar-SA"/>
              </w:rPr>
              <w:t>6.00</w:t>
            </w:r>
            <w:r>
              <w:rPr>
                <w:rFonts w:ascii="Times New Roman" w:hAnsi="Times New Roman" w:cs="Times New Roman" w:eastAsiaTheme="minorEastAsia"/>
                <w:color w:val="000000" w:themeColor="text1"/>
                <w:kern w:val="2"/>
                <w:sz w:val="24"/>
                <w:szCs w:val="24"/>
                <w:lang w:val="en-US" w:bidi="ar-SA"/>
              </w:rPr>
              <w:t>t/a。</w:t>
            </w:r>
          </w:p>
          <w:p w14:paraId="23256701">
            <w:pPr>
              <w:pStyle w:val="25"/>
              <w:numPr>
                <w:ilvl w:val="0"/>
                <w:numId w:val="7"/>
              </w:numPr>
              <w:ind w:left="0" w:leftChars="0" w:firstLine="480"/>
              <w:rPr>
                <w:rFonts w:ascii="Times New Roman" w:hAnsi="Times New Roman" w:cs="Times New Roman" w:eastAsiaTheme="minorEastAsia"/>
                <w:color w:val="000000" w:themeColor="text1"/>
                <w:kern w:val="2"/>
                <w:sz w:val="24"/>
                <w:szCs w:val="24"/>
                <w:lang w:val="en-US" w:bidi="ar-SA"/>
              </w:rPr>
            </w:pPr>
            <w:r>
              <w:rPr>
                <w:rFonts w:hint="eastAsia" w:ascii="Times New Roman" w:hAnsi="Times New Roman" w:cs="Times New Roman" w:eastAsiaTheme="minorEastAsia"/>
                <w:color w:val="000000" w:themeColor="text1"/>
                <w:kern w:val="2"/>
                <w:sz w:val="24"/>
                <w:szCs w:val="24"/>
                <w:lang w:val="en-US" w:bidi="ar-SA"/>
              </w:rPr>
              <w:t>输液瓶</w:t>
            </w:r>
          </w:p>
          <w:p w14:paraId="6CED44C3">
            <w:pPr>
              <w:pStyle w:val="26"/>
              <w:spacing w:line="360" w:lineRule="auto"/>
              <w:ind w:firstLine="480"/>
              <w:rPr>
                <w:rFonts w:ascii="Times New Roman" w:hAnsi="Times New Roman" w:cs="Times New Roman"/>
                <w:color w:val="000000" w:themeColor="text1"/>
                <w:lang w:val="en-US"/>
              </w:rPr>
            </w:pPr>
            <w:r>
              <w:rPr>
                <w:rFonts w:ascii="Times New Roman" w:hAnsi="Times New Roman" w:cs="Times New Roman"/>
                <w:color w:val="000000" w:themeColor="text1"/>
                <w:lang w:val="en-US"/>
              </w:rPr>
              <w:t>《关于在医疗机构推进生活垃圾分类管理的通知》（国卫办医发2017-30号）明确规</w:t>
            </w:r>
            <w:r>
              <w:rPr>
                <w:rFonts w:hint="eastAsia" w:ascii="Times New Roman" w:hAnsi="Times New Roman" w:cs="Times New Roman"/>
                <w:color w:val="000000" w:themeColor="text1"/>
                <w:lang w:val="en-US"/>
              </w:rPr>
              <w:t>定</w:t>
            </w:r>
            <w:r>
              <w:rPr>
                <w:rFonts w:ascii="Times New Roman" w:hAnsi="Times New Roman" w:cs="Times New Roman"/>
                <w:color w:val="000000" w:themeColor="text1"/>
                <w:lang w:val="en-US"/>
              </w:rPr>
              <w:t>了使用后输液瓶（袋）的分类管理要求：存在下列情形的输液瓶（袋），即使未被患者血液、体液和排泄物等污染，也不得纳入可回收生活垃圾管理。</w:t>
            </w:r>
          </w:p>
          <w:p w14:paraId="6573DDE8">
            <w:pPr>
              <w:pStyle w:val="26"/>
              <w:spacing w:line="360" w:lineRule="auto"/>
              <w:ind w:firstLine="480"/>
              <w:rPr>
                <w:rFonts w:ascii="Times New Roman" w:hAnsi="Times New Roman" w:cs="Times New Roman"/>
                <w:color w:val="000000" w:themeColor="text1"/>
                <w:lang w:val="en-US"/>
              </w:rPr>
            </w:pPr>
            <w:r>
              <w:rPr>
                <w:rFonts w:ascii="Times New Roman" w:hAnsi="Times New Roman" w:cs="Times New Roman"/>
                <w:color w:val="000000" w:themeColor="text1"/>
                <w:lang w:val="en-US"/>
              </w:rPr>
              <w:t>A、在传染病区使用，或者用于传染病患者、疑似传染病患者以及采取隔离措施的其他患者的输液瓶（袋），应当按照感染性医疗废物处理。</w:t>
            </w:r>
          </w:p>
          <w:p w14:paraId="2914EADE">
            <w:pPr>
              <w:pStyle w:val="26"/>
              <w:spacing w:line="360" w:lineRule="auto"/>
              <w:ind w:firstLine="480"/>
              <w:rPr>
                <w:rFonts w:ascii="Times New Roman" w:hAnsi="Times New Roman" w:cs="Times New Roman"/>
                <w:color w:val="000000" w:themeColor="text1"/>
                <w:lang w:val="en-US"/>
              </w:rPr>
            </w:pPr>
            <w:r>
              <w:rPr>
                <w:rFonts w:ascii="Times New Roman" w:hAnsi="Times New Roman" w:cs="Times New Roman"/>
                <w:color w:val="000000" w:themeColor="text1"/>
                <w:lang w:val="en-US"/>
              </w:rPr>
              <w:t>B、输液涉及使用细胞毒性药物（如肿瘤化疗药物等）的输液瓶（袋），应当按照药物性医疗废物处理。</w:t>
            </w:r>
          </w:p>
          <w:p w14:paraId="22831B78">
            <w:pPr>
              <w:pStyle w:val="26"/>
              <w:spacing w:line="360" w:lineRule="auto"/>
              <w:ind w:firstLine="480"/>
              <w:rPr>
                <w:rFonts w:ascii="Times New Roman" w:hAnsi="Times New Roman" w:cs="Times New Roman"/>
                <w:color w:val="000000" w:themeColor="text1"/>
                <w:lang w:val="en-US"/>
              </w:rPr>
            </w:pPr>
            <w:r>
              <w:rPr>
                <w:rFonts w:ascii="Times New Roman" w:hAnsi="Times New Roman" w:cs="Times New Roman"/>
                <w:color w:val="000000" w:themeColor="text1"/>
                <w:lang w:val="en-US"/>
              </w:rPr>
              <w:t>C、输液涉及使用麻醉类药品、精神类药品、易制毒药品和放射性药品的输液瓶（袋），应当严格按照相关规定处理。</w:t>
            </w:r>
          </w:p>
          <w:p w14:paraId="1AC195C0">
            <w:pPr>
              <w:pStyle w:val="26"/>
              <w:spacing w:line="360" w:lineRule="auto"/>
              <w:ind w:firstLine="480"/>
              <w:rPr>
                <w:rFonts w:ascii="Times New Roman" w:hAnsi="Times New Roman" w:cs="Times New Roman"/>
                <w:color w:val="000000" w:themeColor="text1"/>
                <w:lang w:val="en-US"/>
              </w:rPr>
            </w:pPr>
            <w:r>
              <w:rPr>
                <w:rFonts w:ascii="Times New Roman" w:hAnsi="Times New Roman" w:cs="Times New Roman"/>
                <w:color w:val="000000" w:themeColor="text1"/>
                <w:lang w:val="en-US"/>
              </w:rPr>
              <w:t>本项目</w:t>
            </w:r>
            <w:r>
              <w:rPr>
                <w:rFonts w:hint="eastAsia" w:ascii="Times New Roman" w:hAnsi="Times New Roman" w:cs="Times New Roman"/>
                <w:color w:val="000000" w:themeColor="text1"/>
                <w:lang w:val="en-US"/>
              </w:rPr>
              <w:t>传染病楼产生的输液瓶、业务综合楼产生的涉及上述类型的输液瓶都包含在医疗废物中，业务综合楼会产生</w:t>
            </w:r>
            <w:r>
              <w:rPr>
                <w:rFonts w:ascii="Times New Roman" w:hAnsi="Times New Roman" w:cs="Times New Roman"/>
                <w:color w:val="000000" w:themeColor="text1"/>
                <w:lang w:val="en-US"/>
              </w:rPr>
              <w:t>不涉及以上情形的输液瓶（袋），空输液瓶产生量约为4.</w:t>
            </w:r>
            <w:r>
              <w:rPr>
                <w:rFonts w:hint="eastAsia" w:ascii="Times New Roman" w:hAnsi="Times New Roman" w:cs="Times New Roman"/>
                <w:color w:val="000000" w:themeColor="text1"/>
                <w:lang w:val="en-US"/>
              </w:rPr>
              <w:t>5</w:t>
            </w:r>
            <w:r>
              <w:rPr>
                <w:rFonts w:ascii="Times New Roman" w:hAnsi="Times New Roman" w:cs="Times New Roman"/>
                <w:color w:val="000000" w:themeColor="text1"/>
                <w:lang w:val="en-US"/>
              </w:rPr>
              <w:t>t/a，委托广西纳尔环保科技有限公司处理。</w:t>
            </w:r>
          </w:p>
          <w:p w14:paraId="0F9AA159">
            <w:pPr>
              <w:autoSpaceDE/>
              <w:autoSpaceDN/>
              <w:spacing w:line="360" w:lineRule="auto"/>
              <w:ind w:firstLine="480"/>
              <w:jc w:val="both"/>
              <w:rPr>
                <w:rFonts w:ascii="Times New Roman" w:hAnsi="Times New Roman" w:cs="Times New Roman" w:eastAsiaTheme="minorEastAsia"/>
                <w:color w:val="000000" w:themeColor="text1"/>
                <w:kern w:val="2"/>
                <w:sz w:val="24"/>
                <w:szCs w:val="24"/>
                <w:lang w:val="en-US" w:bidi="ar-SA"/>
              </w:rPr>
            </w:pPr>
            <w:r>
              <w:rPr>
                <w:rFonts w:hint="eastAsia" w:eastAsiaTheme="minorEastAsia"/>
                <w:color w:val="000000" w:themeColor="text1"/>
                <w:kern w:val="2"/>
                <w:sz w:val="24"/>
                <w:szCs w:val="24"/>
                <w:lang w:val="en-US" w:bidi="ar-SA"/>
              </w:rPr>
              <w:t>（2）</w:t>
            </w:r>
            <w:r>
              <w:rPr>
                <w:rFonts w:ascii="Times New Roman" w:hAnsi="Times New Roman" w:cs="Times New Roman" w:eastAsiaTheme="minorEastAsia"/>
                <w:color w:val="000000" w:themeColor="text1"/>
                <w:kern w:val="2"/>
                <w:sz w:val="24"/>
                <w:szCs w:val="24"/>
                <w:lang w:val="en-US" w:bidi="ar-SA"/>
              </w:rPr>
              <w:t>固废影响分析</w:t>
            </w:r>
          </w:p>
          <w:p w14:paraId="3A2C8875">
            <w:pPr>
              <w:autoSpaceDE/>
              <w:autoSpaceDN/>
              <w:spacing w:line="360" w:lineRule="auto"/>
              <w:ind w:firstLine="480"/>
              <w:jc w:val="both"/>
              <w:rPr>
                <w:rFonts w:ascii="Times New Roman" w:hAnsi="Times New Roman" w:cs="Times New Roman" w:eastAsiaTheme="minorEastAsia"/>
                <w:color w:val="000000" w:themeColor="text1"/>
                <w:kern w:val="2"/>
                <w:sz w:val="24"/>
                <w:szCs w:val="24"/>
                <w:lang w:val="en-US" w:bidi="ar-SA"/>
              </w:rPr>
            </w:pPr>
            <w:r>
              <w:rPr>
                <w:rFonts w:ascii="Times New Roman" w:hAnsi="Times New Roman" w:cs="Times New Roman" w:eastAsiaTheme="minorEastAsia"/>
                <w:color w:val="000000" w:themeColor="text1"/>
                <w:kern w:val="2"/>
                <w:sz w:val="24"/>
                <w:szCs w:val="24"/>
                <w:lang w:val="en-US" w:bidi="ar-SA"/>
              </w:rPr>
              <w:t>1）生活垃圾</w:t>
            </w:r>
          </w:p>
          <w:p w14:paraId="597BC206">
            <w:pPr>
              <w:autoSpaceDE/>
              <w:autoSpaceDN/>
              <w:spacing w:line="360" w:lineRule="auto"/>
              <w:ind w:firstLine="480"/>
              <w:jc w:val="both"/>
              <w:rPr>
                <w:rFonts w:ascii="Times New Roman" w:hAnsi="Times New Roman" w:cs="Times New Roman" w:eastAsiaTheme="minorEastAsia"/>
                <w:color w:val="000000" w:themeColor="text1"/>
                <w:sz w:val="24"/>
                <w:szCs w:val="24"/>
                <w:lang w:val="en-US" w:bidi="ar-SA"/>
              </w:rPr>
            </w:pPr>
            <w:r>
              <w:rPr>
                <w:rFonts w:hint="eastAsia" w:ascii="Times New Roman" w:hAnsi="Times New Roman" w:cs="Times New Roman" w:eastAsiaTheme="minorEastAsia"/>
                <w:color w:val="000000" w:themeColor="text1"/>
                <w:sz w:val="24"/>
                <w:szCs w:val="24"/>
                <w:lang w:val="en-US" w:bidi="ar-SA"/>
              </w:rPr>
              <w:t>项目生活垃圾主要由就诊病人与住院病人产生。</w:t>
            </w:r>
          </w:p>
          <w:p w14:paraId="7BCF51FE">
            <w:pPr>
              <w:autoSpaceDE/>
              <w:autoSpaceDN/>
              <w:spacing w:line="360" w:lineRule="auto"/>
              <w:ind w:firstLine="480" w:firstLineChars="200"/>
              <w:jc w:val="both"/>
              <w:rPr>
                <w:rFonts w:ascii="Times New Roman" w:hAnsi="Times New Roman" w:cs="Times New Roman" w:eastAsiaTheme="minorEastAsia"/>
                <w:color w:val="000000" w:themeColor="text1"/>
                <w:kern w:val="2"/>
                <w:sz w:val="24"/>
                <w:szCs w:val="24"/>
                <w:lang w:val="en-US" w:bidi="ar-SA"/>
              </w:rPr>
            </w:pPr>
            <w:r>
              <w:rPr>
                <w:rFonts w:ascii="Times New Roman" w:hAnsi="Times New Roman" w:cs="Times New Roman" w:eastAsiaTheme="minorEastAsia"/>
                <w:color w:val="000000" w:themeColor="text1"/>
                <w:kern w:val="2"/>
                <w:sz w:val="24"/>
                <w:szCs w:val="24"/>
                <w:lang w:val="en-US" w:bidi="ar-SA"/>
              </w:rPr>
              <w:t>采取的措施：将生活垃圾与医疗垃圾严格分开，生活垃圾必须单独实现袋装或桶装集中，</w:t>
            </w:r>
            <w:r>
              <w:rPr>
                <w:rFonts w:hint="eastAsia" w:ascii="Times New Roman" w:hAnsi="Times New Roman" w:cs="Times New Roman" w:eastAsiaTheme="minorEastAsia"/>
                <w:color w:val="000000" w:themeColor="text1"/>
                <w:kern w:val="2"/>
                <w:sz w:val="24"/>
                <w:szCs w:val="24"/>
                <w:lang w:val="en-US" w:bidi="ar-SA"/>
              </w:rPr>
              <w:t>不致</w:t>
            </w:r>
            <w:r>
              <w:rPr>
                <w:rFonts w:ascii="Times New Roman" w:hAnsi="Times New Roman" w:cs="Times New Roman" w:eastAsiaTheme="minorEastAsia"/>
                <w:color w:val="000000" w:themeColor="text1"/>
                <w:kern w:val="2"/>
                <w:sz w:val="24"/>
                <w:szCs w:val="24"/>
                <w:lang w:val="en-US" w:bidi="ar-SA"/>
              </w:rPr>
              <w:t>形成随处乱堆乱排现象。由于生活垃圾中含有易发酵(即腐烂)的有机类垃圾，也会产生析出水，同时散发恶臭气味；并易招引蚊蝇、鼠狗之类栖息、形成病菌类产生和传播的温床。这不仅直接损害了医院的环境卫生，而产生的臭气和诱发的蚊蝇滋生则会对附近的生活区，甚至对院区造成很大的影响。为此，医院应配备足够的垃圾桶并加强管理，对生活垃圾做到日产日清，交由环卫部门处理，保证院区范围内无腐烂垃圾堆放，对周围环境影响较小。</w:t>
            </w:r>
          </w:p>
          <w:p w14:paraId="5B897A1A">
            <w:pPr>
              <w:autoSpaceDE/>
              <w:autoSpaceDN/>
              <w:spacing w:line="360" w:lineRule="auto"/>
              <w:ind w:firstLine="480"/>
              <w:jc w:val="both"/>
              <w:rPr>
                <w:rFonts w:ascii="Times New Roman" w:hAnsi="Times New Roman" w:cs="Times New Roman" w:eastAsiaTheme="minorEastAsia"/>
                <w:color w:val="000000" w:themeColor="text1"/>
                <w:kern w:val="2"/>
                <w:sz w:val="24"/>
                <w:szCs w:val="24"/>
                <w:lang w:val="en-US" w:bidi="ar-SA"/>
              </w:rPr>
            </w:pPr>
            <w:r>
              <w:rPr>
                <w:rFonts w:ascii="Times New Roman" w:hAnsi="Times New Roman" w:cs="Times New Roman" w:eastAsiaTheme="minorEastAsia"/>
                <w:color w:val="000000" w:themeColor="text1"/>
                <w:kern w:val="2"/>
                <w:sz w:val="24"/>
                <w:szCs w:val="24"/>
                <w:lang w:val="en-US" w:bidi="ar-SA"/>
              </w:rPr>
              <w:t>2）污泥</w:t>
            </w:r>
            <w:r>
              <w:rPr>
                <w:rFonts w:hint="eastAsia" w:ascii="Times New Roman" w:hAnsi="Times New Roman" w:cs="Times New Roman" w:eastAsiaTheme="minorEastAsia"/>
                <w:color w:val="000000" w:themeColor="text1"/>
                <w:kern w:val="2"/>
                <w:sz w:val="24"/>
                <w:szCs w:val="24"/>
                <w:lang w:val="en-US" w:bidi="ar-SA"/>
              </w:rPr>
              <w:t>及格栅渣</w:t>
            </w:r>
          </w:p>
          <w:p w14:paraId="441E28F6">
            <w:pPr>
              <w:autoSpaceDE/>
              <w:autoSpaceDN/>
              <w:adjustRightInd w:val="0"/>
              <w:spacing w:line="360" w:lineRule="auto"/>
              <w:ind w:firstLine="480" w:firstLineChars="200"/>
              <w:jc w:val="both"/>
              <w:textAlignment w:val="center"/>
              <w:rPr>
                <w:rFonts w:ascii="Times New Roman" w:hAnsi="Times New Roman" w:cs="Times New Roman" w:eastAsiaTheme="minorEastAsia"/>
                <w:color w:val="000000" w:themeColor="text1"/>
                <w:sz w:val="24"/>
                <w:szCs w:val="24"/>
                <w:lang w:val="en-US" w:bidi="ar-SA"/>
              </w:rPr>
            </w:pPr>
            <w:r>
              <w:rPr>
                <w:rFonts w:ascii="Times New Roman" w:hAnsi="Times New Roman" w:cs="Times New Roman" w:eastAsiaTheme="minorEastAsia"/>
                <w:color w:val="000000" w:themeColor="text1"/>
                <w:sz w:val="24"/>
                <w:szCs w:val="24"/>
                <w:lang w:val="en-US" w:bidi="ar-SA"/>
              </w:rPr>
              <w:t>本项目在污水处理过程中，污水处理站会产生污泥</w:t>
            </w:r>
            <w:r>
              <w:rPr>
                <w:rFonts w:hint="eastAsia" w:ascii="Times New Roman" w:hAnsi="Times New Roman" w:cs="Times New Roman" w:eastAsiaTheme="minorEastAsia"/>
                <w:color w:val="000000" w:themeColor="text1"/>
                <w:sz w:val="24"/>
                <w:szCs w:val="24"/>
                <w:lang w:val="en-US" w:bidi="ar-SA"/>
              </w:rPr>
              <w:t>及格栅渣</w:t>
            </w:r>
            <w:r>
              <w:rPr>
                <w:rFonts w:ascii="Times New Roman" w:hAnsi="Times New Roman" w:cs="Times New Roman" w:eastAsiaTheme="minorEastAsia"/>
                <w:color w:val="000000" w:themeColor="text1"/>
                <w:sz w:val="24"/>
                <w:szCs w:val="24"/>
                <w:lang w:val="en-US" w:bidi="ar-SA"/>
              </w:rPr>
              <w:t>，</w:t>
            </w:r>
            <w:r>
              <w:rPr>
                <w:rFonts w:hint="eastAsia" w:ascii="Times New Roman" w:hAnsi="Times New Roman" w:cs="Times New Roman" w:eastAsiaTheme="minorEastAsia"/>
                <w:color w:val="000000" w:themeColor="text1"/>
                <w:sz w:val="24"/>
                <w:szCs w:val="24"/>
                <w:lang w:val="en-US" w:bidi="ar-SA"/>
              </w:rPr>
              <w:t>委托桂林高能时代环境服务有限公司清理并直接运走处置，不在医院暂存，医院已于该公司签订处置协议，</w:t>
            </w:r>
            <w:r>
              <w:rPr>
                <w:rFonts w:ascii="Times New Roman" w:hAnsi="Times New Roman" w:cs="Times New Roman" w:eastAsiaTheme="minorEastAsia"/>
                <w:color w:val="000000" w:themeColor="text1"/>
                <w:sz w:val="24"/>
                <w:szCs w:val="24"/>
                <w:lang w:val="en-US" w:bidi="ar-SA"/>
              </w:rPr>
              <w:t>污泥</w:t>
            </w:r>
            <w:r>
              <w:rPr>
                <w:rFonts w:hint="eastAsia" w:ascii="Times New Roman" w:hAnsi="Times New Roman" w:cs="Times New Roman" w:eastAsiaTheme="minorEastAsia"/>
                <w:color w:val="000000" w:themeColor="text1"/>
                <w:sz w:val="24"/>
                <w:szCs w:val="24"/>
                <w:lang w:val="en-US" w:bidi="ar-SA"/>
              </w:rPr>
              <w:t>及格栅渣每年清理一次，桂林高能时代环境服务有限公司使用全密闭罐式车辆运输，车辆具备防渗漏、防遗撒、气密性功能，</w:t>
            </w:r>
            <w:r>
              <w:rPr>
                <w:rFonts w:hint="eastAsia" w:ascii="Times New Roman" w:hAnsi="Times New Roman" w:cs="Times New Roman"/>
                <w:color w:val="000000" w:themeColor="text1"/>
                <w:sz w:val="24"/>
                <w:szCs w:val="24"/>
                <w:lang w:val="en-US"/>
              </w:rPr>
              <w:t>桂林高能时代环境服务有限公司</w:t>
            </w:r>
            <w:r>
              <w:rPr>
                <w:rFonts w:hint="eastAsia" w:ascii="Times New Roman" w:hAnsi="Times New Roman" w:cs="Times New Roman" w:eastAsiaTheme="minorEastAsia"/>
                <w:color w:val="000000" w:themeColor="text1"/>
                <w:sz w:val="24"/>
                <w:szCs w:val="24"/>
                <w:lang w:val="en-US" w:bidi="ar-SA"/>
              </w:rPr>
              <w:t>具有转运处置能力，项目污泥及格栅渣处置方式可行。</w:t>
            </w:r>
          </w:p>
          <w:p w14:paraId="54164653">
            <w:pPr>
              <w:pStyle w:val="25"/>
              <w:ind w:left="440" w:firstLine="0" w:firstLineChars="0"/>
              <w:rPr>
                <w:rFonts w:ascii="Times New Roman" w:hAnsi="Times New Roman" w:cs="Times New Roman" w:eastAsiaTheme="minorEastAsia"/>
                <w:color w:val="000000" w:themeColor="text1"/>
                <w:kern w:val="2"/>
                <w:sz w:val="24"/>
                <w:szCs w:val="24"/>
                <w:lang w:val="en-US" w:bidi="ar-SA"/>
              </w:rPr>
            </w:pPr>
            <w:r>
              <w:rPr>
                <w:rFonts w:hint="eastAsia" w:ascii="Times New Roman" w:hAnsi="Times New Roman" w:cs="Times New Roman" w:eastAsiaTheme="minorEastAsia"/>
                <w:color w:val="000000" w:themeColor="text1"/>
                <w:sz w:val="24"/>
                <w:szCs w:val="24"/>
                <w:lang w:val="en-US" w:bidi="ar-SA"/>
              </w:rPr>
              <w:t>3）</w:t>
            </w:r>
            <w:r>
              <w:rPr>
                <w:rFonts w:hint="eastAsia" w:ascii="Times New Roman" w:hAnsi="Times New Roman" w:cs="Times New Roman" w:eastAsiaTheme="minorEastAsia"/>
                <w:color w:val="000000" w:themeColor="text1"/>
                <w:kern w:val="2"/>
                <w:sz w:val="24"/>
                <w:szCs w:val="24"/>
                <w:lang w:val="en-US" w:bidi="ar-SA"/>
              </w:rPr>
              <w:t>输液瓶</w:t>
            </w:r>
          </w:p>
          <w:p w14:paraId="7594B9A3">
            <w:pPr>
              <w:adjustRightInd w:val="0"/>
              <w:spacing w:line="360" w:lineRule="auto"/>
              <w:ind w:firstLine="480" w:firstLineChars="200"/>
              <w:rPr>
                <w:rFonts w:ascii="Times New Roman" w:hAnsi="Times New Roman" w:cs="Times New Roman" w:eastAsiaTheme="minorEastAsia"/>
                <w:color w:val="000000" w:themeColor="text1"/>
                <w:sz w:val="24"/>
                <w:szCs w:val="24"/>
                <w:lang w:val="en-US" w:bidi="ar-SA"/>
              </w:rPr>
            </w:pPr>
            <w:r>
              <w:rPr>
                <w:rFonts w:hint="eastAsia" w:ascii="Times New Roman" w:hAnsi="Times New Roman" w:cs="Times New Roman" w:eastAsiaTheme="minorEastAsia"/>
                <w:color w:val="000000" w:themeColor="text1"/>
                <w:sz w:val="24"/>
                <w:szCs w:val="24"/>
                <w:lang w:val="en-US" w:bidi="ar-SA"/>
              </w:rPr>
              <w:t>本项目产生的不涉及《关于在医疗机构推进生活垃圾分类管理的通知》中规定的可回收输液瓶，储存在一般固废暂存间，委托广西纳尔环保科技有限公司处理</w:t>
            </w:r>
            <w:r>
              <w:rPr>
                <w:rStyle w:val="34"/>
                <w:rFonts w:hint="eastAsia"/>
                <w:color w:val="000000" w:themeColor="text1"/>
              </w:rPr>
              <w:t>，</w:t>
            </w:r>
            <w:r>
              <w:rPr>
                <w:rFonts w:hint="eastAsia" w:ascii="Times New Roman" w:hAnsi="Times New Roman" w:cs="Times New Roman" w:eastAsiaTheme="minorEastAsia"/>
                <w:color w:val="000000" w:themeColor="text1"/>
                <w:sz w:val="24"/>
                <w:szCs w:val="24"/>
                <w:lang w:val="en-US" w:bidi="ar-SA"/>
              </w:rPr>
              <w:t>医院已于该公司签订处置协议，广西纳尔环保科技有限公司经营范围包含医疗机构使用后未被污染的一次性医用输液瓶(袋)的回收、处置、利用和再生资源回收等相关内容，又根据自治区商务厅自治区卫生健康委关于公布第五批医疗机构可回收物中输液瓶（袋）回收企业名单的通知（桂商流通发〔2022〕7号）得知，广西纳尔环保科技有限公司在回收企业名单内，本项目</w:t>
            </w:r>
            <w:r>
              <w:rPr>
                <w:rFonts w:hint="eastAsia" w:ascii="Times New Roman" w:hAnsi="Times New Roman" w:cs="Times New Roman" w:eastAsiaTheme="minorEastAsia"/>
                <w:color w:val="000000" w:themeColor="text1"/>
                <w:kern w:val="2"/>
                <w:sz w:val="24"/>
                <w:szCs w:val="24"/>
                <w:lang w:val="en-US" w:bidi="ar-SA"/>
              </w:rPr>
              <w:t>输液瓶处置方式可行。</w:t>
            </w:r>
            <w:r>
              <w:rPr>
                <w:rFonts w:hint="eastAsia" w:ascii="Times New Roman" w:hAnsi="Times New Roman" w:cs="Times New Roman"/>
                <w:color w:val="000000" w:themeColor="text1"/>
                <w:kern w:val="2"/>
                <w:sz w:val="24"/>
                <w:szCs w:val="24"/>
                <w:lang w:val="en-US" w:bidi="ar-SA"/>
              </w:rPr>
              <w:t>永福县人民医院已建设一般固废暂存间，面积约20m</w:t>
            </w:r>
            <w:r>
              <w:rPr>
                <w:rFonts w:hint="eastAsia" w:ascii="Times New Roman" w:hAnsi="Times New Roman" w:cs="Times New Roman"/>
                <w:color w:val="000000" w:themeColor="text1"/>
                <w:kern w:val="2"/>
                <w:sz w:val="24"/>
                <w:szCs w:val="24"/>
                <w:vertAlign w:val="superscript"/>
                <w:lang w:val="en-US" w:bidi="ar-SA"/>
              </w:rPr>
              <w:t>2</w:t>
            </w:r>
            <w:r>
              <w:rPr>
                <w:rFonts w:hint="eastAsia" w:ascii="Times New Roman" w:hAnsi="Times New Roman" w:cs="Times New Roman"/>
                <w:color w:val="000000" w:themeColor="text1"/>
                <w:kern w:val="2"/>
                <w:sz w:val="24"/>
                <w:szCs w:val="24"/>
                <w:lang w:val="en-US" w:bidi="ar-SA"/>
              </w:rPr>
              <w:t>，一般固废暂存间建设满足《一般工业固体废物贮存和填埋污染控制标准》（GB 18599-2020）相关要求及处置，采取防风、防雨、防渗漏措施，防止雨水径流进入贮存、处置场内。根据建设单位提供的资料，目前一般固废暂存间还有空余面积满足本项目输液瓶暂存要求，本项目产生输液瓶量较少，依托可行。</w:t>
            </w:r>
          </w:p>
          <w:p w14:paraId="65A29A19">
            <w:pPr>
              <w:autoSpaceDE/>
              <w:autoSpaceDN/>
              <w:spacing w:line="360" w:lineRule="auto"/>
              <w:ind w:firstLine="480"/>
              <w:jc w:val="both"/>
              <w:rPr>
                <w:rFonts w:ascii="Times New Roman" w:hAnsi="Times New Roman" w:cs="Times New Roman" w:eastAsiaTheme="minorEastAsia"/>
                <w:color w:val="000000" w:themeColor="text1"/>
                <w:sz w:val="24"/>
                <w:szCs w:val="24"/>
                <w:lang w:val="en-US" w:bidi="ar-SA"/>
              </w:rPr>
            </w:pPr>
            <w:r>
              <w:rPr>
                <w:rFonts w:hint="eastAsia" w:ascii="Times New Roman" w:hAnsi="Times New Roman" w:cs="Times New Roman" w:eastAsiaTheme="minorEastAsia"/>
                <w:color w:val="000000" w:themeColor="text1"/>
                <w:sz w:val="24"/>
                <w:szCs w:val="24"/>
                <w:lang w:val="en-US" w:bidi="ar-SA"/>
              </w:rPr>
              <w:t>4</w:t>
            </w:r>
            <w:r>
              <w:rPr>
                <w:rFonts w:ascii="Times New Roman" w:hAnsi="Times New Roman" w:cs="Times New Roman" w:eastAsiaTheme="minorEastAsia"/>
                <w:color w:val="000000" w:themeColor="text1"/>
                <w:sz w:val="24"/>
                <w:szCs w:val="24"/>
                <w:lang w:val="en-US" w:bidi="ar-SA"/>
              </w:rPr>
              <w:t>）医疗废物</w:t>
            </w:r>
          </w:p>
          <w:p w14:paraId="29FEA2E6">
            <w:pPr>
              <w:autoSpaceDE/>
              <w:autoSpaceDN/>
              <w:spacing w:line="360" w:lineRule="auto"/>
              <w:ind w:firstLine="480" w:firstLineChars="200"/>
              <w:jc w:val="both"/>
              <w:rPr>
                <w:rFonts w:ascii="Times New Roman" w:hAnsi="Times New Roman" w:cs="Times New Roman" w:eastAsiaTheme="minorEastAsia"/>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本项目医疗废物包括固定病床的医疗废物和门诊医疗废物</w:t>
            </w:r>
            <w:r>
              <w:rPr>
                <w:rFonts w:hint="eastAsia"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包含各种化学药剂废液、废料废渣、脱脂棉、敷料、一次性医疗器械等</w:t>
            </w:r>
            <w:r>
              <w:rPr>
                <w:rFonts w:hint="eastAsia"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医疗垃圾处置措施：将医疗垃圾与一般生活垃圾分开分类收集，暂存于</w:t>
            </w:r>
            <w:r>
              <w:rPr>
                <w:rFonts w:hint="eastAsia" w:ascii="Times New Roman" w:hAnsi="Times New Roman" w:cs="Times New Roman"/>
                <w:color w:val="000000" w:themeColor="text1"/>
                <w:kern w:val="2"/>
                <w:sz w:val="24"/>
                <w:szCs w:val="24"/>
                <w:lang w:val="en-US" w:bidi="ar-SA"/>
              </w:rPr>
              <w:t>永福县人民医院原</w:t>
            </w:r>
            <w:r>
              <w:rPr>
                <w:rFonts w:ascii="Times New Roman" w:hAnsi="Times New Roman" w:cs="Times New Roman"/>
                <w:color w:val="000000" w:themeColor="text1"/>
                <w:kern w:val="2"/>
                <w:sz w:val="24"/>
                <w:szCs w:val="24"/>
                <w:lang w:val="en-US" w:bidi="ar-SA"/>
              </w:rPr>
              <w:t>医疗废物暂存间</w:t>
            </w:r>
            <w:r>
              <w:rPr>
                <w:rFonts w:hint="eastAsia" w:ascii="Times New Roman" w:hAnsi="Times New Roman" w:cs="Times New Roman"/>
                <w:color w:val="000000" w:themeColor="text1"/>
                <w:kern w:val="2"/>
                <w:sz w:val="24"/>
                <w:szCs w:val="24"/>
                <w:lang w:val="en-US" w:bidi="ar-SA"/>
              </w:rPr>
              <w:t>，并</w:t>
            </w:r>
            <w:r>
              <w:rPr>
                <w:rFonts w:ascii="Times New Roman" w:hAnsi="Times New Roman" w:cs="Times New Roman"/>
                <w:color w:val="000000" w:themeColor="text1"/>
                <w:kern w:val="2"/>
                <w:sz w:val="24"/>
                <w:szCs w:val="24"/>
                <w:lang w:val="en-US" w:bidi="ar-SA"/>
              </w:rPr>
              <w:t>定期交给</w:t>
            </w:r>
            <w:r>
              <w:rPr>
                <w:rFonts w:hint="eastAsia" w:ascii="Times New Roman" w:hAnsi="Times New Roman" w:cs="Times New Roman"/>
                <w:color w:val="000000" w:themeColor="text1"/>
                <w:kern w:val="2"/>
                <w:sz w:val="24"/>
                <w:szCs w:val="24"/>
                <w:lang w:val="en-US" w:bidi="ar-SA"/>
              </w:rPr>
              <w:t>有资质单位</w:t>
            </w:r>
            <w:r>
              <w:rPr>
                <w:rFonts w:ascii="Times New Roman" w:hAnsi="Times New Roman" w:cs="Times New Roman"/>
                <w:color w:val="000000" w:themeColor="text1"/>
                <w:kern w:val="2"/>
                <w:sz w:val="24"/>
                <w:szCs w:val="24"/>
                <w:lang w:val="en-US" w:bidi="ar-SA"/>
              </w:rPr>
              <w:t>进行处置。对于医疗垃圾中的过期和报废药品应及时交由原生产厂家进行回收</w:t>
            </w:r>
            <w:r>
              <w:rPr>
                <w:rFonts w:hint="eastAsia"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kern w:val="2"/>
                <w:sz w:val="24"/>
                <w:szCs w:val="24"/>
                <w:lang w:val="en-US" w:bidi="ar-SA"/>
              </w:rPr>
              <w:t>医疗废物中菌种、毒种保存液等高危险废物，应当首先在产生地点进行压力蒸汽灭菌或者化学消毒处理，</w:t>
            </w:r>
            <w:r>
              <w:rPr>
                <w:rFonts w:hint="eastAsia" w:ascii="Times New Roman" w:hAnsi="Times New Roman" w:cs="Times New Roman"/>
                <w:color w:val="000000" w:themeColor="text1"/>
                <w:kern w:val="2"/>
                <w:sz w:val="24"/>
                <w:szCs w:val="24"/>
                <w:lang w:val="en-US" w:bidi="ar-SA"/>
              </w:rPr>
              <w:t>委托桂林高能时代环境服务有限公司</w:t>
            </w:r>
            <w:r>
              <w:rPr>
                <w:rFonts w:ascii="Times New Roman" w:hAnsi="Times New Roman" w:cs="Times New Roman"/>
                <w:color w:val="000000" w:themeColor="text1"/>
                <w:kern w:val="2"/>
                <w:sz w:val="24"/>
                <w:szCs w:val="24"/>
                <w:lang w:val="en-US" w:bidi="ar-SA"/>
              </w:rPr>
              <w:t>进行处置。危险废物应按照国家有关规定申报登记，并且按照国家《中华人民共和国固体废物污染环境防治法》、《危险废物转移管理办法》、</w:t>
            </w:r>
            <w:r>
              <w:rPr>
                <w:rFonts w:hint="eastAsia" w:ascii="Times New Roman" w:hAnsi="Times New Roman" w:cs="Times New Roman"/>
                <w:color w:val="000000" w:themeColor="text1"/>
                <w:kern w:val="2"/>
                <w:sz w:val="24"/>
                <w:szCs w:val="24"/>
                <w:lang w:val="en-US" w:bidi="ar-SA"/>
              </w:rPr>
              <w:t>《</w:t>
            </w:r>
            <w:r>
              <w:rPr>
                <w:rFonts w:hint="eastAsia" w:ascii="Times New Roman" w:hAnsi="Times New Roman" w:cs="Times New Roman"/>
                <w:color w:val="000000" w:themeColor="text1"/>
                <w:sz w:val="24"/>
              </w:rPr>
              <w:t>医疗废物处理处置污染控制标准》</w:t>
            </w:r>
            <w:r>
              <w:rPr>
                <w:rFonts w:ascii="Times New Roman" w:hAnsi="Times New Roman" w:cs="Times New Roman"/>
                <w:bCs/>
                <w:color w:val="000000" w:themeColor="text1"/>
                <w:kern w:val="2"/>
                <w:sz w:val="24"/>
                <w:szCs w:val="24"/>
                <w:lang w:bidi="ar-SA"/>
              </w:rPr>
              <w:t>（GB</w:t>
            </w:r>
            <w:r>
              <w:rPr>
                <w:rFonts w:hint="eastAsia" w:ascii="Times New Roman" w:hAnsi="Times New Roman" w:cs="Times New Roman"/>
                <w:bCs/>
                <w:color w:val="000000" w:themeColor="text1"/>
                <w:kern w:val="2"/>
                <w:sz w:val="24"/>
                <w:szCs w:val="24"/>
                <w:lang w:val="en-US" w:bidi="ar-SA"/>
              </w:rPr>
              <w:t xml:space="preserve"> 3970</w:t>
            </w:r>
            <w:r>
              <w:rPr>
                <w:rFonts w:ascii="Times New Roman" w:hAnsi="Times New Roman" w:cs="Times New Roman"/>
                <w:bCs/>
                <w:color w:val="000000" w:themeColor="text1"/>
                <w:kern w:val="2"/>
                <w:sz w:val="24"/>
                <w:szCs w:val="24"/>
                <w:lang w:val="en-US" w:bidi="ar-SA"/>
              </w:rPr>
              <w:t>7</w:t>
            </w:r>
            <w:r>
              <w:rPr>
                <w:rFonts w:ascii="Times New Roman" w:hAnsi="Times New Roman" w:cs="Times New Roman"/>
                <w:bCs/>
                <w:color w:val="000000" w:themeColor="text1"/>
                <w:kern w:val="2"/>
                <w:sz w:val="24"/>
                <w:szCs w:val="24"/>
                <w:lang w:bidi="ar-SA"/>
              </w:rPr>
              <w:t>-20</w:t>
            </w:r>
            <w:r>
              <w:rPr>
                <w:rFonts w:hint="eastAsia" w:ascii="Times New Roman" w:hAnsi="Times New Roman" w:cs="Times New Roman"/>
                <w:bCs/>
                <w:color w:val="000000" w:themeColor="text1"/>
                <w:kern w:val="2"/>
                <w:sz w:val="24"/>
                <w:szCs w:val="24"/>
                <w:lang w:bidi="ar-SA"/>
              </w:rPr>
              <w:t>20</w:t>
            </w:r>
            <w:r>
              <w:rPr>
                <w:rFonts w:ascii="Times New Roman" w:hAnsi="Times New Roman" w:cs="Times New Roman"/>
                <w:bCs/>
                <w:color w:val="000000" w:themeColor="text1"/>
                <w:kern w:val="2"/>
                <w:sz w:val="24"/>
                <w:szCs w:val="24"/>
                <w:lang w:bidi="ar-SA"/>
              </w:rPr>
              <w:t>）</w:t>
            </w:r>
            <w:r>
              <w:rPr>
                <w:rFonts w:hint="eastAsia" w:ascii="Times New Roman" w:hAnsi="Times New Roman" w:cs="Times New Roman"/>
                <w:color w:val="000000" w:themeColor="text1"/>
                <w:sz w:val="24"/>
              </w:rPr>
              <w:t>、</w:t>
            </w:r>
            <w:r>
              <w:rPr>
                <w:rFonts w:ascii="Times New Roman" w:hAnsi="Times New Roman" w:cs="Times New Roman"/>
                <w:color w:val="000000" w:themeColor="text1"/>
                <w:kern w:val="2"/>
                <w:sz w:val="24"/>
                <w:szCs w:val="24"/>
                <w:lang w:val="en-US" w:bidi="ar-SA"/>
              </w:rPr>
              <w:t>《危险废物贮存污染控制标准》（GB</w:t>
            </w:r>
            <w:r>
              <w:rPr>
                <w:rFonts w:hint="eastAsia" w:ascii="Times New Roman" w:hAnsi="Times New Roman" w:cs="Times New Roman"/>
                <w:color w:val="000000" w:themeColor="text1"/>
                <w:kern w:val="2"/>
                <w:sz w:val="24"/>
                <w:szCs w:val="24"/>
                <w:lang w:val="en-US" w:bidi="ar-SA"/>
              </w:rPr>
              <w:t xml:space="preserve"> </w:t>
            </w:r>
            <w:r>
              <w:rPr>
                <w:rFonts w:ascii="Times New Roman" w:hAnsi="Times New Roman" w:cs="Times New Roman"/>
                <w:color w:val="000000" w:themeColor="text1"/>
                <w:kern w:val="2"/>
                <w:sz w:val="24"/>
                <w:szCs w:val="24"/>
                <w:lang w:val="en-US" w:bidi="ar-SA"/>
              </w:rPr>
              <w:t>18597-20</w:t>
            </w:r>
            <w:r>
              <w:rPr>
                <w:rFonts w:hint="eastAsia" w:ascii="Times New Roman" w:hAnsi="Times New Roman" w:cs="Times New Roman"/>
                <w:color w:val="000000" w:themeColor="text1"/>
                <w:kern w:val="2"/>
                <w:sz w:val="24"/>
                <w:szCs w:val="24"/>
                <w:lang w:val="en-US" w:bidi="ar-SA"/>
              </w:rPr>
              <w:t>23</w:t>
            </w:r>
            <w:r>
              <w:rPr>
                <w:rFonts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sz w:val="24"/>
                <w:szCs w:val="24"/>
                <w:lang w:val="en-US" w:bidi="ar-SA"/>
              </w:rPr>
              <w:t>中相关标准</w:t>
            </w:r>
            <w:r>
              <w:rPr>
                <w:rFonts w:ascii="Times New Roman" w:hAnsi="Times New Roman" w:cs="Times New Roman"/>
                <w:color w:val="000000" w:themeColor="text1"/>
                <w:kern w:val="2"/>
                <w:sz w:val="24"/>
                <w:szCs w:val="24"/>
                <w:lang w:val="en-US" w:bidi="ar-SA"/>
              </w:rPr>
              <w:t>等相关法规规定，及时分类收集，严禁将危险废物混入生活垃圾作为一般固废处理处置。</w:t>
            </w:r>
          </w:p>
          <w:p w14:paraId="28BC2806">
            <w:pPr>
              <w:autoSpaceDE/>
              <w:autoSpaceDN/>
              <w:adjustRightInd w:val="0"/>
              <w:spacing w:line="360" w:lineRule="auto"/>
              <w:ind w:firstLine="482" w:firstLineChars="200"/>
              <w:jc w:val="both"/>
              <w:textAlignment w:val="center"/>
              <w:rPr>
                <w:rFonts w:ascii="Times New Roman" w:hAnsi="Times New Roman" w:cs="Times New Roman" w:eastAsiaTheme="minorEastAsia"/>
                <w:color w:val="000000" w:themeColor="text1"/>
                <w:sz w:val="24"/>
                <w:szCs w:val="24"/>
                <w:shd w:val="pct10" w:color="auto" w:fill="FFFFFF"/>
                <w:lang w:val="en-US" w:bidi="ar-SA"/>
              </w:rPr>
            </w:pPr>
            <w:r>
              <w:rPr>
                <w:rFonts w:ascii="Times New Roman" w:hAnsi="Times New Roman" w:cs="Times New Roman" w:eastAsiaTheme="minorEastAsia"/>
                <w:b/>
                <w:color w:val="000000" w:themeColor="text1"/>
                <w:sz w:val="24"/>
                <w:szCs w:val="24"/>
                <w:lang w:val="en-US" w:bidi="ar-SA"/>
              </w:rPr>
              <w:t>医疗垃圾处理要求：</w:t>
            </w:r>
            <w:r>
              <w:rPr>
                <w:rFonts w:ascii="Times New Roman" w:hAnsi="Times New Roman" w:cs="Times New Roman"/>
                <w:color w:val="000000" w:themeColor="text1"/>
                <w:sz w:val="24"/>
                <w:szCs w:val="24"/>
                <w:lang w:val="en-US" w:bidi="ar-SA"/>
              </w:rPr>
              <w:t>必须严格按照《医疗卫生机构医疗废物管理办法》（中华人民共和国卫生部令第36号）、</w:t>
            </w:r>
            <w:r>
              <w:rPr>
                <w:rFonts w:hint="eastAsia" w:ascii="Times New Roman" w:hAnsi="Times New Roman" w:cs="Times New Roman"/>
                <w:color w:val="000000" w:themeColor="text1"/>
                <w:kern w:val="2"/>
                <w:sz w:val="24"/>
                <w:szCs w:val="24"/>
                <w:lang w:val="en-US" w:bidi="ar-SA"/>
              </w:rPr>
              <w:t>《</w:t>
            </w:r>
            <w:r>
              <w:rPr>
                <w:rFonts w:hint="eastAsia" w:ascii="Times New Roman" w:hAnsi="Times New Roman" w:cs="Times New Roman"/>
                <w:color w:val="000000" w:themeColor="text1"/>
                <w:sz w:val="24"/>
              </w:rPr>
              <w:t>医疗废物处理处置污染控制标准》</w:t>
            </w:r>
            <w:r>
              <w:rPr>
                <w:rFonts w:ascii="Times New Roman" w:hAnsi="Times New Roman" w:cs="Times New Roman"/>
                <w:bCs/>
                <w:color w:val="000000" w:themeColor="text1"/>
                <w:kern w:val="2"/>
                <w:sz w:val="24"/>
                <w:szCs w:val="24"/>
                <w:lang w:bidi="ar-SA"/>
              </w:rPr>
              <w:t>（GB</w:t>
            </w:r>
            <w:r>
              <w:rPr>
                <w:rFonts w:hint="eastAsia" w:ascii="Times New Roman" w:hAnsi="Times New Roman" w:cs="Times New Roman"/>
                <w:bCs/>
                <w:color w:val="000000" w:themeColor="text1"/>
                <w:kern w:val="2"/>
                <w:sz w:val="24"/>
                <w:szCs w:val="24"/>
                <w:lang w:val="en-US" w:bidi="ar-SA"/>
              </w:rPr>
              <w:t xml:space="preserve"> 3970</w:t>
            </w:r>
            <w:r>
              <w:rPr>
                <w:rFonts w:ascii="Times New Roman" w:hAnsi="Times New Roman" w:cs="Times New Roman"/>
                <w:bCs/>
                <w:color w:val="000000" w:themeColor="text1"/>
                <w:kern w:val="2"/>
                <w:sz w:val="24"/>
                <w:szCs w:val="24"/>
                <w:lang w:val="en-US" w:bidi="ar-SA"/>
              </w:rPr>
              <w:t>7</w:t>
            </w:r>
            <w:r>
              <w:rPr>
                <w:rFonts w:ascii="Times New Roman" w:hAnsi="Times New Roman" w:cs="Times New Roman"/>
                <w:bCs/>
                <w:color w:val="000000" w:themeColor="text1"/>
                <w:kern w:val="2"/>
                <w:sz w:val="24"/>
                <w:szCs w:val="24"/>
                <w:lang w:bidi="ar-SA"/>
              </w:rPr>
              <w:t>-20</w:t>
            </w:r>
            <w:r>
              <w:rPr>
                <w:rFonts w:hint="eastAsia" w:ascii="Times New Roman" w:hAnsi="Times New Roman" w:cs="Times New Roman"/>
                <w:bCs/>
                <w:color w:val="000000" w:themeColor="text1"/>
                <w:kern w:val="2"/>
                <w:sz w:val="24"/>
                <w:szCs w:val="24"/>
                <w:lang w:bidi="ar-SA"/>
              </w:rPr>
              <w:t>20</w:t>
            </w:r>
            <w:r>
              <w:rPr>
                <w:rFonts w:ascii="Times New Roman" w:hAnsi="Times New Roman" w:cs="Times New Roman"/>
                <w:bCs/>
                <w:color w:val="000000" w:themeColor="text1"/>
                <w:kern w:val="2"/>
                <w:sz w:val="24"/>
                <w:szCs w:val="24"/>
                <w:lang w:bidi="ar-SA"/>
              </w:rPr>
              <w:t>）</w:t>
            </w:r>
            <w:r>
              <w:rPr>
                <w:rFonts w:ascii="Times New Roman" w:hAnsi="Times New Roman" w:cs="Times New Roman"/>
                <w:color w:val="000000" w:themeColor="text1"/>
                <w:sz w:val="24"/>
                <w:szCs w:val="24"/>
                <w:lang w:val="en-US" w:bidi="ar-SA"/>
              </w:rPr>
              <w:t>、</w:t>
            </w:r>
            <w:r>
              <w:rPr>
                <w:rFonts w:ascii="Times New Roman" w:hAnsi="Times New Roman" w:cs="Times New Roman"/>
                <w:color w:val="000000" w:themeColor="text1"/>
                <w:kern w:val="2"/>
                <w:sz w:val="24"/>
                <w:szCs w:val="24"/>
                <w:lang w:val="en-US" w:bidi="ar-SA"/>
              </w:rPr>
              <w:t>《危险废物贮存污染控制标准》（GB</w:t>
            </w:r>
            <w:r>
              <w:rPr>
                <w:rFonts w:hint="eastAsia" w:ascii="Times New Roman" w:hAnsi="Times New Roman" w:cs="Times New Roman"/>
                <w:color w:val="000000" w:themeColor="text1"/>
                <w:kern w:val="2"/>
                <w:sz w:val="24"/>
                <w:szCs w:val="24"/>
                <w:lang w:val="en-US" w:bidi="ar-SA"/>
              </w:rPr>
              <w:t xml:space="preserve"> </w:t>
            </w:r>
            <w:r>
              <w:rPr>
                <w:rFonts w:ascii="Times New Roman" w:hAnsi="Times New Roman" w:cs="Times New Roman"/>
                <w:color w:val="000000" w:themeColor="text1"/>
                <w:kern w:val="2"/>
                <w:sz w:val="24"/>
                <w:szCs w:val="24"/>
                <w:lang w:val="en-US" w:bidi="ar-SA"/>
              </w:rPr>
              <w:t>18597-20</w:t>
            </w:r>
            <w:r>
              <w:rPr>
                <w:rFonts w:hint="eastAsia" w:ascii="Times New Roman" w:hAnsi="Times New Roman" w:cs="Times New Roman"/>
                <w:color w:val="000000" w:themeColor="text1"/>
                <w:kern w:val="2"/>
                <w:sz w:val="24"/>
                <w:szCs w:val="24"/>
                <w:lang w:val="en-US" w:bidi="ar-SA"/>
              </w:rPr>
              <w:t>23</w:t>
            </w:r>
            <w:r>
              <w:rPr>
                <w:rFonts w:ascii="Times New Roman" w:hAnsi="Times New Roman" w:cs="Times New Roman"/>
                <w:color w:val="000000" w:themeColor="text1"/>
                <w:kern w:val="2"/>
                <w:sz w:val="24"/>
                <w:szCs w:val="24"/>
                <w:lang w:val="en-US" w:bidi="ar-SA"/>
              </w:rPr>
              <w:t>）</w:t>
            </w:r>
            <w:r>
              <w:rPr>
                <w:rFonts w:ascii="Times New Roman" w:hAnsi="Times New Roman" w:cs="Times New Roman"/>
                <w:color w:val="000000" w:themeColor="text1"/>
                <w:sz w:val="24"/>
                <w:szCs w:val="24"/>
                <w:lang w:val="en-US" w:bidi="ar-SA"/>
              </w:rPr>
              <w:t>执行。</w:t>
            </w:r>
          </w:p>
          <w:p w14:paraId="5558392F">
            <w:pPr>
              <w:autoSpaceDE/>
              <w:autoSpaceDN/>
              <w:adjustRightInd w:val="0"/>
              <w:spacing w:line="360" w:lineRule="auto"/>
              <w:ind w:firstLine="480" w:firstLineChars="200"/>
              <w:jc w:val="both"/>
              <w:textAlignment w:val="center"/>
              <w:rPr>
                <w:rFonts w:ascii="Times New Roman" w:hAnsi="Times New Roman" w:cs="Times New Roman"/>
                <w:color w:val="000000" w:themeColor="text1"/>
                <w:sz w:val="24"/>
                <w:szCs w:val="24"/>
                <w:lang w:val="en-US" w:bidi="ar-SA"/>
              </w:rPr>
            </w:pPr>
            <w:r>
              <w:rPr>
                <w:rFonts w:ascii="Times New Roman" w:hAnsi="Times New Roman" w:cs="Times New Roman"/>
                <w:color w:val="000000" w:themeColor="text1"/>
                <w:sz w:val="24"/>
                <w:szCs w:val="24"/>
                <w:lang w:val="en-US" w:bidi="ar-SA"/>
              </w:rPr>
              <w:t>a、按照相关规定采取分类收集措施，生活垃圾与医疗垃圾分开，对具传染性的有害废物与一般垃圾分类收集。然后根据医疗废物的类别，将医疗废物分置于符合《医疗废物专用包装物、容器的标准和警示标识的规定》的包装物或者容器内，在盛装医疗废物前，应当对医疗废物包装物或者容器进行认真检查，确保无破损、渗漏和</w:t>
            </w:r>
            <w:r>
              <w:rPr>
                <w:rFonts w:hint="eastAsia" w:ascii="Times New Roman" w:hAnsi="Times New Roman" w:cs="Times New Roman"/>
                <w:color w:val="000000" w:themeColor="text1"/>
                <w:sz w:val="24"/>
                <w:szCs w:val="24"/>
                <w:lang w:val="en-US" w:bidi="ar-SA"/>
              </w:rPr>
              <w:t>其他缺陷</w:t>
            </w:r>
            <w:r>
              <w:rPr>
                <w:rFonts w:ascii="Times New Roman" w:hAnsi="Times New Roman" w:cs="Times New Roman"/>
                <w:color w:val="000000" w:themeColor="text1"/>
                <w:sz w:val="24"/>
                <w:szCs w:val="24"/>
                <w:lang w:val="en-US" w:bidi="ar-SA"/>
              </w:rPr>
              <w:t>。</w:t>
            </w:r>
          </w:p>
          <w:p w14:paraId="34969319">
            <w:pPr>
              <w:autoSpaceDE/>
              <w:autoSpaceDN/>
              <w:adjustRightInd w:val="0"/>
              <w:spacing w:line="360" w:lineRule="auto"/>
              <w:ind w:firstLine="480" w:firstLineChars="200"/>
              <w:jc w:val="both"/>
              <w:textAlignment w:val="center"/>
              <w:rPr>
                <w:rFonts w:ascii="Times New Roman" w:hAnsi="Times New Roman" w:cs="Times New Roman"/>
                <w:color w:val="000000" w:themeColor="text1"/>
                <w:sz w:val="24"/>
                <w:szCs w:val="24"/>
                <w:lang w:val="en-US" w:bidi="ar-SA"/>
              </w:rPr>
            </w:pPr>
            <w:r>
              <w:rPr>
                <w:rFonts w:ascii="Times New Roman" w:hAnsi="Times New Roman" w:cs="Times New Roman"/>
                <w:color w:val="000000" w:themeColor="text1"/>
                <w:sz w:val="24"/>
                <w:szCs w:val="24"/>
                <w:lang w:val="en-US" w:bidi="ar-SA"/>
              </w:rPr>
              <w:t>b、按照《医疗卫生机构医疗废物管理办法》中规定医疗废物暂时贮存的时间不得超过2天，根据本项目医疗垃圾的日产生量，设置适当医疗废物储存间，并树立明确的警示牌，危险废物暂存间设置防渗漏、防鼠、防蚊蝇以及预防儿童接触等安全措施，在医疗废物回收机构回收之前暂存本项目产生的医疗废物，危险废物暂存间避免阳光直射，应当具备低温贮存或防腐条件，当温度高于25度时，将固废进行低温贮存或进行防腐处理。医疗垃圾储存间派专人负责清扫消毒工作，每天清扫并消毒一次，医院配备有专用垃圾车辆将医疗垃圾密闭运输，垃圾装车后必须检查车辆密闭完好，确保不会发生洒落后上路，以避免垃圾产生二次污染。医疗垃圾暂存间要求有遮盖措施，有明显的标识，远离人员活动区。存放地应有冲洗消毒设施，并严格按《医院消毒卫生标准》(GB</w:t>
            </w:r>
            <w:r>
              <w:rPr>
                <w:rFonts w:hint="eastAsia" w:ascii="Times New Roman" w:hAnsi="Times New Roman" w:cs="Times New Roman"/>
                <w:color w:val="000000" w:themeColor="text1"/>
                <w:sz w:val="24"/>
                <w:szCs w:val="24"/>
                <w:lang w:val="en-US" w:bidi="ar-SA"/>
              </w:rPr>
              <w:t xml:space="preserve"> </w:t>
            </w:r>
            <w:r>
              <w:rPr>
                <w:rFonts w:ascii="Times New Roman" w:hAnsi="Times New Roman" w:cs="Times New Roman"/>
                <w:color w:val="000000" w:themeColor="text1"/>
                <w:sz w:val="24"/>
                <w:szCs w:val="24"/>
                <w:lang w:val="en-US" w:bidi="ar-SA"/>
              </w:rPr>
              <w:t>15982-2012)相关规定，至少应达到正常存放量的3倍以上，暂时贮存的时间不得超过2天。周转箱整体为</w:t>
            </w:r>
            <w:r>
              <w:rPr>
                <w:rFonts w:hint="eastAsia" w:ascii="Times New Roman" w:hAnsi="Times New Roman" w:cs="Times New Roman"/>
                <w:color w:val="000000" w:themeColor="text1"/>
                <w:sz w:val="24"/>
                <w:szCs w:val="24"/>
                <w:lang w:val="en-US" w:bidi="ar-SA"/>
              </w:rPr>
              <w:t>硬质</w:t>
            </w:r>
            <w:r>
              <w:rPr>
                <w:rFonts w:ascii="Times New Roman" w:hAnsi="Times New Roman" w:cs="Times New Roman"/>
                <w:color w:val="000000" w:themeColor="text1"/>
                <w:sz w:val="24"/>
                <w:szCs w:val="24"/>
                <w:lang w:val="en-US" w:bidi="ar-SA"/>
              </w:rPr>
              <w:t>材料，防液体渗漏，可一次性或多次重复使用，多次重复使用的周转箱</w:t>
            </w:r>
            <w:r>
              <w:rPr>
                <w:rFonts w:hint="eastAsia"/>
                <w:color w:val="000000" w:themeColor="text1"/>
                <w:sz w:val="24"/>
                <w:szCs w:val="24"/>
                <w:lang w:val="en-US" w:bidi="ar-SA"/>
              </w:rPr>
              <w:t>(</w:t>
            </w:r>
            <w:r>
              <w:rPr>
                <w:rFonts w:ascii="Times New Roman" w:hAnsi="Times New Roman" w:cs="Times New Roman"/>
                <w:color w:val="000000" w:themeColor="text1"/>
                <w:sz w:val="24"/>
                <w:szCs w:val="24"/>
                <w:lang w:val="en-US" w:bidi="ar-SA"/>
              </w:rPr>
              <w:t>桶</w:t>
            </w:r>
            <w:r>
              <w:rPr>
                <w:rFonts w:hint="eastAsia"/>
                <w:color w:val="000000" w:themeColor="text1"/>
                <w:sz w:val="24"/>
                <w:szCs w:val="24"/>
                <w:lang w:val="en-US" w:bidi="ar-SA"/>
              </w:rPr>
              <w:t>)</w:t>
            </w:r>
            <w:r>
              <w:rPr>
                <w:rFonts w:ascii="Times New Roman" w:hAnsi="Times New Roman" w:cs="Times New Roman"/>
                <w:color w:val="000000" w:themeColor="text1"/>
                <w:sz w:val="24"/>
                <w:szCs w:val="24"/>
                <w:lang w:val="en-US" w:bidi="ar-SA"/>
              </w:rPr>
              <w:t>应能被快速消毒或清洗，周转箱</w:t>
            </w:r>
            <w:r>
              <w:rPr>
                <w:rFonts w:hint="eastAsia"/>
                <w:color w:val="000000" w:themeColor="text1"/>
                <w:sz w:val="24"/>
                <w:szCs w:val="24"/>
                <w:lang w:val="en-US" w:bidi="ar-SA"/>
              </w:rPr>
              <w:t>(</w:t>
            </w:r>
            <w:r>
              <w:rPr>
                <w:rFonts w:ascii="Times New Roman" w:hAnsi="Times New Roman" w:cs="Times New Roman"/>
                <w:color w:val="000000" w:themeColor="text1"/>
                <w:sz w:val="24"/>
                <w:szCs w:val="24"/>
                <w:lang w:val="en-US" w:bidi="ar-SA"/>
              </w:rPr>
              <w:t>桶</w:t>
            </w:r>
            <w:r>
              <w:rPr>
                <w:rFonts w:hint="eastAsia"/>
                <w:color w:val="000000" w:themeColor="text1"/>
                <w:sz w:val="24"/>
                <w:szCs w:val="24"/>
                <w:lang w:val="en-US" w:bidi="ar-SA"/>
              </w:rPr>
              <w:t>)</w:t>
            </w:r>
            <w:r>
              <w:rPr>
                <w:rFonts w:ascii="Times New Roman" w:hAnsi="Times New Roman" w:cs="Times New Roman"/>
                <w:color w:val="000000" w:themeColor="text1"/>
                <w:sz w:val="24"/>
                <w:szCs w:val="24"/>
                <w:lang w:val="en-US" w:bidi="ar-SA"/>
              </w:rPr>
              <w:t>整体为黄色，外表面应印</w:t>
            </w:r>
            <w:r>
              <w:rPr>
                <w:rFonts w:hint="eastAsia"/>
                <w:color w:val="000000" w:themeColor="text1"/>
                <w:sz w:val="24"/>
                <w:szCs w:val="24"/>
                <w:lang w:val="en-US" w:bidi="ar-SA"/>
              </w:rPr>
              <w:t>(</w:t>
            </w:r>
            <w:r>
              <w:rPr>
                <w:rFonts w:ascii="Times New Roman" w:hAnsi="Times New Roman" w:cs="Times New Roman"/>
                <w:color w:val="000000" w:themeColor="text1"/>
                <w:sz w:val="24"/>
                <w:szCs w:val="24"/>
                <w:lang w:val="en-US" w:bidi="ar-SA"/>
              </w:rPr>
              <w:t>喷</w:t>
            </w:r>
            <w:r>
              <w:rPr>
                <w:rFonts w:hint="eastAsia"/>
                <w:color w:val="000000" w:themeColor="text1"/>
                <w:sz w:val="24"/>
                <w:szCs w:val="24"/>
                <w:lang w:val="en-US" w:bidi="ar-SA"/>
              </w:rPr>
              <w:t>)</w:t>
            </w:r>
            <w:r>
              <w:rPr>
                <w:rFonts w:ascii="Times New Roman" w:hAnsi="Times New Roman" w:cs="Times New Roman"/>
                <w:color w:val="000000" w:themeColor="text1"/>
                <w:sz w:val="24"/>
                <w:szCs w:val="24"/>
                <w:lang w:val="en-US" w:bidi="ar-SA"/>
              </w:rPr>
              <w:t>制医疗废物警示标识和文字说明。</w:t>
            </w:r>
          </w:p>
          <w:p w14:paraId="0F95E374">
            <w:pPr>
              <w:autoSpaceDE/>
              <w:autoSpaceDN/>
              <w:adjustRightInd w:val="0"/>
              <w:spacing w:line="360" w:lineRule="auto"/>
              <w:ind w:firstLine="480" w:firstLineChars="200"/>
              <w:jc w:val="both"/>
              <w:textAlignment w:val="center"/>
              <w:rPr>
                <w:rFonts w:ascii="Times New Roman" w:hAnsi="Times New Roman" w:cs="Times New Roman"/>
                <w:color w:val="000000" w:themeColor="text1"/>
                <w:sz w:val="24"/>
                <w:szCs w:val="24"/>
                <w:lang w:val="en-US" w:bidi="ar-SA"/>
              </w:rPr>
            </w:pPr>
            <w:r>
              <w:rPr>
                <w:rFonts w:ascii="Times New Roman" w:hAnsi="Times New Roman" w:cs="Times New Roman"/>
                <w:color w:val="000000" w:themeColor="text1"/>
                <w:sz w:val="24"/>
                <w:szCs w:val="24"/>
                <w:lang w:val="en-US" w:bidi="ar-SA"/>
              </w:rPr>
              <w:pict>
                <v:rect id="Rectangle 224" o:spid="_x0000_s2053" o:spt="1" style="position:absolute;left:0pt;margin-left:-9pt;margin-top:-143.95pt;height:1014pt;width:441pt;z-index:-251657216;mso-width-relative:page;mso-height-relative:page;" filled="f" stroked="f" coordsize="21600,21600" o:gfxdata="UEsDBAoAAAAAAIdO4kAAAAAAAAAAAAAAAAAEAAAAZHJzL1BLAwQUAAAACACHTuJAEQ/FSdsAAAAN&#10;AQAADwAAAGRycy9kb3ducmV2LnhtbE2PQUvDQBCF74L/YRnBi7S7KaWGmE0PBbGIUEy15212TILZ&#10;2TS7Teq/d3rS23vM48338vXFdWLEIbSeNCRzBQKp8ralWsPH/nmWggjRkDWdJ9TwgwHWxe1NbjLr&#10;J3rHsYy14BIKmdHQxNhnUoaqQWfC3PdIfPvygzOR7VBLO5iJy10nF0qtpDMt8YfG9LhpsPouz07D&#10;VO3Gw/7tRe4eDltPp+1pU36+an1/l6gnEBEv8S8MV3xGh4KZjv5MNohOwyxJeUtksUiviiPpasni&#10;yNnHpVIgi1z+X1H8AlBLAwQUAAAACACHTuJA361C6okBAAADAwAADgAAAGRycy9lMm9Eb2MueG1s&#10;rVJNT+MwEL0j7X+wfN8mDZR2o6ZcEFwQi5blB7jOOLHkL41N0/57xm4piL2hvYw9nvGb9569vtlb&#10;w3aAUXvX8fms5gyc9L12Q8df/t79XHEWk3C9MN5Bxw8Q+c3mx8V6Ci00fvSmB2QE4mI7hY6PKYW2&#10;qqIcwYo48wEcFZVHKxKlOFQ9ionQramaur6uJo99QC8hRjq9PRb5puArBTL9VipCYqbjxC2ViCVu&#10;c6w2a9EOKMKo5YmG+AYLK7SjoWeoW5EEe0X9D5TVEn30Ks2kt5VXSksoGkjNvP6i5nkUAYoWMieG&#10;s03x/8HKx90TMt13/PKSMycsvdEfck24wQBrmqvs0BRiS43P4QlPWaRtlrtXaPNKQti+uHo4uwr7&#10;xCQdLq7relmT+ZJq82a1XK4oI6Dq437AmO7BW5Y3HUdiUOwUu4eYjq3vLXmc83faGDoXrXFs6viv&#10;RbMoFz5VrE6Q+dIY42jJKo68827r+wMpfw2oh5FGzgujXCGny6XTr8hP+TkvSB9/d/M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EQ/FSdsAAAANAQAADwAAAAAAAAABACAAAAAiAAAAZHJzL2Rvd25y&#10;ZXYueG1sUEsBAhQAFAAAAAgAh07iQN+tQuqJAQAAAwMAAA4AAAAAAAAAAQAgAAAAKgEAAGRycy9l&#10;Mm9Eb2MueG1sUEsFBgAAAAAGAAYAWQEAACUFAAAAAA==&#10;">
                  <v:path/>
                  <v:fill on="f" focussize="0,0"/>
                  <v:stroke on="f"/>
                  <v:imagedata o:title=""/>
                  <o:lock v:ext="edit"/>
                </v:rect>
              </w:pict>
            </w:r>
            <w:r>
              <w:rPr>
                <w:rFonts w:ascii="Times New Roman" w:hAnsi="Times New Roman" w:cs="Times New Roman"/>
                <w:color w:val="000000" w:themeColor="text1"/>
                <w:sz w:val="24"/>
                <w:szCs w:val="24"/>
                <w:lang w:val="en-US" w:bidi="ar-SA"/>
              </w:rPr>
              <w:t>c、在病房、诊室等高危区必须采用双层废物袋或可密封处理的聚丙烯塑料桶。产生的针头等锐器不应和其他废物混放，应毁形后稳妥安全地放入防漏、防刺的专用锐器容器中。锐器容器要求有盖，并做好明显的标识，防止转运人员被锐器划伤引起疾病感染。</w:t>
            </w:r>
          </w:p>
          <w:p w14:paraId="0443838E">
            <w:pPr>
              <w:autoSpaceDE/>
              <w:autoSpaceDN/>
              <w:adjustRightInd w:val="0"/>
              <w:spacing w:line="360" w:lineRule="auto"/>
              <w:ind w:firstLine="480" w:firstLineChars="200"/>
              <w:jc w:val="both"/>
              <w:textAlignment w:val="center"/>
              <w:rPr>
                <w:rFonts w:ascii="Times New Roman" w:hAnsi="Times New Roman" w:cs="Times New Roman"/>
                <w:color w:val="000000" w:themeColor="text1"/>
                <w:sz w:val="24"/>
                <w:szCs w:val="24"/>
                <w:lang w:val="en-US" w:bidi="ar-SA"/>
              </w:rPr>
            </w:pPr>
            <w:r>
              <w:rPr>
                <w:rFonts w:ascii="Times New Roman" w:hAnsi="Times New Roman" w:cs="Times New Roman"/>
                <w:color w:val="000000" w:themeColor="text1"/>
                <w:sz w:val="24"/>
                <w:szCs w:val="24"/>
                <w:lang w:val="en-US" w:bidi="ar-SA"/>
              </w:rPr>
              <w:t>d、对医疗废物必须按照《医疗废物分类目录</w:t>
            </w:r>
            <w:r>
              <w:rPr>
                <w:rFonts w:hint="eastAsia" w:ascii="Times New Roman" w:hAnsi="Times New Roman" w:cs="Times New Roman"/>
                <w:color w:val="000000" w:themeColor="text1"/>
                <w:sz w:val="24"/>
                <w:szCs w:val="24"/>
                <w:lang w:val="en-US" w:bidi="ar-SA"/>
              </w:rPr>
              <w:t>（2021年版）</w:t>
            </w:r>
            <w:r>
              <w:rPr>
                <w:rFonts w:ascii="Times New Roman" w:hAnsi="Times New Roman" w:cs="Times New Roman"/>
                <w:color w:val="000000" w:themeColor="text1"/>
                <w:sz w:val="24"/>
                <w:szCs w:val="24"/>
                <w:lang w:val="en-US" w:bidi="ar-SA"/>
              </w:rPr>
              <w:t>》</w:t>
            </w:r>
            <w:r>
              <w:rPr>
                <w:rFonts w:hint="eastAsia" w:ascii="Times New Roman" w:hAnsi="Times New Roman" w:cs="Times New Roman"/>
                <w:color w:val="000000" w:themeColor="text1"/>
                <w:sz w:val="24"/>
                <w:szCs w:val="24"/>
                <w:lang w:val="en-US" w:bidi="ar-SA"/>
              </w:rPr>
              <w:t>(国卫医函〔2021〕238号)</w:t>
            </w:r>
            <w:r>
              <w:rPr>
                <w:rFonts w:ascii="Times New Roman" w:hAnsi="Times New Roman" w:cs="Times New Roman"/>
                <w:color w:val="000000" w:themeColor="text1"/>
                <w:sz w:val="24"/>
                <w:szCs w:val="24"/>
                <w:lang w:val="en-US" w:bidi="ar-SA"/>
              </w:rPr>
              <w:t>进行分类收集，并及时浸泡、消毒。废物袋的颜色为黄色，印有盛装医疗废物的文字说明和医疗废物警示标识，装满3/4后就应由专人密封清运至暂存间。废物袋口可用带子扎紧，禁止使用订书机之类的简易封口方式。</w:t>
            </w:r>
          </w:p>
          <w:p w14:paraId="2D1A8AB8">
            <w:pPr>
              <w:autoSpaceDE/>
              <w:autoSpaceDN/>
              <w:spacing w:line="360" w:lineRule="auto"/>
              <w:ind w:right="-42" w:rightChars="-19"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e、应急处置措施：应急情况包括医疗废物处置过程中，对人员发生刺伤、擦伤等伤害以及在内部转运、集中贮存过程中因包装物损坏造成泄漏等情况。医疗废物管理计划中应对上述应急情况发生时相应的处理程序和措施进行规定。发生刺伤、擦伤时，受伤者待伤情处理后自行或者委托其他人上报专职人员，进行详细记录，并根据伤口危害程度确定是否实施跟踪监测以及时间。</w:t>
            </w:r>
          </w:p>
          <w:p w14:paraId="6E488E28">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f、本项目各类危险废物</w:t>
            </w:r>
            <w:r>
              <w:rPr>
                <w:rFonts w:hint="eastAsia" w:ascii="Times New Roman" w:hAnsi="Times New Roman" w:cs="Times New Roman"/>
                <w:color w:val="000000" w:themeColor="text1"/>
                <w:kern w:val="2"/>
                <w:sz w:val="24"/>
                <w:szCs w:val="24"/>
                <w:lang w:val="en-US" w:bidi="ar-SA"/>
              </w:rPr>
              <w:t>分类</w:t>
            </w:r>
            <w:r>
              <w:rPr>
                <w:rFonts w:ascii="Times New Roman" w:hAnsi="Times New Roman" w:cs="Times New Roman"/>
                <w:color w:val="000000" w:themeColor="text1"/>
                <w:kern w:val="2"/>
                <w:sz w:val="24"/>
                <w:szCs w:val="24"/>
                <w:lang w:val="en-US" w:bidi="ar-SA"/>
              </w:rPr>
              <w:t>暂存于</w:t>
            </w:r>
            <w:r>
              <w:rPr>
                <w:rFonts w:hint="eastAsia" w:ascii="Times New Roman" w:hAnsi="Times New Roman" w:cs="Times New Roman"/>
                <w:color w:val="000000" w:themeColor="text1"/>
                <w:kern w:val="2"/>
                <w:sz w:val="24"/>
                <w:szCs w:val="24"/>
                <w:lang w:val="en-US" w:bidi="ar-SA"/>
              </w:rPr>
              <w:t>永福县人民医院已设置的危废</w:t>
            </w:r>
            <w:r>
              <w:rPr>
                <w:rFonts w:ascii="Times New Roman" w:hAnsi="Times New Roman" w:cs="Times New Roman"/>
                <w:color w:val="000000" w:themeColor="text1"/>
                <w:kern w:val="2"/>
                <w:sz w:val="24"/>
                <w:szCs w:val="24"/>
                <w:lang w:val="en-US" w:bidi="ar-SA"/>
              </w:rPr>
              <w:t>暂存间内，定期委托有相应资质的单位定期清运处置。</w:t>
            </w:r>
          </w:p>
          <w:p w14:paraId="70828226">
            <w:pPr>
              <w:adjustRightInd w:val="0"/>
              <w:spacing w:line="360" w:lineRule="auto"/>
              <w:ind w:firstLine="480" w:firstLineChars="200"/>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根据现场踏勘并结合《永福县人民医院整体迁建工程竣工环境保护验收监测报告的批复》（市环验〔2016〕32号）及《永福县人民医院专病综合楼建设项目环境影响报告表的批复》（永环审表字〔2022〕9号）、全国排污许可证管理信息平台的排污许可内容，永福县人民医院已建设有危废暂存间，面积约20m</w:t>
            </w:r>
            <w:r>
              <w:rPr>
                <w:rFonts w:hint="eastAsia" w:ascii="Times New Roman" w:hAnsi="Times New Roman" w:cs="Times New Roman"/>
                <w:color w:val="000000" w:themeColor="text1"/>
                <w:kern w:val="2"/>
                <w:sz w:val="24"/>
                <w:szCs w:val="24"/>
                <w:vertAlign w:val="superscript"/>
                <w:lang w:val="en-US" w:bidi="ar-SA"/>
              </w:rPr>
              <w:t>2</w:t>
            </w:r>
            <w:r>
              <w:rPr>
                <w:rFonts w:hint="eastAsia" w:ascii="Times New Roman" w:hAnsi="Times New Roman" w:cs="Times New Roman"/>
                <w:color w:val="000000" w:themeColor="text1"/>
                <w:kern w:val="2"/>
                <w:sz w:val="24"/>
                <w:szCs w:val="24"/>
                <w:lang w:val="en-US" w:bidi="ar-SA"/>
              </w:rPr>
              <w:t>，危废暂存间建设满足《危险废物贮存污染控制标准》（GB 18597-2023）、《危险废物收集 贮存 运输技术规范》（HJ 2025-2012）等防渗要求，根据建设单位提供的资料，目前危废暂存间还有空余面积满足本项目的医疗废物暂存要求，目前永福县人民医院产生的医疗废物暂存于危废暂存间，定期交由桂林高能时代环境服务有限公司收集处置，已签订处置协议（</w:t>
            </w:r>
            <w:r>
              <w:rPr>
                <w:rFonts w:ascii="Times New Roman" w:hAnsi="Times New Roman" w:cs="Times New Roman"/>
                <w:color w:val="000000" w:themeColor="text1"/>
                <w:kern w:val="2"/>
                <w:sz w:val="24"/>
                <w:szCs w:val="24"/>
                <w:lang w:val="en-US" w:bidi="ar-SA"/>
              </w:rPr>
              <w:t>附件6</w:t>
            </w:r>
            <w:r>
              <w:rPr>
                <w:rFonts w:hint="eastAsia" w:ascii="Times New Roman" w:hAnsi="Times New Roman" w:cs="Times New Roman"/>
                <w:color w:val="000000" w:themeColor="text1"/>
                <w:kern w:val="2"/>
                <w:sz w:val="24"/>
                <w:szCs w:val="24"/>
                <w:lang w:val="en-US" w:bidi="ar-SA"/>
              </w:rPr>
              <w:t>），本项目产生医疗废物量较少，依托可行。</w:t>
            </w:r>
          </w:p>
          <w:p w14:paraId="59C7E21D">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综上，在采取上述预防措施后，本项目所产生的生活垃圾和医疗垃圾均得到了合理有效</w:t>
            </w:r>
            <w:r>
              <w:rPr>
                <w:rFonts w:hint="eastAsia" w:ascii="Times New Roman" w:hAnsi="Times New Roman" w:cs="Times New Roman"/>
                <w:color w:val="000000" w:themeColor="text1"/>
                <w:kern w:val="2"/>
                <w:sz w:val="24"/>
                <w:szCs w:val="24"/>
                <w:lang w:val="en-US" w:bidi="ar-SA"/>
              </w:rPr>
              <w:t>地</w:t>
            </w:r>
            <w:r>
              <w:rPr>
                <w:rFonts w:ascii="Times New Roman" w:hAnsi="Times New Roman" w:cs="Times New Roman"/>
                <w:color w:val="000000" w:themeColor="text1"/>
                <w:kern w:val="2"/>
                <w:sz w:val="24"/>
                <w:szCs w:val="24"/>
                <w:lang w:val="en-US" w:bidi="ar-SA"/>
              </w:rPr>
              <w:t>处理和处置，其产生的固体废弃物基本不会对周围环境造成二次污染。</w:t>
            </w:r>
          </w:p>
          <w:p w14:paraId="643A6B8B">
            <w:pPr>
              <w:pStyle w:val="40"/>
              <w:spacing w:line="360" w:lineRule="auto"/>
              <w:ind w:firstLine="460" w:firstLineChars="200"/>
              <w:rPr>
                <w:rFonts w:ascii="Times New Roman" w:hAnsi="Times New Roman" w:cs="Times New Roman" w:eastAsiaTheme="minorEastAsia"/>
                <w:color w:val="000000" w:themeColor="text1"/>
                <w:sz w:val="24"/>
                <w:lang w:val="en-US"/>
              </w:rPr>
            </w:pPr>
            <w:r>
              <w:rPr>
                <w:rFonts w:ascii="Times New Roman" w:hAnsi="Times New Roman" w:cs="Times New Roman" w:eastAsiaTheme="minorEastAsia"/>
                <w:color w:val="000000" w:themeColor="text1"/>
                <w:spacing w:val="-5"/>
                <w:sz w:val="24"/>
              </w:rPr>
              <w:t>固废产生</w:t>
            </w:r>
            <w:r>
              <w:rPr>
                <w:rFonts w:ascii="Times New Roman" w:hAnsi="Times New Roman" w:cs="Times New Roman" w:eastAsiaTheme="minorEastAsia"/>
                <w:color w:val="000000" w:themeColor="text1"/>
                <w:sz w:val="24"/>
              </w:rPr>
              <w:t>情况及固废性质判断见下表：</w:t>
            </w:r>
          </w:p>
          <w:p w14:paraId="303C9AC0">
            <w:pPr>
              <w:pStyle w:val="40"/>
              <w:jc w:val="center"/>
              <w:rPr>
                <w:rFonts w:ascii="Times New Roman" w:hAnsi="Times New Roman" w:cs="Times New Roman" w:eastAsiaTheme="minorEastAsia"/>
                <w:b/>
                <w:bCs/>
                <w:color w:val="000000" w:themeColor="text1"/>
                <w:sz w:val="24"/>
                <w:lang w:val="en-US"/>
              </w:rPr>
            </w:pPr>
            <w:r>
              <w:rPr>
                <w:rFonts w:ascii="Times New Roman" w:hAnsi="Times New Roman" w:cs="Times New Roman" w:eastAsiaTheme="minorEastAsia"/>
                <w:b/>
                <w:bCs/>
                <w:color w:val="000000" w:themeColor="text1"/>
                <w:sz w:val="24"/>
                <w:lang w:val="en-US"/>
              </w:rPr>
              <w:t>表4-</w:t>
            </w:r>
            <w:r>
              <w:rPr>
                <w:rFonts w:hint="eastAsia" w:ascii="Times New Roman" w:hAnsi="Times New Roman" w:cs="Times New Roman" w:eastAsiaTheme="minorEastAsia"/>
                <w:b/>
                <w:bCs/>
                <w:color w:val="000000" w:themeColor="text1"/>
                <w:sz w:val="24"/>
                <w:lang w:val="en-US"/>
              </w:rPr>
              <w:t>10</w:t>
            </w:r>
            <w:r>
              <w:rPr>
                <w:rFonts w:ascii="Times New Roman" w:hAnsi="Times New Roman" w:cs="Times New Roman" w:eastAsiaTheme="minorEastAsia"/>
                <w:b/>
                <w:bCs/>
                <w:color w:val="000000" w:themeColor="text1"/>
                <w:sz w:val="24"/>
                <w:lang w:val="en-US"/>
              </w:rPr>
              <w:t>项目固体废物排放一览表</w:t>
            </w:r>
          </w:p>
          <w:tbl>
            <w:tblPr>
              <w:tblStyle w:val="2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691"/>
              <w:gridCol w:w="1527"/>
              <w:gridCol w:w="2127"/>
              <w:gridCol w:w="1323"/>
              <w:gridCol w:w="1121"/>
            </w:tblGrid>
            <w:tr w14:paraId="6B7B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15" w:type="dxa"/>
                  <w:vAlign w:val="center"/>
                </w:tcPr>
                <w:p w14:paraId="200976C4">
                  <w:pPr>
                    <w:pStyle w:val="40"/>
                    <w:jc w:val="center"/>
                    <w:rPr>
                      <w:rFonts w:ascii="Times New Roman" w:hAnsi="Times New Roman" w:cs="Times New Roman" w:eastAsiaTheme="minorEastAsia"/>
                      <w:b/>
                      <w:bCs/>
                      <w:color w:val="000000" w:themeColor="text1"/>
                      <w:sz w:val="21"/>
                      <w:szCs w:val="21"/>
                      <w:lang w:val="en-US"/>
                    </w:rPr>
                  </w:pPr>
                  <w:r>
                    <w:rPr>
                      <w:rFonts w:ascii="Times New Roman" w:hAnsi="Times New Roman" w:cs="Times New Roman" w:eastAsiaTheme="minorEastAsia"/>
                      <w:b/>
                      <w:bCs/>
                      <w:color w:val="000000" w:themeColor="text1"/>
                      <w:sz w:val="21"/>
                      <w:szCs w:val="21"/>
                      <w:lang w:val="en-US"/>
                    </w:rPr>
                    <w:t>序号</w:t>
                  </w:r>
                </w:p>
              </w:tc>
              <w:tc>
                <w:tcPr>
                  <w:tcW w:w="1691" w:type="dxa"/>
                  <w:vAlign w:val="center"/>
                </w:tcPr>
                <w:p w14:paraId="261E0DD4">
                  <w:pPr>
                    <w:pStyle w:val="40"/>
                    <w:jc w:val="center"/>
                    <w:rPr>
                      <w:rFonts w:ascii="Times New Roman" w:hAnsi="Times New Roman" w:cs="Times New Roman" w:eastAsiaTheme="minorEastAsia"/>
                      <w:b/>
                      <w:bCs/>
                      <w:color w:val="000000" w:themeColor="text1"/>
                      <w:sz w:val="21"/>
                      <w:szCs w:val="21"/>
                      <w:lang w:val="en-US"/>
                    </w:rPr>
                  </w:pPr>
                  <w:r>
                    <w:rPr>
                      <w:rFonts w:ascii="Times New Roman" w:hAnsi="Times New Roman" w:cs="Times New Roman" w:eastAsiaTheme="minorEastAsia"/>
                      <w:b/>
                      <w:bCs/>
                      <w:color w:val="000000" w:themeColor="text1"/>
                      <w:sz w:val="21"/>
                      <w:szCs w:val="21"/>
                    </w:rPr>
                    <w:t>固废名称</w:t>
                  </w:r>
                </w:p>
              </w:tc>
              <w:tc>
                <w:tcPr>
                  <w:tcW w:w="1527" w:type="dxa"/>
                  <w:vAlign w:val="center"/>
                </w:tcPr>
                <w:p w14:paraId="6A054293">
                  <w:pPr>
                    <w:pStyle w:val="40"/>
                    <w:jc w:val="center"/>
                    <w:rPr>
                      <w:rFonts w:ascii="Times New Roman" w:hAnsi="Times New Roman" w:cs="Times New Roman" w:eastAsiaTheme="minorEastAsia"/>
                      <w:b/>
                      <w:bCs/>
                      <w:color w:val="000000" w:themeColor="text1"/>
                      <w:sz w:val="21"/>
                      <w:szCs w:val="21"/>
                      <w:lang w:val="en-US"/>
                    </w:rPr>
                  </w:pPr>
                  <w:r>
                    <w:rPr>
                      <w:rFonts w:ascii="Times New Roman" w:hAnsi="Times New Roman" w:cs="Times New Roman" w:eastAsiaTheme="minorEastAsia"/>
                      <w:b/>
                      <w:bCs/>
                      <w:color w:val="000000" w:themeColor="text1"/>
                      <w:sz w:val="21"/>
                      <w:szCs w:val="21"/>
                    </w:rPr>
                    <w:t>产生量（</w:t>
                  </w:r>
                  <w:r>
                    <w:rPr>
                      <w:rFonts w:ascii="Times New Roman" w:hAnsi="Times New Roman" w:cs="Times New Roman" w:eastAsiaTheme="minorEastAsia"/>
                      <w:b/>
                      <w:bCs/>
                      <w:color w:val="000000" w:themeColor="text1"/>
                      <w:sz w:val="21"/>
                      <w:szCs w:val="21"/>
                      <w:lang w:val="en-US"/>
                    </w:rPr>
                    <w:t>t/a</w:t>
                  </w:r>
                  <w:r>
                    <w:rPr>
                      <w:rFonts w:ascii="Times New Roman" w:hAnsi="Times New Roman" w:cs="Times New Roman" w:eastAsiaTheme="minorEastAsia"/>
                      <w:b/>
                      <w:bCs/>
                      <w:color w:val="000000" w:themeColor="text1"/>
                      <w:sz w:val="21"/>
                      <w:szCs w:val="21"/>
                    </w:rPr>
                    <w:t>）</w:t>
                  </w:r>
                </w:p>
              </w:tc>
              <w:tc>
                <w:tcPr>
                  <w:tcW w:w="2127" w:type="dxa"/>
                  <w:vAlign w:val="center"/>
                </w:tcPr>
                <w:p w14:paraId="66D7E2F5">
                  <w:pPr>
                    <w:pStyle w:val="40"/>
                    <w:jc w:val="center"/>
                    <w:rPr>
                      <w:rFonts w:ascii="Times New Roman" w:hAnsi="Times New Roman" w:cs="Times New Roman" w:eastAsiaTheme="minorEastAsia"/>
                      <w:b/>
                      <w:bCs/>
                      <w:color w:val="000000" w:themeColor="text1"/>
                      <w:sz w:val="21"/>
                      <w:szCs w:val="21"/>
                      <w:lang w:val="en-US"/>
                    </w:rPr>
                  </w:pPr>
                  <w:r>
                    <w:rPr>
                      <w:rFonts w:ascii="Times New Roman" w:hAnsi="Times New Roman" w:cs="Times New Roman" w:eastAsiaTheme="minorEastAsia"/>
                      <w:b/>
                      <w:bCs/>
                      <w:color w:val="000000" w:themeColor="text1"/>
                      <w:sz w:val="21"/>
                      <w:szCs w:val="21"/>
                    </w:rPr>
                    <w:t>处置方式及去向</w:t>
                  </w:r>
                </w:p>
              </w:tc>
              <w:tc>
                <w:tcPr>
                  <w:tcW w:w="1323" w:type="dxa"/>
                  <w:vAlign w:val="center"/>
                </w:tcPr>
                <w:p w14:paraId="032ABDE1">
                  <w:pPr>
                    <w:pStyle w:val="40"/>
                    <w:jc w:val="center"/>
                    <w:rPr>
                      <w:rFonts w:ascii="Times New Roman" w:hAnsi="Times New Roman" w:cs="Times New Roman" w:eastAsiaTheme="minorEastAsia"/>
                      <w:b/>
                      <w:bCs/>
                      <w:color w:val="000000" w:themeColor="text1"/>
                      <w:sz w:val="21"/>
                      <w:szCs w:val="21"/>
                      <w:lang w:val="en-US"/>
                    </w:rPr>
                  </w:pPr>
                  <w:r>
                    <w:rPr>
                      <w:rFonts w:ascii="Times New Roman" w:hAnsi="Times New Roman" w:cs="Times New Roman" w:eastAsiaTheme="minorEastAsia"/>
                      <w:b/>
                      <w:bCs/>
                      <w:color w:val="000000" w:themeColor="text1"/>
                      <w:sz w:val="21"/>
                      <w:szCs w:val="21"/>
                    </w:rPr>
                    <w:t>废物性质</w:t>
                  </w:r>
                </w:p>
              </w:tc>
              <w:tc>
                <w:tcPr>
                  <w:tcW w:w="1121" w:type="dxa"/>
                  <w:vAlign w:val="center"/>
                </w:tcPr>
                <w:p w14:paraId="19C3114B">
                  <w:pPr>
                    <w:pStyle w:val="40"/>
                    <w:jc w:val="center"/>
                    <w:rPr>
                      <w:rFonts w:ascii="Times New Roman" w:hAnsi="Times New Roman" w:cs="Times New Roman" w:eastAsiaTheme="minorEastAsia"/>
                      <w:b/>
                      <w:bCs/>
                      <w:color w:val="000000" w:themeColor="text1"/>
                      <w:sz w:val="21"/>
                      <w:szCs w:val="21"/>
                      <w:lang w:val="en-US"/>
                    </w:rPr>
                  </w:pPr>
                  <w:r>
                    <w:rPr>
                      <w:rFonts w:ascii="Times New Roman" w:hAnsi="Times New Roman" w:cs="Times New Roman" w:eastAsiaTheme="minorEastAsia"/>
                      <w:b/>
                      <w:bCs/>
                      <w:color w:val="000000" w:themeColor="text1"/>
                      <w:sz w:val="21"/>
                      <w:szCs w:val="21"/>
                    </w:rPr>
                    <w:t>形态</w:t>
                  </w:r>
                </w:p>
              </w:tc>
            </w:tr>
            <w:tr w14:paraId="20F6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13AFC52">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w w:val="99"/>
                      <w:sz w:val="21"/>
                      <w:szCs w:val="21"/>
                    </w:rPr>
                    <w:t>1</w:t>
                  </w:r>
                </w:p>
              </w:tc>
              <w:tc>
                <w:tcPr>
                  <w:tcW w:w="1691" w:type="dxa"/>
                  <w:vAlign w:val="center"/>
                </w:tcPr>
                <w:p w14:paraId="7EEED923">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rPr>
                    <w:t>生活垃圾</w:t>
                  </w:r>
                </w:p>
              </w:tc>
              <w:tc>
                <w:tcPr>
                  <w:tcW w:w="1527" w:type="dxa"/>
                  <w:vAlign w:val="center"/>
                </w:tcPr>
                <w:p w14:paraId="2C0CFD97">
                  <w:pPr>
                    <w:pStyle w:val="40"/>
                    <w:jc w:val="center"/>
                    <w:rPr>
                      <w:rFonts w:ascii="Times New Roman" w:hAnsi="Times New Roman" w:cs="Times New Roman" w:eastAsiaTheme="minorEastAsia"/>
                      <w:color w:val="000000" w:themeColor="text1"/>
                      <w:sz w:val="21"/>
                      <w:szCs w:val="21"/>
                      <w:lang w:val="en-US"/>
                    </w:rPr>
                  </w:pPr>
                  <w:r>
                    <w:rPr>
                      <w:rFonts w:hint="eastAsia" w:ascii="Times New Roman" w:hAnsi="Times New Roman" w:cs="Times New Roman" w:eastAsiaTheme="minorEastAsia"/>
                      <w:color w:val="000000" w:themeColor="text1"/>
                      <w:sz w:val="21"/>
                      <w:szCs w:val="21"/>
                      <w:lang w:val="en-US"/>
                    </w:rPr>
                    <w:t>78.147</w:t>
                  </w:r>
                </w:p>
              </w:tc>
              <w:tc>
                <w:tcPr>
                  <w:tcW w:w="2127" w:type="dxa"/>
                  <w:vAlign w:val="center"/>
                </w:tcPr>
                <w:p w14:paraId="096956A9">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统一收集，委托环卫部门处置</w:t>
                  </w:r>
                </w:p>
              </w:tc>
              <w:tc>
                <w:tcPr>
                  <w:tcW w:w="1323" w:type="dxa"/>
                  <w:vAlign w:val="center"/>
                </w:tcPr>
                <w:p w14:paraId="292E4BD7">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rPr>
                    <w:t>一般工业</w:t>
                  </w:r>
                  <w:r>
                    <w:rPr>
                      <w:rFonts w:hint="eastAsia" w:ascii="Times New Roman" w:hAnsi="Times New Roman" w:cs="Times New Roman" w:eastAsiaTheme="minorEastAsia"/>
                      <w:color w:val="000000" w:themeColor="text1"/>
                      <w:sz w:val="21"/>
                      <w:szCs w:val="21"/>
                      <w:lang w:val="en-US"/>
                    </w:rPr>
                    <w:t>固体废物</w:t>
                  </w:r>
                </w:p>
              </w:tc>
              <w:tc>
                <w:tcPr>
                  <w:tcW w:w="1121" w:type="dxa"/>
                  <w:vAlign w:val="center"/>
                </w:tcPr>
                <w:p w14:paraId="702044A7">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rPr>
                    <w:t>固态</w:t>
                  </w:r>
                </w:p>
              </w:tc>
            </w:tr>
            <w:tr w14:paraId="0372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468EEF7">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2</w:t>
                  </w:r>
                </w:p>
              </w:tc>
              <w:tc>
                <w:tcPr>
                  <w:tcW w:w="1691" w:type="dxa"/>
                  <w:vAlign w:val="center"/>
                </w:tcPr>
                <w:p w14:paraId="38A43ED1">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医疗废物</w:t>
                  </w:r>
                </w:p>
              </w:tc>
              <w:tc>
                <w:tcPr>
                  <w:tcW w:w="1527" w:type="dxa"/>
                  <w:vAlign w:val="center"/>
                </w:tcPr>
                <w:p w14:paraId="100A9D8A">
                  <w:pPr>
                    <w:pStyle w:val="40"/>
                    <w:jc w:val="center"/>
                    <w:rPr>
                      <w:rFonts w:ascii="Times New Roman" w:hAnsi="Times New Roman" w:cs="Times New Roman" w:eastAsiaTheme="minorEastAsia"/>
                      <w:color w:val="000000" w:themeColor="text1"/>
                      <w:sz w:val="21"/>
                      <w:szCs w:val="21"/>
                      <w:lang w:val="en-US"/>
                    </w:rPr>
                  </w:pPr>
                  <w:r>
                    <w:rPr>
                      <w:rFonts w:hint="eastAsia" w:ascii="Times New Roman" w:hAnsi="Times New Roman" w:cs="Times New Roman" w:eastAsiaTheme="minorEastAsia"/>
                      <w:color w:val="000000" w:themeColor="text1"/>
                      <w:sz w:val="21"/>
                      <w:szCs w:val="21"/>
                      <w:lang w:val="en-US"/>
                    </w:rPr>
                    <w:t>34.923</w:t>
                  </w:r>
                </w:p>
              </w:tc>
              <w:tc>
                <w:tcPr>
                  <w:tcW w:w="2127" w:type="dxa"/>
                  <w:vAlign w:val="center"/>
                </w:tcPr>
                <w:p w14:paraId="024A60CC">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委托</w:t>
                  </w:r>
                  <w:r>
                    <w:rPr>
                      <w:rFonts w:hint="eastAsia" w:ascii="Times New Roman" w:hAnsi="Times New Roman" w:cs="Times New Roman" w:eastAsiaTheme="minorEastAsia"/>
                      <w:color w:val="000000" w:themeColor="text1"/>
                      <w:sz w:val="21"/>
                      <w:szCs w:val="21"/>
                      <w:lang w:val="en-US"/>
                    </w:rPr>
                    <w:t>桂林高能时代环境服务有限公司</w:t>
                  </w:r>
                  <w:r>
                    <w:rPr>
                      <w:rFonts w:ascii="Times New Roman" w:hAnsi="Times New Roman" w:cs="Times New Roman" w:eastAsiaTheme="minorEastAsia"/>
                      <w:color w:val="000000" w:themeColor="text1"/>
                      <w:sz w:val="21"/>
                      <w:szCs w:val="21"/>
                      <w:lang w:val="en-US"/>
                    </w:rPr>
                    <w:t>处置</w:t>
                  </w:r>
                </w:p>
              </w:tc>
              <w:tc>
                <w:tcPr>
                  <w:tcW w:w="1323" w:type="dxa"/>
                  <w:vAlign w:val="center"/>
                </w:tcPr>
                <w:p w14:paraId="7A702548">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危险废物</w:t>
                  </w:r>
                </w:p>
              </w:tc>
              <w:tc>
                <w:tcPr>
                  <w:tcW w:w="1121" w:type="dxa"/>
                  <w:vAlign w:val="center"/>
                </w:tcPr>
                <w:p w14:paraId="3B533DAF">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rPr>
                    <w:t>固态</w:t>
                  </w:r>
                  <w:r>
                    <w:rPr>
                      <w:rFonts w:ascii="Times New Roman" w:hAnsi="Times New Roman" w:cs="Times New Roman" w:eastAsiaTheme="minorEastAsia"/>
                      <w:color w:val="000000" w:themeColor="text1"/>
                      <w:sz w:val="21"/>
                      <w:szCs w:val="21"/>
                      <w:lang w:val="en-US"/>
                    </w:rPr>
                    <w:t>/液体</w:t>
                  </w:r>
                </w:p>
              </w:tc>
            </w:tr>
            <w:tr w14:paraId="0090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0A13EE3">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3</w:t>
                  </w:r>
                </w:p>
              </w:tc>
              <w:tc>
                <w:tcPr>
                  <w:tcW w:w="1691" w:type="dxa"/>
                  <w:vAlign w:val="center"/>
                </w:tcPr>
                <w:p w14:paraId="54F66102">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污水处理站污泥</w:t>
                  </w:r>
                  <w:r>
                    <w:rPr>
                      <w:rFonts w:hint="eastAsia" w:ascii="Times New Roman" w:hAnsi="Times New Roman" w:cs="Times New Roman" w:eastAsiaTheme="minorEastAsia"/>
                      <w:color w:val="000000" w:themeColor="text1"/>
                      <w:sz w:val="21"/>
                      <w:szCs w:val="21"/>
                      <w:lang w:val="en-US"/>
                    </w:rPr>
                    <w:t>及格栅渣</w:t>
                  </w:r>
                </w:p>
              </w:tc>
              <w:tc>
                <w:tcPr>
                  <w:tcW w:w="1527" w:type="dxa"/>
                  <w:vAlign w:val="center"/>
                </w:tcPr>
                <w:p w14:paraId="0AF45BB4">
                  <w:pPr>
                    <w:pStyle w:val="40"/>
                    <w:jc w:val="center"/>
                    <w:rPr>
                      <w:rFonts w:ascii="Times New Roman" w:hAnsi="Times New Roman" w:cs="Times New Roman" w:eastAsiaTheme="minorEastAsia"/>
                      <w:color w:val="000000" w:themeColor="text1"/>
                      <w:sz w:val="21"/>
                      <w:szCs w:val="21"/>
                      <w:lang w:val="en-US"/>
                    </w:rPr>
                  </w:pPr>
                  <w:r>
                    <w:rPr>
                      <w:rFonts w:hint="eastAsia" w:ascii="Times New Roman" w:hAnsi="Times New Roman" w:cs="Times New Roman" w:eastAsiaTheme="minorEastAsia"/>
                      <w:color w:val="000000" w:themeColor="text1"/>
                      <w:sz w:val="21"/>
                      <w:szCs w:val="21"/>
                      <w:lang w:val="en-US"/>
                    </w:rPr>
                    <w:t>6.00</w:t>
                  </w:r>
                </w:p>
              </w:tc>
              <w:tc>
                <w:tcPr>
                  <w:tcW w:w="2127" w:type="dxa"/>
                  <w:vAlign w:val="center"/>
                </w:tcPr>
                <w:p w14:paraId="5B6EB0ED">
                  <w:pPr>
                    <w:pStyle w:val="40"/>
                    <w:jc w:val="center"/>
                    <w:rPr>
                      <w:rFonts w:ascii="Times New Roman" w:hAnsi="Times New Roman" w:cs="Times New Roman" w:eastAsiaTheme="minorEastAsia"/>
                      <w:color w:val="000000" w:themeColor="text1"/>
                      <w:sz w:val="21"/>
                      <w:szCs w:val="21"/>
                      <w:lang w:val="en-US"/>
                    </w:rPr>
                  </w:pPr>
                  <w:r>
                    <w:rPr>
                      <w:rFonts w:hint="eastAsia" w:ascii="Times New Roman" w:hAnsi="Times New Roman" w:cs="Times New Roman" w:eastAsiaTheme="minorEastAsia"/>
                      <w:color w:val="000000" w:themeColor="text1"/>
                      <w:sz w:val="21"/>
                      <w:szCs w:val="21"/>
                      <w:lang w:val="en-US"/>
                    </w:rPr>
                    <w:t>委托桂林高能时代环境服务有限公司清理并直接运走处置，不在医院暂存</w:t>
                  </w:r>
                </w:p>
              </w:tc>
              <w:tc>
                <w:tcPr>
                  <w:tcW w:w="1323" w:type="dxa"/>
                  <w:vAlign w:val="center"/>
                </w:tcPr>
                <w:p w14:paraId="40865834">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危险废物</w:t>
                  </w:r>
                </w:p>
              </w:tc>
              <w:tc>
                <w:tcPr>
                  <w:tcW w:w="1121" w:type="dxa"/>
                  <w:vAlign w:val="center"/>
                </w:tcPr>
                <w:p w14:paraId="7CF29023">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rPr>
                    <w:t>固态</w:t>
                  </w:r>
                </w:p>
              </w:tc>
            </w:tr>
            <w:tr w14:paraId="4833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46572D37">
                  <w:pPr>
                    <w:pStyle w:val="40"/>
                    <w:jc w:val="center"/>
                    <w:rPr>
                      <w:rFonts w:ascii="Times New Roman" w:hAnsi="Times New Roman" w:cs="Times New Roman" w:eastAsiaTheme="minorEastAsia"/>
                      <w:color w:val="000000" w:themeColor="text1"/>
                      <w:sz w:val="21"/>
                      <w:szCs w:val="21"/>
                      <w:lang w:val="en-US"/>
                    </w:rPr>
                  </w:pPr>
                  <w:r>
                    <w:rPr>
                      <w:rFonts w:hint="eastAsia" w:ascii="Times New Roman" w:hAnsi="Times New Roman" w:cs="Times New Roman" w:eastAsiaTheme="minorEastAsia"/>
                      <w:color w:val="000000" w:themeColor="text1"/>
                      <w:sz w:val="21"/>
                      <w:szCs w:val="21"/>
                      <w:lang w:val="en-US"/>
                    </w:rPr>
                    <w:t>4</w:t>
                  </w:r>
                </w:p>
              </w:tc>
              <w:tc>
                <w:tcPr>
                  <w:tcW w:w="1691" w:type="dxa"/>
                  <w:vAlign w:val="center"/>
                </w:tcPr>
                <w:p w14:paraId="196E80EF">
                  <w:pPr>
                    <w:pStyle w:val="40"/>
                    <w:jc w:val="center"/>
                    <w:rPr>
                      <w:rFonts w:ascii="Times New Roman" w:hAnsi="Times New Roman" w:cs="Times New Roman" w:eastAsiaTheme="minorEastAsia"/>
                      <w:color w:val="000000" w:themeColor="text1"/>
                      <w:sz w:val="21"/>
                      <w:szCs w:val="21"/>
                      <w:lang w:val="en-US"/>
                    </w:rPr>
                  </w:pPr>
                  <w:r>
                    <w:rPr>
                      <w:rFonts w:hint="eastAsia" w:ascii="Times New Roman" w:hAnsi="Times New Roman" w:cs="Times New Roman" w:eastAsiaTheme="minorEastAsia"/>
                      <w:color w:val="000000" w:themeColor="text1"/>
                      <w:sz w:val="21"/>
                      <w:szCs w:val="21"/>
                      <w:lang w:val="en-US"/>
                    </w:rPr>
                    <w:t>输液瓶</w:t>
                  </w:r>
                </w:p>
              </w:tc>
              <w:tc>
                <w:tcPr>
                  <w:tcW w:w="1527" w:type="dxa"/>
                  <w:vAlign w:val="center"/>
                </w:tcPr>
                <w:p w14:paraId="3F55099F">
                  <w:pPr>
                    <w:pStyle w:val="40"/>
                    <w:jc w:val="center"/>
                    <w:rPr>
                      <w:rFonts w:ascii="Times New Roman" w:hAnsi="Times New Roman" w:cs="Times New Roman" w:eastAsiaTheme="minorEastAsia"/>
                      <w:color w:val="000000" w:themeColor="text1"/>
                      <w:sz w:val="21"/>
                      <w:szCs w:val="21"/>
                      <w:lang w:val="en-US"/>
                    </w:rPr>
                  </w:pPr>
                  <w:r>
                    <w:rPr>
                      <w:rFonts w:hint="eastAsia" w:ascii="Times New Roman" w:hAnsi="Times New Roman" w:cs="Times New Roman" w:eastAsiaTheme="minorEastAsia"/>
                      <w:color w:val="000000" w:themeColor="text1"/>
                      <w:sz w:val="21"/>
                      <w:szCs w:val="21"/>
                      <w:lang w:val="en-US"/>
                    </w:rPr>
                    <w:t>4.5</w:t>
                  </w:r>
                </w:p>
              </w:tc>
              <w:tc>
                <w:tcPr>
                  <w:tcW w:w="2127" w:type="dxa"/>
                  <w:vAlign w:val="center"/>
                </w:tcPr>
                <w:p w14:paraId="3C5EE677">
                  <w:pPr>
                    <w:pStyle w:val="40"/>
                    <w:jc w:val="center"/>
                    <w:rPr>
                      <w:rFonts w:ascii="Times New Roman" w:hAnsi="Times New Roman" w:cs="Times New Roman" w:eastAsiaTheme="minorEastAsia"/>
                      <w:color w:val="000000" w:themeColor="text1"/>
                      <w:sz w:val="21"/>
                      <w:szCs w:val="21"/>
                      <w:lang w:val="en-US"/>
                    </w:rPr>
                  </w:pPr>
                  <w:r>
                    <w:rPr>
                      <w:rFonts w:hint="eastAsia" w:ascii="Times New Roman" w:hAnsi="Times New Roman" w:cs="Times New Roman" w:eastAsiaTheme="minorEastAsia"/>
                      <w:color w:val="000000" w:themeColor="text1"/>
                      <w:sz w:val="21"/>
                      <w:szCs w:val="21"/>
                      <w:lang w:val="en-US"/>
                    </w:rPr>
                    <w:t>委托广西纳尔环保科技有限公司处理</w:t>
                  </w:r>
                </w:p>
              </w:tc>
              <w:tc>
                <w:tcPr>
                  <w:tcW w:w="1323" w:type="dxa"/>
                  <w:vAlign w:val="center"/>
                </w:tcPr>
                <w:p w14:paraId="1FBC2492">
                  <w:pPr>
                    <w:pStyle w:val="40"/>
                    <w:jc w:val="center"/>
                    <w:rPr>
                      <w:rFonts w:ascii="Times New Roman" w:hAnsi="Times New Roman" w:cs="Times New Roman" w:eastAsiaTheme="minorEastAsia"/>
                      <w:color w:val="000000" w:themeColor="text1"/>
                      <w:sz w:val="21"/>
                      <w:szCs w:val="21"/>
                      <w:lang w:val="en-US"/>
                    </w:rPr>
                  </w:pPr>
                  <w:r>
                    <w:rPr>
                      <w:rFonts w:hint="eastAsia" w:ascii="Times New Roman" w:hAnsi="Times New Roman" w:cs="Times New Roman" w:eastAsiaTheme="minorEastAsia"/>
                      <w:color w:val="000000" w:themeColor="text1"/>
                      <w:sz w:val="21"/>
                      <w:szCs w:val="21"/>
                      <w:lang w:val="en-US"/>
                    </w:rPr>
                    <w:t>一般工业固体废物</w:t>
                  </w:r>
                </w:p>
              </w:tc>
              <w:tc>
                <w:tcPr>
                  <w:tcW w:w="1121" w:type="dxa"/>
                  <w:vAlign w:val="center"/>
                </w:tcPr>
                <w:p w14:paraId="0FD3B781">
                  <w:pPr>
                    <w:pStyle w:val="40"/>
                    <w:jc w:val="center"/>
                    <w:rPr>
                      <w:rFonts w:ascii="Times New Roman" w:hAnsi="Times New Roman" w:cs="Times New Roman" w:eastAsiaTheme="minorEastAsia"/>
                      <w:color w:val="000000" w:themeColor="text1"/>
                      <w:sz w:val="21"/>
                      <w:szCs w:val="21"/>
                    </w:rPr>
                  </w:pPr>
                  <w:r>
                    <w:rPr>
                      <w:rFonts w:ascii="Times New Roman" w:hAnsi="Times New Roman" w:cs="Times New Roman" w:eastAsiaTheme="minorEastAsia"/>
                      <w:color w:val="000000" w:themeColor="text1"/>
                      <w:sz w:val="21"/>
                      <w:szCs w:val="21"/>
                    </w:rPr>
                    <w:t>固态</w:t>
                  </w:r>
                </w:p>
              </w:tc>
            </w:tr>
          </w:tbl>
          <w:p w14:paraId="7BEC0AA5">
            <w:pPr>
              <w:pStyle w:val="40"/>
              <w:spacing w:line="360" w:lineRule="auto"/>
              <w:ind w:firstLine="480" w:firstLineChars="200"/>
              <w:rPr>
                <w:rFonts w:ascii="Times New Roman" w:hAnsi="Times New Roman" w:cs="Times New Roman" w:eastAsiaTheme="minorEastAsia"/>
                <w:color w:val="000000" w:themeColor="text1"/>
                <w:sz w:val="24"/>
                <w:lang w:val="en-US"/>
              </w:rPr>
            </w:pPr>
            <w:r>
              <w:rPr>
                <w:rFonts w:ascii="Times New Roman" w:hAnsi="Times New Roman" w:cs="Times New Roman" w:eastAsiaTheme="minorEastAsia"/>
                <w:color w:val="000000" w:themeColor="text1"/>
                <w:sz w:val="24"/>
                <w:lang w:val="en-US"/>
              </w:rPr>
              <w:t>医疗机构排污单位的危险废物主要包括医疗废物、废药物、药品和污水处理站污泥</w:t>
            </w:r>
            <w:r>
              <w:rPr>
                <w:rFonts w:hint="eastAsia" w:ascii="Times New Roman" w:hAnsi="Times New Roman" w:cs="Times New Roman" w:eastAsiaTheme="minorEastAsia"/>
                <w:color w:val="000000" w:themeColor="text1"/>
                <w:sz w:val="24"/>
                <w:lang w:val="en-US"/>
              </w:rPr>
              <w:t>及格栅渣</w:t>
            </w:r>
            <w:r>
              <w:rPr>
                <w:rFonts w:ascii="Times New Roman" w:hAnsi="Times New Roman" w:cs="Times New Roman" w:eastAsiaTheme="minorEastAsia"/>
                <w:color w:val="000000" w:themeColor="text1"/>
                <w:sz w:val="24"/>
                <w:lang w:val="en-US"/>
              </w:rPr>
              <w:t>，医疗废物的常见组分和名称参照《医疗废物分类目录》。医疗机构具体的危险废物种类和处理方式见表4-</w:t>
            </w:r>
            <w:r>
              <w:rPr>
                <w:rFonts w:hint="eastAsia" w:ascii="Times New Roman" w:hAnsi="Times New Roman" w:cs="Times New Roman" w:eastAsiaTheme="minorEastAsia"/>
                <w:color w:val="000000" w:themeColor="text1"/>
                <w:sz w:val="24"/>
                <w:lang w:val="en-US"/>
              </w:rPr>
              <w:t>11</w:t>
            </w:r>
            <w:r>
              <w:rPr>
                <w:rFonts w:ascii="Times New Roman" w:hAnsi="Times New Roman" w:cs="Times New Roman" w:eastAsiaTheme="minorEastAsia"/>
                <w:color w:val="000000" w:themeColor="text1"/>
                <w:sz w:val="24"/>
                <w:lang w:val="en-US"/>
              </w:rPr>
              <w:t>。</w:t>
            </w:r>
          </w:p>
          <w:p w14:paraId="29614EBC">
            <w:pPr>
              <w:pStyle w:val="40"/>
              <w:jc w:val="center"/>
              <w:rPr>
                <w:rFonts w:ascii="Times New Roman" w:hAnsi="Times New Roman" w:cs="Times New Roman" w:eastAsiaTheme="minorEastAsia"/>
                <w:b/>
                <w:bCs/>
                <w:color w:val="000000" w:themeColor="text1"/>
                <w:sz w:val="24"/>
                <w:lang w:val="en-US"/>
              </w:rPr>
            </w:pPr>
            <w:r>
              <w:rPr>
                <w:rFonts w:ascii="Times New Roman" w:hAnsi="Times New Roman" w:cs="Times New Roman" w:eastAsiaTheme="minorEastAsia"/>
                <w:b/>
                <w:bCs/>
                <w:color w:val="000000" w:themeColor="text1"/>
                <w:sz w:val="24"/>
                <w:lang w:val="en-US"/>
              </w:rPr>
              <w:t>表4-</w:t>
            </w:r>
            <w:r>
              <w:rPr>
                <w:rFonts w:hint="eastAsia" w:ascii="Times New Roman" w:hAnsi="Times New Roman" w:cs="Times New Roman" w:eastAsiaTheme="minorEastAsia"/>
                <w:b/>
                <w:bCs/>
                <w:color w:val="000000" w:themeColor="text1"/>
                <w:sz w:val="24"/>
                <w:lang w:val="en-US"/>
              </w:rPr>
              <w:t>11</w:t>
            </w:r>
            <w:r>
              <w:rPr>
                <w:rFonts w:ascii="Times New Roman" w:hAnsi="Times New Roman" w:cs="Times New Roman" w:eastAsiaTheme="minorEastAsia"/>
                <w:b/>
                <w:bCs/>
                <w:color w:val="000000" w:themeColor="text1"/>
                <w:sz w:val="24"/>
                <w:lang w:val="en-US"/>
              </w:rPr>
              <w:t>医疗机构排污单位危险废物种类和处理方式表</w:t>
            </w:r>
          </w:p>
          <w:tbl>
            <w:tblPr>
              <w:tblStyle w:val="2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3092"/>
              <w:gridCol w:w="1544"/>
              <w:gridCol w:w="2130"/>
            </w:tblGrid>
            <w:tr w14:paraId="12CE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vAlign w:val="center"/>
                </w:tcPr>
                <w:p w14:paraId="15164044">
                  <w:pPr>
                    <w:pStyle w:val="40"/>
                    <w:jc w:val="center"/>
                    <w:rPr>
                      <w:rFonts w:ascii="Times New Roman" w:hAnsi="Times New Roman" w:cs="Times New Roman" w:eastAsiaTheme="minorEastAsia"/>
                      <w:b/>
                      <w:bCs/>
                      <w:color w:val="000000" w:themeColor="text1"/>
                      <w:sz w:val="21"/>
                      <w:szCs w:val="21"/>
                      <w:lang w:val="en-US"/>
                    </w:rPr>
                  </w:pPr>
                  <w:r>
                    <w:rPr>
                      <w:rFonts w:hint="eastAsia" w:ascii="Times New Roman" w:hAnsi="Times New Roman" w:cs="Times New Roman" w:eastAsiaTheme="minorEastAsia"/>
                      <w:b/>
                      <w:bCs/>
                      <w:color w:val="000000" w:themeColor="text1"/>
                      <w:sz w:val="21"/>
                      <w:szCs w:val="21"/>
                      <w:lang w:val="en-US"/>
                    </w:rPr>
                    <w:t>危</w:t>
                  </w:r>
                  <w:r>
                    <w:rPr>
                      <w:rFonts w:ascii="Times New Roman" w:hAnsi="Times New Roman" w:cs="Times New Roman" w:eastAsiaTheme="minorEastAsia"/>
                      <w:b/>
                      <w:bCs/>
                      <w:color w:val="000000" w:themeColor="text1"/>
                      <w:sz w:val="21"/>
                      <w:szCs w:val="21"/>
                      <w:lang w:val="en-US"/>
                    </w:rPr>
                    <w:t>险废物种类</w:t>
                  </w:r>
                </w:p>
              </w:tc>
              <w:tc>
                <w:tcPr>
                  <w:tcW w:w="3092" w:type="dxa"/>
                  <w:vAlign w:val="center"/>
                </w:tcPr>
                <w:p w14:paraId="11AC2C80">
                  <w:pPr>
                    <w:pStyle w:val="40"/>
                    <w:jc w:val="center"/>
                    <w:rPr>
                      <w:rFonts w:ascii="Times New Roman" w:hAnsi="Times New Roman" w:cs="Times New Roman" w:eastAsiaTheme="minorEastAsia"/>
                      <w:b/>
                      <w:bCs/>
                      <w:color w:val="000000" w:themeColor="text1"/>
                      <w:sz w:val="21"/>
                      <w:szCs w:val="21"/>
                      <w:lang w:val="en-US"/>
                    </w:rPr>
                  </w:pPr>
                  <w:r>
                    <w:rPr>
                      <w:rFonts w:ascii="Times New Roman" w:hAnsi="Times New Roman" w:cs="Times New Roman" w:eastAsiaTheme="minorEastAsia"/>
                      <w:b/>
                      <w:bCs/>
                      <w:color w:val="000000" w:themeColor="text1"/>
                      <w:sz w:val="21"/>
                      <w:szCs w:val="21"/>
                      <w:lang w:val="en-US"/>
                    </w:rPr>
                    <w:t>危险废物名称</w:t>
                  </w:r>
                </w:p>
              </w:tc>
              <w:tc>
                <w:tcPr>
                  <w:tcW w:w="1544" w:type="dxa"/>
                  <w:vAlign w:val="center"/>
                </w:tcPr>
                <w:p w14:paraId="1533DC08">
                  <w:pPr>
                    <w:pStyle w:val="40"/>
                    <w:jc w:val="center"/>
                    <w:rPr>
                      <w:rFonts w:ascii="Times New Roman" w:hAnsi="Times New Roman" w:cs="Times New Roman" w:eastAsiaTheme="minorEastAsia"/>
                      <w:b/>
                      <w:bCs/>
                      <w:color w:val="000000" w:themeColor="text1"/>
                      <w:sz w:val="21"/>
                      <w:szCs w:val="21"/>
                      <w:lang w:val="en-US"/>
                    </w:rPr>
                  </w:pPr>
                  <w:r>
                    <w:rPr>
                      <w:rFonts w:ascii="Times New Roman" w:hAnsi="Times New Roman" w:cs="Times New Roman" w:eastAsiaTheme="minorEastAsia"/>
                      <w:b/>
                      <w:bCs/>
                      <w:color w:val="000000" w:themeColor="text1"/>
                      <w:sz w:val="21"/>
                      <w:szCs w:val="21"/>
                      <w:lang w:val="en-US"/>
                    </w:rPr>
                    <w:t>处理措施</w:t>
                  </w:r>
                </w:p>
              </w:tc>
              <w:tc>
                <w:tcPr>
                  <w:tcW w:w="2130" w:type="dxa"/>
                  <w:vAlign w:val="center"/>
                </w:tcPr>
                <w:p w14:paraId="018CD4DC">
                  <w:pPr>
                    <w:pStyle w:val="40"/>
                    <w:jc w:val="center"/>
                    <w:rPr>
                      <w:rFonts w:ascii="Times New Roman" w:hAnsi="Times New Roman" w:cs="Times New Roman" w:eastAsiaTheme="minorEastAsia"/>
                      <w:b/>
                      <w:bCs/>
                      <w:color w:val="000000" w:themeColor="text1"/>
                      <w:sz w:val="21"/>
                      <w:szCs w:val="21"/>
                      <w:lang w:val="en-US"/>
                    </w:rPr>
                  </w:pPr>
                  <w:r>
                    <w:rPr>
                      <w:rFonts w:ascii="Times New Roman" w:hAnsi="Times New Roman" w:cs="Times New Roman" w:eastAsiaTheme="minorEastAsia"/>
                      <w:b/>
                      <w:bCs/>
                      <w:color w:val="000000" w:themeColor="text1"/>
                      <w:sz w:val="21"/>
                      <w:szCs w:val="21"/>
                      <w:lang w:val="en-US"/>
                    </w:rPr>
                    <w:t>处理方式</w:t>
                  </w:r>
                </w:p>
              </w:tc>
            </w:tr>
            <w:tr w14:paraId="3A5A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vAlign w:val="center"/>
                </w:tcPr>
                <w:p w14:paraId="1CE9BC37">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HW01医疗废物</w:t>
                  </w:r>
                </w:p>
              </w:tc>
              <w:tc>
                <w:tcPr>
                  <w:tcW w:w="3092" w:type="dxa"/>
                  <w:vAlign w:val="center"/>
                </w:tcPr>
                <w:p w14:paraId="4DE649B5">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感染性废物(831-001-01)、损伤性废物(831-002-01)、病理性废物(831-003-01)、化学性废物(831-004-01)、药物性废物(831-005-01)</w:t>
                  </w:r>
                </w:p>
              </w:tc>
              <w:tc>
                <w:tcPr>
                  <w:tcW w:w="1544" w:type="dxa"/>
                  <w:vAlign w:val="center"/>
                </w:tcPr>
                <w:p w14:paraId="16A67E09">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分类收集包装，进入危废暂存间</w:t>
                  </w:r>
                </w:p>
              </w:tc>
              <w:tc>
                <w:tcPr>
                  <w:tcW w:w="2130" w:type="dxa"/>
                  <w:vMerge w:val="restart"/>
                  <w:vAlign w:val="center"/>
                </w:tcPr>
                <w:p w14:paraId="0C3DCFD4">
                  <w:pPr>
                    <w:pStyle w:val="40"/>
                    <w:jc w:val="center"/>
                    <w:rPr>
                      <w:rFonts w:ascii="Times New Roman" w:hAnsi="Times New Roman" w:cs="Times New Roman" w:eastAsiaTheme="minorEastAsia"/>
                      <w:color w:val="000000" w:themeColor="text1"/>
                      <w:sz w:val="21"/>
                      <w:szCs w:val="21"/>
                      <w:lang w:val="en-US"/>
                    </w:rPr>
                  </w:pPr>
                  <w:r>
                    <w:rPr>
                      <w:rFonts w:hint="eastAsia" w:ascii="Times New Roman" w:hAnsi="Times New Roman" w:cs="Times New Roman" w:eastAsiaTheme="minorEastAsia"/>
                      <w:color w:val="000000" w:themeColor="text1"/>
                      <w:sz w:val="21"/>
                      <w:szCs w:val="21"/>
                      <w:lang w:val="en-US"/>
                    </w:rPr>
                    <w:t>委托桂林高能时代环境服务有限公司处置</w:t>
                  </w:r>
                </w:p>
              </w:tc>
            </w:tr>
            <w:tr w14:paraId="0A29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vAlign w:val="center"/>
                </w:tcPr>
                <w:p w14:paraId="41BCE61A">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HW03废药物、药品</w:t>
                  </w:r>
                </w:p>
              </w:tc>
              <w:tc>
                <w:tcPr>
                  <w:tcW w:w="3092" w:type="dxa"/>
                  <w:vAlign w:val="center"/>
                </w:tcPr>
                <w:p w14:paraId="06D4596D">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失效、变质、不合格、淘汰、伪劣的药物和药品(900-002-03)</w:t>
                  </w:r>
                </w:p>
              </w:tc>
              <w:tc>
                <w:tcPr>
                  <w:tcW w:w="1544" w:type="dxa"/>
                  <w:vAlign w:val="center"/>
                </w:tcPr>
                <w:p w14:paraId="1B77663E">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分类收集包装，进入危废暂存间</w:t>
                  </w:r>
                </w:p>
              </w:tc>
              <w:tc>
                <w:tcPr>
                  <w:tcW w:w="2130" w:type="dxa"/>
                  <w:vMerge w:val="continue"/>
                  <w:vAlign w:val="center"/>
                </w:tcPr>
                <w:p w14:paraId="4E9A227A">
                  <w:pPr>
                    <w:pStyle w:val="40"/>
                    <w:jc w:val="center"/>
                    <w:rPr>
                      <w:rFonts w:ascii="Times New Roman" w:hAnsi="Times New Roman" w:cs="Times New Roman" w:eastAsiaTheme="minorEastAsia"/>
                      <w:color w:val="000000" w:themeColor="text1"/>
                      <w:sz w:val="21"/>
                      <w:szCs w:val="21"/>
                      <w:lang w:val="en-US"/>
                    </w:rPr>
                  </w:pPr>
                </w:p>
              </w:tc>
            </w:tr>
            <w:tr w14:paraId="7AF2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vAlign w:val="center"/>
                </w:tcPr>
                <w:p w14:paraId="76281012">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污水处理站污泥</w:t>
                  </w:r>
                  <w:r>
                    <w:rPr>
                      <w:rFonts w:hint="eastAsia" w:ascii="Times New Roman" w:hAnsi="Times New Roman" w:cs="Times New Roman" w:eastAsiaTheme="minorEastAsia"/>
                      <w:color w:val="000000" w:themeColor="text1"/>
                      <w:sz w:val="21"/>
                      <w:szCs w:val="21"/>
                      <w:lang w:val="en-US"/>
                    </w:rPr>
                    <w:t>及格栅渣</w:t>
                  </w:r>
                </w:p>
              </w:tc>
              <w:tc>
                <w:tcPr>
                  <w:tcW w:w="3092" w:type="dxa"/>
                  <w:vAlign w:val="center"/>
                </w:tcPr>
                <w:p w14:paraId="79FD746D">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污水处理站污泥</w:t>
                  </w:r>
                  <w:r>
                    <w:rPr>
                      <w:rFonts w:hint="eastAsia" w:ascii="Times New Roman" w:hAnsi="Times New Roman" w:cs="Times New Roman" w:eastAsiaTheme="minorEastAsia"/>
                      <w:color w:val="000000" w:themeColor="text1"/>
                      <w:sz w:val="21"/>
                      <w:szCs w:val="21"/>
                      <w:lang w:val="en-US"/>
                    </w:rPr>
                    <w:t>及格栅渣</w:t>
                  </w:r>
                </w:p>
              </w:tc>
              <w:tc>
                <w:tcPr>
                  <w:tcW w:w="1544" w:type="dxa"/>
                  <w:vAlign w:val="center"/>
                </w:tcPr>
                <w:p w14:paraId="0B687D66">
                  <w:pPr>
                    <w:pStyle w:val="40"/>
                    <w:jc w:val="center"/>
                    <w:rPr>
                      <w:rFonts w:ascii="Times New Roman" w:hAnsi="Times New Roman" w:cs="Times New Roman" w:eastAsiaTheme="minorEastAsia"/>
                      <w:color w:val="000000" w:themeColor="text1"/>
                      <w:sz w:val="21"/>
                      <w:szCs w:val="21"/>
                      <w:lang w:val="en-US"/>
                    </w:rPr>
                  </w:pPr>
                  <w:r>
                    <w:rPr>
                      <w:rFonts w:ascii="Times New Roman" w:hAnsi="Times New Roman" w:cs="Times New Roman" w:eastAsiaTheme="minorEastAsia"/>
                      <w:color w:val="000000" w:themeColor="text1"/>
                      <w:sz w:val="21"/>
                      <w:szCs w:val="21"/>
                      <w:lang w:val="en-US"/>
                    </w:rPr>
                    <w:t>消毒</w:t>
                  </w:r>
                </w:p>
              </w:tc>
              <w:tc>
                <w:tcPr>
                  <w:tcW w:w="2130" w:type="dxa"/>
                  <w:vAlign w:val="center"/>
                </w:tcPr>
                <w:p w14:paraId="429F7903">
                  <w:pPr>
                    <w:pStyle w:val="40"/>
                    <w:jc w:val="center"/>
                    <w:rPr>
                      <w:rFonts w:ascii="Times New Roman" w:hAnsi="Times New Roman" w:cs="Times New Roman" w:eastAsiaTheme="minorEastAsia"/>
                      <w:color w:val="000000" w:themeColor="text1"/>
                      <w:sz w:val="21"/>
                      <w:szCs w:val="21"/>
                      <w:lang w:val="en-US"/>
                    </w:rPr>
                  </w:pPr>
                  <w:r>
                    <w:rPr>
                      <w:rFonts w:hint="eastAsia" w:ascii="Times New Roman" w:hAnsi="Times New Roman" w:cs="Times New Roman" w:eastAsiaTheme="minorEastAsia"/>
                      <w:color w:val="000000" w:themeColor="text1"/>
                      <w:sz w:val="21"/>
                      <w:szCs w:val="21"/>
                      <w:lang w:val="en-US"/>
                    </w:rPr>
                    <w:t>委托桂林高能时代环境服务有限公司清理并直接运走处置，不在医院暂存</w:t>
                  </w:r>
                </w:p>
              </w:tc>
            </w:tr>
          </w:tbl>
          <w:p w14:paraId="3AEC383A">
            <w:pPr>
              <w:widowControl/>
              <w:numPr>
                <w:ilvl w:val="0"/>
                <w:numId w:val="8"/>
              </w:numPr>
              <w:spacing w:line="360" w:lineRule="auto"/>
              <w:ind w:firstLine="482" w:firstLineChars="200"/>
              <w:jc w:val="both"/>
              <w:rPr>
                <w:rFonts w:ascii="Times New Roman" w:hAnsi="Times New Roman" w:cs="Times New Roman"/>
                <w:b/>
                <w:bCs/>
                <w:color w:val="000000" w:themeColor="text1"/>
                <w:sz w:val="24"/>
                <w:szCs w:val="24"/>
                <w:u w:val="single"/>
                <w:lang w:val="en-US"/>
              </w:rPr>
            </w:pPr>
            <w:r>
              <w:rPr>
                <w:rFonts w:hint="eastAsia" w:ascii="Times New Roman" w:hAnsi="Times New Roman" w:cs="Times New Roman"/>
                <w:b/>
                <w:bCs/>
                <w:color w:val="000000" w:themeColor="text1"/>
                <w:sz w:val="24"/>
                <w:szCs w:val="24"/>
                <w:u w:val="single"/>
                <w:lang w:val="en-US"/>
              </w:rPr>
              <w:t>土壤、地下水</w:t>
            </w:r>
          </w:p>
          <w:p w14:paraId="1335EC0E">
            <w:pPr>
              <w:pStyle w:val="5"/>
              <w:spacing w:line="360" w:lineRule="auto"/>
              <w:ind w:firstLine="482" w:firstLineChars="200"/>
              <w:rPr>
                <w:b/>
                <w:bCs/>
                <w:color w:val="000000" w:themeColor="text1"/>
                <w:sz w:val="24"/>
                <w:szCs w:val="24"/>
                <w:u w:val="single"/>
              </w:rPr>
            </w:pPr>
            <w:r>
              <w:rPr>
                <w:rFonts w:hint="eastAsia"/>
                <w:b/>
                <w:bCs/>
                <w:color w:val="000000" w:themeColor="text1"/>
                <w:sz w:val="24"/>
                <w:szCs w:val="24"/>
                <w:u w:val="single"/>
                <w:lang w:val="en-US"/>
              </w:rPr>
              <w:t>1</w:t>
            </w:r>
            <w:r>
              <w:rPr>
                <w:rFonts w:hint="eastAsia"/>
                <w:b/>
                <w:bCs/>
                <w:color w:val="000000" w:themeColor="text1"/>
                <w:sz w:val="24"/>
                <w:szCs w:val="24"/>
                <w:u w:val="single"/>
              </w:rPr>
              <w:t>）环境影响因素识别</w:t>
            </w:r>
          </w:p>
          <w:p w14:paraId="16AD868B">
            <w:pPr>
              <w:pStyle w:val="5"/>
              <w:spacing w:line="360" w:lineRule="auto"/>
              <w:ind w:firstLine="480" w:firstLineChars="200"/>
              <w:rPr>
                <w:color w:val="000000" w:themeColor="text1"/>
                <w:sz w:val="24"/>
                <w:szCs w:val="24"/>
                <w:u w:val="single"/>
              </w:rPr>
            </w:pPr>
            <w:r>
              <w:rPr>
                <w:rFonts w:hint="eastAsia"/>
                <w:color w:val="000000" w:themeColor="text1"/>
                <w:sz w:val="24"/>
                <w:szCs w:val="24"/>
                <w:u w:val="single"/>
              </w:rPr>
              <w:t>本项目土壤、地下水可能影响途径为废水泄漏下渗。</w:t>
            </w:r>
          </w:p>
          <w:p w14:paraId="1A0F317B">
            <w:pPr>
              <w:pStyle w:val="5"/>
              <w:spacing w:line="360" w:lineRule="auto"/>
              <w:ind w:firstLine="480" w:firstLineChars="200"/>
              <w:rPr>
                <w:color w:val="000000" w:themeColor="text1"/>
                <w:sz w:val="24"/>
                <w:szCs w:val="24"/>
                <w:u w:val="single"/>
              </w:rPr>
            </w:pPr>
            <w:r>
              <w:rPr>
                <w:rFonts w:hint="eastAsia"/>
                <w:color w:val="000000" w:themeColor="text1"/>
                <w:sz w:val="24"/>
                <w:szCs w:val="24"/>
                <w:u w:val="single"/>
              </w:rPr>
              <w:t>①本项目传染性废水经传染病预处理设施处理后与业务综合楼综合废水一起排入综合污水处理站处理后，排入永福县益源污水处理厂处理；住院病人食堂废水依托原有项目隔油池+化粪池处理后，排入永福县益源污水处理厂，废水收集均配套考虑防渗、防漏措施，防止污水下渗污染土壤及地下水。</w:t>
            </w:r>
          </w:p>
          <w:p w14:paraId="53E9EAE3">
            <w:pPr>
              <w:pStyle w:val="5"/>
              <w:spacing w:line="360" w:lineRule="auto"/>
              <w:ind w:firstLine="480" w:firstLineChars="200"/>
              <w:rPr>
                <w:color w:val="000000" w:themeColor="text1"/>
                <w:sz w:val="24"/>
                <w:szCs w:val="24"/>
                <w:u w:val="single"/>
              </w:rPr>
            </w:pPr>
            <w:r>
              <w:rPr>
                <w:rFonts w:hint="eastAsia"/>
                <w:color w:val="000000" w:themeColor="text1"/>
                <w:sz w:val="24"/>
                <w:szCs w:val="24"/>
                <w:u w:val="single"/>
              </w:rPr>
              <w:t>②本项目产生的固体废物、医疗废物</w:t>
            </w:r>
            <w:r>
              <w:rPr>
                <w:rFonts w:hint="eastAsia"/>
                <w:color w:val="000000" w:themeColor="text1"/>
                <w:sz w:val="24"/>
                <w:szCs w:val="24"/>
                <w:u w:val="single"/>
                <w:lang w:val="en-US"/>
              </w:rPr>
              <w:t>，原辅料中的医用酒精（75%乙醇）、免洗消毒液（75%乙醇）、污水处理的消毒剂（</w:t>
            </w:r>
            <w:r>
              <w:rPr>
                <w:color w:val="000000" w:themeColor="text1"/>
                <w:sz w:val="24"/>
                <w:szCs w:val="24"/>
                <w:u w:val="single"/>
                <w:lang w:val="en-US"/>
              </w:rPr>
              <w:t>消佳净</w:t>
            </w:r>
            <w:r>
              <w:rPr>
                <w:rFonts w:hint="eastAsia"/>
                <w:color w:val="000000" w:themeColor="text1"/>
                <w:sz w:val="24"/>
                <w:szCs w:val="24"/>
                <w:u w:val="single"/>
                <w:lang w:val="en-US"/>
              </w:rPr>
              <w:t>），在</w:t>
            </w:r>
            <w:r>
              <w:rPr>
                <w:rFonts w:hint="eastAsia"/>
                <w:color w:val="000000" w:themeColor="text1"/>
                <w:sz w:val="24"/>
                <w:szCs w:val="24"/>
                <w:u w:val="single"/>
              </w:rPr>
              <w:t>贮存、转移过程若管理不当，</w:t>
            </w:r>
            <w:r>
              <w:rPr>
                <w:rFonts w:hint="eastAsia"/>
                <w:color w:val="000000" w:themeColor="text1"/>
                <w:sz w:val="24"/>
                <w:szCs w:val="24"/>
                <w:u w:val="single"/>
                <w:lang w:val="en-US"/>
              </w:rPr>
              <w:t>可能发生泄漏</w:t>
            </w:r>
            <w:r>
              <w:rPr>
                <w:rFonts w:hint="eastAsia"/>
                <w:color w:val="000000" w:themeColor="text1"/>
                <w:sz w:val="24"/>
                <w:szCs w:val="24"/>
                <w:u w:val="single"/>
              </w:rPr>
              <w:t>可能进入外环境，在雨水淋滤作用下，淋滤液下渗也可能引起土壤污染。</w:t>
            </w:r>
          </w:p>
          <w:p w14:paraId="4FE4F0F0">
            <w:pPr>
              <w:pStyle w:val="5"/>
              <w:spacing w:line="360" w:lineRule="auto"/>
              <w:ind w:firstLine="482" w:firstLineChars="200"/>
              <w:rPr>
                <w:color w:val="000000" w:themeColor="text1"/>
                <w:sz w:val="24"/>
                <w:szCs w:val="24"/>
                <w:u w:val="single"/>
                <w:lang w:val="en-US"/>
              </w:rPr>
            </w:pPr>
            <w:r>
              <w:rPr>
                <w:rFonts w:hint="eastAsia"/>
                <w:b/>
                <w:bCs/>
                <w:color w:val="000000" w:themeColor="text1"/>
                <w:sz w:val="24"/>
                <w:szCs w:val="24"/>
                <w:u w:val="single"/>
                <w:lang w:val="en-US"/>
              </w:rPr>
              <w:t>2）</w:t>
            </w:r>
            <w:r>
              <w:rPr>
                <w:rFonts w:hint="eastAsia"/>
                <w:b/>
                <w:bCs/>
                <w:color w:val="000000" w:themeColor="text1"/>
                <w:sz w:val="24"/>
                <w:szCs w:val="24"/>
                <w:u w:val="single"/>
              </w:rPr>
              <w:t>污染防治措施</w:t>
            </w:r>
          </w:p>
          <w:p w14:paraId="1CFC054D">
            <w:pPr>
              <w:pStyle w:val="5"/>
              <w:spacing w:line="360" w:lineRule="auto"/>
              <w:ind w:firstLine="480" w:firstLineChars="200"/>
              <w:rPr>
                <w:color w:val="000000" w:themeColor="text1"/>
                <w:sz w:val="24"/>
                <w:szCs w:val="24"/>
                <w:u w:val="single"/>
              </w:rPr>
            </w:pPr>
            <w:r>
              <w:rPr>
                <w:rFonts w:hint="eastAsia"/>
                <w:color w:val="000000" w:themeColor="text1"/>
                <w:sz w:val="24"/>
                <w:szCs w:val="24"/>
                <w:u w:val="single"/>
              </w:rPr>
              <w:t>（1）项目用地范围内地面均采用混凝土硬化，防止生产过程中跑、冒、滴、漏的物料渗入土壤，进而对地下水环境造成污染。</w:t>
            </w:r>
          </w:p>
          <w:p w14:paraId="0B6413D9">
            <w:pPr>
              <w:pStyle w:val="5"/>
              <w:spacing w:line="360" w:lineRule="auto"/>
              <w:ind w:firstLine="480" w:firstLineChars="200"/>
              <w:rPr>
                <w:color w:val="000000" w:themeColor="text1"/>
                <w:sz w:val="24"/>
                <w:szCs w:val="24"/>
                <w:u w:val="single"/>
              </w:rPr>
            </w:pPr>
            <w:r>
              <w:rPr>
                <w:rFonts w:hint="eastAsia"/>
                <w:color w:val="000000" w:themeColor="text1"/>
                <w:sz w:val="24"/>
                <w:szCs w:val="24"/>
                <w:u w:val="single"/>
              </w:rPr>
              <w:t>（2）医疗废物暂存间</w:t>
            </w:r>
            <w:r>
              <w:rPr>
                <w:rFonts w:hint="eastAsia"/>
                <w:color w:val="000000" w:themeColor="text1"/>
                <w:sz w:val="24"/>
                <w:szCs w:val="24"/>
                <w:u w:val="single"/>
                <w:lang w:val="en-US"/>
              </w:rPr>
              <w:t>依托原有，</w:t>
            </w:r>
            <w:r>
              <w:rPr>
                <w:rFonts w:hint="eastAsia"/>
                <w:color w:val="000000" w:themeColor="text1"/>
                <w:sz w:val="24"/>
                <w:szCs w:val="24"/>
                <w:u w:val="single"/>
              </w:rPr>
              <w:t>地面</w:t>
            </w:r>
            <w:r>
              <w:rPr>
                <w:rFonts w:hint="eastAsia"/>
                <w:color w:val="000000" w:themeColor="text1"/>
                <w:sz w:val="24"/>
                <w:szCs w:val="24"/>
                <w:u w:val="single"/>
                <w:lang w:val="en-US"/>
              </w:rPr>
              <w:t>已</w:t>
            </w:r>
            <w:r>
              <w:rPr>
                <w:rFonts w:hint="eastAsia"/>
                <w:color w:val="000000" w:themeColor="text1"/>
                <w:sz w:val="24"/>
                <w:szCs w:val="24"/>
                <w:u w:val="single"/>
              </w:rPr>
              <w:t>做好防渗、防泄漏、防雨淋措施，必须严格按照《危险废物贮存污染控制标准》（GB18597-2023）中的要求执行。</w:t>
            </w:r>
          </w:p>
          <w:p w14:paraId="195A1A24">
            <w:pPr>
              <w:pStyle w:val="5"/>
              <w:spacing w:line="360" w:lineRule="auto"/>
              <w:ind w:firstLine="480" w:firstLineChars="200"/>
              <w:rPr>
                <w:color w:val="000000" w:themeColor="text1"/>
                <w:sz w:val="24"/>
                <w:szCs w:val="24"/>
                <w:u w:val="single"/>
              </w:rPr>
            </w:pPr>
            <w:r>
              <w:rPr>
                <w:rFonts w:hint="eastAsia"/>
                <w:color w:val="000000" w:themeColor="text1"/>
                <w:sz w:val="24"/>
                <w:szCs w:val="24"/>
                <w:u w:val="single"/>
              </w:rPr>
              <w:t>（3）分区防渗：对地下水、土壤存在污染风险的建设区应做好场地防渗，即根据污染可能性和影响程度划分为一般防渗区、重点防渗区。一般防渗区指裸露地面的生产功能单元，污染地下水、土壤环境的物料泄漏容易及时发现和处理的区域。重点防渗区位于地下或半地下的生产功能单元，污染地下水、土壤环境的物料泄漏不容易及时发现和处理的区域。具体分区及防渗要求见表4-</w:t>
            </w:r>
            <w:r>
              <w:rPr>
                <w:rFonts w:hint="eastAsia"/>
                <w:color w:val="000000" w:themeColor="text1"/>
                <w:sz w:val="24"/>
                <w:szCs w:val="24"/>
                <w:u w:val="single"/>
                <w:lang w:val="en-US"/>
              </w:rPr>
              <w:t>1</w:t>
            </w:r>
            <w:r>
              <w:rPr>
                <w:rFonts w:hint="eastAsia"/>
                <w:color w:val="000000" w:themeColor="text1"/>
                <w:sz w:val="24"/>
                <w:szCs w:val="24"/>
                <w:u w:val="single"/>
                <w:lang w:val="en-US" w:eastAsia="zh-CN"/>
              </w:rPr>
              <w:t>2</w:t>
            </w:r>
            <w:r>
              <w:rPr>
                <w:rFonts w:hint="eastAsia"/>
                <w:color w:val="000000" w:themeColor="text1"/>
                <w:sz w:val="24"/>
                <w:szCs w:val="24"/>
                <w:u w:val="single"/>
              </w:rPr>
              <w:t>。</w:t>
            </w:r>
          </w:p>
          <w:p w14:paraId="30A9944C">
            <w:pPr>
              <w:widowControl/>
              <w:autoSpaceDN/>
              <w:adjustRightInd w:val="0"/>
              <w:snapToGrid w:val="0"/>
              <w:ind w:left="3" w:firstLine="482"/>
              <w:jc w:val="center"/>
              <w:rPr>
                <w:rFonts w:ascii="Times New Roman" w:hAnsi="Times New Roman" w:cs="Times New Roman"/>
                <w:b/>
                <w:color w:val="000000" w:themeColor="text1"/>
                <w:sz w:val="24"/>
                <w:szCs w:val="24"/>
                <w:u w:val="single"/>
              </w:rPr>
            </w:pPr>
            <w:r>
              <w:rPr>
                <w:rFonts w:hint="eastAsia" w:ascii="Times New Roman" w:hAnsi="Times New Roman"/>
                <w:b/>
                <w:color w:val="000000" w:themeColor="text1"/>
                <w:sz w:val="24"/>
                <w:szCs w:val="24"/>
                <w:u w:val="single"/>
                <w:lang w:val="en-US" w:bidi="ar"/>
              </w:rPr>
              <w:t>表</w:t>
            </w:r>
            <w:r>
              <w:rPr>
                <w:rFonts w:hint="eastAsia" w:ascii="Times New Roman" w:hAnsi="Times New Roman" w:cs="Times New Roman"/>
                <w:b/>
                <w:color w:val="000000" w:themeColor="text1"/>
                <w:sz w:val="24"/>
                <w:szCs w:val="24"/>
                <w:u w:val="single"/>
                <w:lang w:val="en-US" w:bidi="ar"/>
              </w:rPr>
              <w:t>4</w:t>
            </w:r>
            <w:r>
              <w:rPr>
                <w:rFonts w:ascii="Times New Roman" w:hAnsi="Times New Roman" w:cs="Times New Roman"/>
                <w:b/>
                <w:color w:val="000000" w:themeColor="text1"/>
                <w:sz w:val="24"/>
                <w:szCs w:val="24"/>
                <w:u w:val="single"/>
                <w:lang w:val="en-US" w:bidi="ar"/>
              </w:rPr>
              <w:t>-1</w:t>
            </w:r>
            <w:r>
              <w:rPr>
                <w:rFonts w:hint="eastAsia" w:ascii="Times New Roman" w:hAnsi="Times New Roman" w:cs="Times New Roman"/>
                <w:b/>
                <w:color w:val="000000" w:themeColor="text1"/>
                <w:sz w:val="24"/>
                <w:szCs w:val="24"/>
                <w:u w:val="single"/>
                <w:lang w:val="en-US" w:eastAsia="zh-CN" w:bidi="ar"/>
              </w:rPr>
              <w:t>2</w:t>
            </w:r>
            <w:r>
              <w:rPr>
                <w:rFonts w:ascii="Times New Roman" w:hAnsi="Times New Roman" w:cs="Times New Roman"/>
                <w:b/>
                <w:color w:val="000000" w:themeColor="text1"/>
                <w:sz w:val="24"/>
                <w:szCs w:val="24"/>
                <w:u w:val="single"/>
                <w:lang w:val="en-US" w:bidi="ar"/>
              </w:rPr>
              <w:t xml:space="preserve"> 土壤、地下水环境影响源及影响因子识别表</w:t>
            </w:r>
          </w:p>
          <w:tbl>
            <w:tblPr>
              <w:tblStyle w:val="2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2295"/>
              <w:gridCol w:w="4727"/>
            </w:tblGrid>
            <w:tr w14:paraId="57ED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62" w:type="pct"/>
                  <w:tcBorders>
                    <w:top w:val="single" w:color="auto" w:sz="4" w:space="0"/>
                    <w:left w:val="single" w:color="auto" w:sz="0" w:space="0"/>
                    <w:bottom w:val="single" w:color="auto" w:sz="4" w:space="0"/>
                    <w:right w:val="single" w:color="auto" w:sz="4" w:space="0"/>
                  </w:tcBorders>
                  <w:vAlign w:val="center"/>
                </w:tcPr>
                <w:p w14:paraId="74AAEA71">
                  <w:pPr>
                    <w:widowControl/>
                    <w:autoSpaceDN/>
                    <w:jc w:val="center"/>
                    <w:rPr>
                      <w:rFonts w:ascii="Times New Roman" w:hAnsi="Times New Roman" w:cs="Times New Roman"/>
                      <w:b/>
                      <w:color w:val="000000" w:themeColor="text1"/>
                      <w:sz w:val="21"/>
                      <w:szCs w:val="21"/>
                      <w:u w:val="single"/>
                    </w:rPr>
                  </w:pPr>
                  <w:r>
                    <w:rPr>
                      <w:rFonts w:hint="eastAsia" w:ascii="Times New Roman" w:hAnsi="Times New Roman"/>
                      <w:b/>
                      <w:color w:val="000000" w:themeColor="text1"/>
                      <w:sz w:val="21"/>
                      <w:szCs w:val="21"/>
                      <w:u w:val="single"/>
                      <w:lang w:val="en-US" w:bidi="ar"/>
                    </w:rPr>
                    <w:t>防渗分区</w:t>
                  </w:r>
                </w:p>
              </w:tc>
              <w:tc>
                <w:tcPr>
                  <w:tcW w:w="1352" w:type="pct"/>
                  <w:tcBorders>
                    <w:top w:val="single" w:color="auto" w:sz="4" w:space="0"/>
                    <w:left w:val="single" w:color="auto" w:sz="4" w:space="0"/>
                    <w:bottom w:val="single" w:color="auto" w:sz="4" w:space="0"/>
                    <w:right w:val="single" w:color="auto" w:sz="4" w:space="0"/>
                  </w:tcBorders>
                  <w:vAlign w:val="center"/>
                </w:tcPr>
                <w:p w14:paraId="5BF0F227">
                  <w:pPr>
                    <w:widowControl/>
                    <w:autoSpaceDN/>
                    <w:jc w:val="center"/>
                    <w:rPr>
                      <w:rFonts w:ascii="Times New Roman" w:hAnsi="Times New Roman"/>
                      <w:b/>
                      <w:color w:val="000000" w:themeColor="text1"/>
                      <w:sz w:val="21"/>
                      <w:szCs w:val="21"/>
                      <w:u w:val="single"/>
                      <w:lang w:val="en-US" w:bidi="ar"/>
                    </w:rPr>
                  </w:pPr>
                  <w:r>
                    <w:rPr>
                      <w:rFonts w:hint="eastAsia" w:ascii="Times New Roman" w:hAnsi="Times New Roman"/>
                      <w:b/>
                      <w:color w:val="000000" w:themeColor="text1"/>
                      <w:sz w:val="21"/>
                      <w:szCs w:val="21"/>
                      <w:u w:val="single"/>
                      <w:lang w:val="en-US" w:bidi="ar"/>
                    </w:rPr>
                    <w:t>污染物</w:t>
                  </w:r>
                </w:p>
              </w:tc>
              <w:tc>
                <w:tcPr>
                  <w:tcW w:w="2784" w:type="pct"/>
                  <w:tcBorders>
                    <w:top w:val="single" w:color="auto" w:sz="4" w:space="0"/>
                    <w:left w:val="single" w:color="auto" w:sz="4" w:space="0"/>
                    <w:bottom w:val="single" w:color="auto" w:sz="4" w:space="0"/>
                    <w:right w:val="single" w:color="auto" w:sz="4" w:space="0"/>
                  </w:tcBorders>
                  <w:vAlign w:val="center"/>
                </w:tcPr>
                <w:p w14:paraId="45869ACF">
                  <w:pPr>
                    <w:widowControl/>
                    <w:jc w:val="center"/>
                    <w:rPr>
                      <w:rFonts w:ascii="Times New Roman" w:hAnsi="Times New Roman"/>
                      <w:b/>
                      <w:color w:val="000000" w:themeColor="text1"/>
                      <w:sz w:val="21"/>
                      <w:szCs w:val="21"/>
                      <w:u w:val="single"/>
                      <w:lang w:val="en-US" w:bidi="ar"/>
                    </w:rPr>
                  </w:pPr>
                  <w:r>
                    <w:rPr>
                      <w:rFonts w:hint="eastAsia" w:ascii="Times New Roman" w:hAnsi="Times New Roman"/>
                      <w:b/>
                      <w:bCs/>
                      <w:color w:val="000000" w:themeColor="text1"/>
                      <w:sz w:val="20"/>
                      <w:szCs w:val="20"/>
                      <w:u w:val="single"/>
                      <w:lang w:val="en-US" w:bidi="ar"/>
                    </w:rPr>
                    <w:t>备注</w:t>
                  </w:r>
                </w:p>
              </w:tc>
            </w:tr>
            <w:tr w14:paraId="1A83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62" w:type="pct"/>
                  <w:tcBorders>
                    <w:top w:val="single" w:color="auto" w:sz="4" w:space="0"/>
                    <w:left w:val="single" w:color="auto" w:sz="4" w:space="0"/>
                    <w:bottom w:val="single" w:color="auto" w:sz="4" w:space="0"/>
                    <w:right w:val="single" w:color="auto" w:sz="4" w:space="0"/>
                  </w:tcBorders>
                  <w:vAlign w:val="center"/>
                </w:tcPr>
                <w:p w14:paraId="58C9E631">
                  <w:pPr>
                    <w:widowControl/>
                    <w:autoSpaceDN/>
                    <w:adjustRightInd w:val="0"/>
                    <w:snapToGrid w:val="0"/>
                    <w:jc w:val="center"/>
                    <w:rPr>
                      <w:rFonts w:ascii="Times New Roman" w:hAnsi="Times New Roman" w:cs="Times New Roman"/>
                      <w:bCs/>
                      <w:color w:val="000000" w:themeColor="text1"/>
                      <w:sz w:val="21"/>
                      <w:szCs w:val="21"/>
                      <w:u w:val="single"/>
                    </w:rPr>
                  </w:pPr>
                  <w:r>
                    <w:rPr>
                      <w:rFonts w:ascii="Times New Roman" w:hAnsi="Times New Roman" w:cs="Times New Roman"/>
                      <w:bCs/>
                      <w:color w:val="000000" w:themeColor="text1"/>
                      <w:sz w:val="21"/>
                      <w:szCs w:val="21"/>
                      <w:u w:val="single"/>
                    </w:rPr>
                    <w:t>重点防渗区</w:t>
                  </w:r>
                </w:p>
              </w:tc>
              <w:tc>
                <w:tcPr>
                  <w:tcW w:w="1352" w:type="pct"/>
                  <w:tcBorders>
                    <w:top w:val="single" w:color="auto" w:sz="4" w:space="0"/>
                    <w:left w:val="single" w:color="auto" w:sz="4" w:space="0"/>
                    <w:bottom w:val="single" w:color="auto" w:sz="4" w:space="0"/>
                    <w:right w:val="single" w:color="auto" w:sz="4" w:space="0"/>
                  </w:tcBorders>
                  <w:vAlign w:val="center"/>
                </w:tcPr>
                <w:p w14:paraId="5490D465">
                  <w:pPr>
                    <w:widowControl/>
                    <w:autoSpaceDN/>
                    <w:adjustRightInd w:val="0"/>
                    <w:snapToGrid w:val="0"/>
                    <w:jc w:val="center"/>
                    <w:rPr>
                      <w:rFonts w:ascii="Times New Roman" w:hAnsi="Times New Roman"/>
                      <w:bCs/>
                      <w:color w:val="000000" w:themeColor="text1"/>
                      <w:sz w:val="21"/>
                      <w:szCs w:val="21"/>
                      <w:u w:val="single"/>
                      <w:lang w:val="en-US" w:bidi="ar"/>
                    </w:rPr>
                  </w:pPr>
                  <w:r>
                    <w:rPr>
                      <w:rFonts w:hint="eastAsia" w:ascii="Times New Roman" w:hAnsi="Times New Roman"/>
                      <w:bCs/>
                      <w:color w:val="000000" w:themeColor="text1"/>
                      <w:sz w:val="21"/>
                      <w:szCs w:val="21"/>
                      <w:u w:val="single"/>
                      <w:lang w:val="en-US" w:bidi="ar"/>
                    </w:rPr>
                    <w:t>传染病预处理设施、医疗废物暂存间</w:t>
                  </w:r>
                </w:p>
              </w:tc>
              <w:tc>
                <w:tcPr>
                  <w:tcW w:w="2784" w:type="pct"/>
                  <w:tcBorders>
                    <w:top w:val="single" w:color="auto" w:sz="4" w:space="0"/>
                    <w:left w:val="single" w:color="auto" w:sz="4" w:space="0"/>
                    <w:bottom w:val="single" w:color="auto" w:sz="4" w:space="0"/>
                    <w:right w:val="single" w:color="auto" w:sz="4" w:space="0"/>
                  </w:tcBorders>
                  <w:vAlign w:val="center"/>
                </w:tcPr>
                <w:p w14:paraId="5331046D">
                  <w:pPr>
                    <w:widowControl/>
                    <w:autoSpaceDN/>
                    <w:adjustRightInd w:val="0"/>
                    <w:snapToGrid w:val="0"/>
                    <w:jc w:val="center"/>
                    <w:rPr>
                      <w:rFonts w:ascii="Times New Roman" w:hAnsi="Times New Roman"/>
                      <w:bCs/>
                      <w:color w:val="000000" w:themeColor="text1"/>
                      <w:sz w:val="21"/>
                      <w:szCs w:val="21"/>
                      <w:u w:val="single"/>
                      <w:lang w:val="en-US" w:bidi="ar"/>
                    </w:rPr>
                  </w:pPr>
                  <w:r>
                    <w:rPr>
                      <w:rFonts w:hint="eastAsia" w:ascii="Times New Roman" w:hAnsi="Times New Roman"/>
                      <w:bCs/>
                      <w:color w:val="000000" w:themeColor="text1"/>
                      <w:sz w:val="21"/>
                      <w:szCs w:val="21"/>
                      <w:u w:val="single"/>
                      <w:lang w:val="en-US" w:bidi="ar"/>
                    </w:rPr>
                    <w:t>等效黏土防渗层Mb≥6.0m，K≤1×10</w:t>
                  </w:r>
                  <w:r>
                    <w:rPr>
                      <w:rFonts w:hint="eastAsia" w:ascii="Times New Roman" w:hAnsi="Times New Roman"/>
                      <w:bCs/>
                      <w:color w:val="000000" w:themeColor="text1"/>
                      <w:sz w:val="21"/>
                      <w:szCs w:val="21"/>
                      <w:u w:val="single"/>
                      <w:vertAlign w:val="superscript"/>
                      <w:lang w:val="en-US" w:bidi="ar"/>
                    </w:rPr>
                    <w:t>-7</w:t>
                  </w:r>
                  <w:r>
                    <w:rPr>
                      <w:rFonts w:hint="eastAsia" w:ascii="Times New Roman" w:hAnsi="Times New Roman"/>
                      <w:bCs/>
                      <w:color w:val="000000" w:themeColor="text1"/>
                      <w:sz w:val="21"/>
                      <w:szCs w:val="21"/>
                      <w:u w:val="single"/>
                      <w:lang w:val="en-US" w:bidi="ar"/>
                    </w:rPr>
                    <w:t>cm/s；或参照GB18598执行</w:t>
                  </w:r>
                </w:p>
              </w:tc>
            </w:tr>
            <w:tr w14:paraId="7752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62" w:type="pct"/>
                  <w:tcBorders>
                    <w:top w:val="single" w:color="auto" w:sz="4" w:space="0"/>
                    <w:left w:val="single" w:color="auto" w:sz="4" w:space="0"/>
                    <w:bottom w:val="single" w:color="auto" w:sz="4" w:space="0"/>
                    <w:right w:val="single" w:color="auto" w:sz="4" w:space="0"/>
                  </w:tcBorders>
                  <w:vAlign w:val="center"/>
                </w:tcPr>
                <w:p w14:paraId="4877E1F8">
                  <w:pPr>
                    <w:widowControl/>
                    <w:autoSpaceDN/>
                    <w:adjustRightInd w:val="0"/>
                    <w:snapToGrid w:val="0"/>
                    <w:jc w:val="center"/>
                    <w:rPr>
                      <w:rFonts w:ascii="Times New Roman" w:hAnsi="Times New Roman" w:cs="Times New Roman"/>
                      <w:bCs/>
                      <w:color w:val="000000" w:themeColor="text1"/>
                      <w:sz w:val="21"/>
                      <w:szCs w:val="21"/>
                      <w:u w:val="single"/>
                    </w:rPr>
                  </w:pPr>
                  <w:r>
                    <w:rPr>
                      <w:rFonts w:ascii="Times New Roman" w:hAnsi="Times New Roman" w:cs="Times New Roman"/>
                      <w:bCs/>
                      <w:color w:val="000000" w:themeColor="text1"/>
                      <w:sz w:val="21"/>
                      <w:szCs w:val="21"/>
                      <w:u w:val="single"/>
                    </w:rPr>
                    <w:t>一般防渗区</w:t>
                  </w:r>
                </w:p>
              </w:tc>
              <w:tc>
                <w:tcPr>
                  <w:tcW w:w="1352" w:type="pct"/>
                  <w:tcBorders>
                    <w:top w:val="single" w:color="auto" w:sz="4" w:space="0"/>
                    <w:left w:val="single" w:color="auto" w:sz="4" w:space="0"/>
                    <w:bottom w:val="single" w:color="auto" w:sz="4" w:space="0"/>
                    <w:right w:val="single" w:color="auto" w:sz="4" w:space="0"/>
                  </w:tcBorders>
                  <w:vAlign w:val="center"/>
                </w:tcPr>
                <w:p w14:paraId="3A24C8CD">
                  <w:pPr>
                    <w:widowControl/>
                    <w:autoSpaceDN/>
                    <w:adjustRightInd w:val="0"/>
                    <w:snapToGrid w:val="0"/>
                    <w:jc w:val="center"/>
                    <w:rPr>
                      <w:rFonts w:ascii="Times New Roman" w:hAnsi="Times New Roman"/>
                      <w:bCs/>
                      <w:color w:val="000000" w:themeColor="text1"/>
                      <w:sz w:val="21"/>
                      <w:szCs w:val="21"/>
                      <w:u w:val="single"/>
                      <w:lang w:val="en-US" w:bidi="ar"/>
                    </w:rPr>
                  </w:pPr>
                  <w:r>
                    <w:rPr>
                      <w:rFonts w:hint="eastAsia" w:ascii="Times New Roman" w:hAnsi="Times New Roman"/>
                      <w:bCs/>
                      <w:color w:val="000000" w:themeColor="text1"/>
                      <w:sz w:val="21"/>
                      <w:szCs w:val="21"/>
                      <w:u w:val="single"/>
                      <w:lang w:val="en-US" w:bidi="ar"/>
                    </w:rPr>
                    <w:t>综合污水处理站、一般固废暂存间、原辅料存放专用库房</w:t>
                  </w:r>
                </w:p>
              </w:tc>
              <w:tc>
                <w:tcPr>
                  <w:tcW w:w="2784" w:type="pct"/>
                  <w:tcBorders>
                    <w:top w:val="single" w:color="auto" w:sz="4" w:space="0"/>
                    <w:left w:val="single" w:color="auto" w:sz="4" w:space="0"/>
                    <w:bottom w:val="single" w:color="auto" w:sz="4" w:space="0"/>
                    <w:right w:val="single" w:color="auto" w:sz="4" w:space="0"/>
                  </w:tcBorders>
                  <w:vAlign w:val="center"/>
                </w:tcPr>
                <w:p w14:paraId="303834EB">
                  <w:pPr>
                    <w:widowControl/>
                    <w:autoSpaceDN/>
                    <w:adjustRightInd w:val="0"/>
                    <w:snapToGrid w:val="0"/>
                    <w:jc w:val="center"/>
                    <w:rPr>
                      <w:rFonts w:ascii="Times New Roman" w:hAnsi="Times New Roman"/>
                      <w:bCs/>
                      <w:color w:val="000000" w:themeColor="text1"/>
                      <w:sz w:val="21"/>
                      <w:szCs w:val="21"/>
                      <w:u w:val="single"/>
                      <w:lang w:val="en-US" w:bidi="ar"/>
                    </w:rPr>
                  </w:pPr>
                  <w:r>
                    <w:rPr>
                      <w:rFonts w:hint="eastAsia" w:ascii="Times New Roman" w:hAnsi="Times New Roman"/>
                      <w:bCs/>
                      <w:color w:val="000000" w:themeColor="text1"/>
                      <w:sz w:val="21"/>
                      <w:szCs w:val="21"/>
                      <w:u w:val="single"/>
                      <w:lang w:val="en-US" w:bidi="ar"/>
                    </w:rPr>
                    <w:t>等效黏土防渗层Mb≥1.5m，K≤1×10</w:t>
                  </w:r>
                  <w:r>
                    <w:rPr>
                      <w:rFonts w:hint="eastAsia" w:ascii="Times New Roman" w:hAnsi="Times New Roman"/>
                      <w:bCs/>
                      <w:color w:val="000000" w:themeColor="text1"/>
                      <w:sz w:val="21"/>
                      <w:szCs w:val="21"/>
                      <w:u w:val="single"/>
                      <w:vertAlign w:val="superscript"/>
                      <w:lang w:val="en-US" w:bidi="ar"/>
                    </w:rPr>
                    <w:t>-7</w:t>
                  </w:r>
                  <w:r>
                    <w:rPr>
                      <w:rFonts w:hint="eastAsia" w:ascii="Times New Roman" w:hAnsi="Times New Roman"/>
                      <w:bCs/>
                      <w:color w:val="000000" w:themeColor="text1"/>
                      <w:sz w:val="21"/>
                      <w:szCs w:val="21"/>
                      <w:u w:val="single"/>
                      <w:lang w:val="en-US" w:bidi="ar"/>
                    </w:rPr>
                    <w:t>cm/s；或参照GB16889执行</w:t>
                  </w:r>
                </w:p>
              </w:tc>
            </w:tr>
          </w:tbl>
          <w:p w14:paraId="42E99D8F">
            <w:pPr>
              <w:pStyle w:val="40"/>
              <w:spacing w:line="360" w:lineRule="auto"/>
              <w:ind w:firstLine="482" w:firstLineChars="200"/>
              <w:rPr>
                <w:rFonts w:ascii="Times New Roman" w:hAnsi="Times New Roman" w:cs="Times New Roman" w:eastAsiaTheme="minorEastAsia"/>
                <w:color w:val="000000" w:themeColor="text1"/>
                <w:sz w:val="24"/>
                <w:lang w:val="en-US"/>
              </w:rPr>
            </w:pPr>
            <w:r>
              <w:rPr>
                <w:rFonts w:hint="eastAsia" w:ascii="Times New Roman" w:hAnsi="Times New Roman" w:cs="Times New Roman" w:eastAsiaTheme="minorEastAsia"/>
                <w:b/>
                <w:bCs/>
                <w:color w:val="000000" w:themeColor="text1"/>
                <w:sz w:val="24"/>
                <w:lang w:val="en-US"/>
              </w:rPr>
              <w:t>6</w:t>
            </w:r>
            <w:r>
              <w:rPr>
                <w:rFonts w:ascii="Times New Roman" w:hAnsi="Times New Roman" w:cs="Times New Roman" w:eastAsiaTheme="minorEastAsia"/>
                <w:b/>
                <w:bCs/>
                <w:color w:val="000000" w:themeColor="text1"/>
                <w:sz w:val="24"/>
                <w:lang w:val="en-US"/>
              </w:rPr>
              <w:t>、生态</w:t>
            </w:r>
          </w:p>
          <w:p w14:paraId="174E50A4">
            <w:pPr>
              <w:snapToGrid w:val="0"/>
              <w:spacing w:line="360" w:lineRule="auto"/>
              <w:ind w:firstLine="480"/>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rPr>
              <w:t>项目充分利用</w:t>
            </w:r>
            <w:r>
              <w:rPr>
                <w:rFonts w:hint="eastAsia" w:ascii="Times New Roman" w:hAnsi="Times New Roman" w:cs="Times New Roman" w:eastAsiaTheme="minorEastAsia"/>
                <w:color w:val="000000" w:themeColor="text1"/>
                <w:sz w:val="24"/>
                <w:szCs w:val="24"/>
              </w:rPr>
              <w:t>原院区</w:t>
            </w:r>
            <w:r>
              <w:rPr>
                <w:rFonts w:ascii="Times New Roman" w:hAnsi="Times New Roman" w:cs="Times New Roman" w:eastAsiaTheme="minorEastAsia"/>
                <w:color w:val="000000" w:themeColor="text1"/>
                <w:sz w:val="24"/>
                <w:szCs w:val="24"/>
              </w:rPr>
              <w:t>绿化，使项目区环境进一步绿化美化、达到净化空气、隔尘降噪以及固化土壤等城市生态服务功能。故本项目建设对区域生态环境影响不大。</w:t>
            </w:r>
          </w:p>
          <w:p w14:paraId="32786751">
            <w:pPr>
              <w:pStyle w:val="40"/>
              <w:spacing w:line="360" w:lineRule="auto"/>
              <w:ind w:firstLine="482" w:firstLineChars="200"/>
              <w:rPr>
                <w:rFonts w:ascii="Times New Roman" w:hAnsi="Times New Roman" w:cs="Times New Roman" w:eastAsiaTheme="minorEastAsia"/>
                <w:b/>
                <w:bCs/>
                <w:color w:val="000000" w:themeColor="text1"/>
                <w:sz w:val="24"/>
                <w:lang w:val="en-US"/>
              </w:rPr>
            </w:pPr>
            <w:r>
              <w:rPr>
                <w:rFonts w:hint="eastAsia" w:ascii="Times New Roman" w:hAnsi="Times New Roman" w:cs="Times New Roman" w:eastAsiaTheme="minorEastAsia"/>
                <w:b/>
                <w:bCs/>
                <w:color w:val="000000" w:themeColor="text1"/>
                <w:sz w:val="24"/>
                <w:lang w:val="en-US"/>
              </w:rPr>
              <w:t>7、营运期</w:t>
            </w:r>
            <w:r>
              <w:rPr>
                <w:rFonts w:ascii="Times New Roman" w:hAnsi="Times New Roman" w:cs="Times New Roman" w:eastAsiaTheme="minorEastAsia"/>
                <w:b/>
                <w:bCs/>
                <w:color w:val="000000" w:themeColor="text1"/>
                <w:sz w:val="24"/>
                <w:lang w:val="en-US"/>
              </w:rPr>
              <w:t>对</w:t>
            </w:r>
            <w:r>
              <w:rPr>
                <w:rFonts w:hint="eastAsia" w:ascii="Times New Roman" w:hAnsi="Times New Roman" w:cs="Times New Roman" w:eastAsiaTheme="minorEastAsia"/>
                <w:b/>
                <w:bCs/>
                <w:color w:val="000000" w:themeColor="text1"/>
                <w:sz w:val="24"/>
                <w:lang w:val="en-US"/>
              </w:rPr>
              <w:t>洛清江</w:t>
            </w:r>
            <w:r>
              <w:rPr>
                <w:rFonts w:ascii="Times New Roman" w:hAnsi="Times New Roman" w:cs="Times New Roman" w:eastAsiaTheme="minorEastAsia"/>
                <w:b/>
                <w:bCs/>
                <w:color w:val="000000" w:themeColor="text1"/>
                <w:sz w:val="24"/>
                <w:lang w:val="en-US"/>
              </w:rPr>
              <w:t>的影响分析</w:t>
            </w:r>
          </w:p>
          <w:p w14:paraId="502049B2">
            <w:pPr>
              <w:spacing w:line="360" w:lineRule="auto"/>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经现场勘查，项目东侧39m处为洛清江，为确保项目运营期各污染物不会对河流水质造成污染，环评要求建设单位采取以下措施：</w:t>
            </w:r>
          </w:p>
          <w:p w14:paraId="01B7FF25">
            <w:pPr>
              <w:spacing w:line="360" w:lineRule="auto"/>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项目运营期传染性废水经传染病预处理设施处理后与业务综合楼综合废水一起排入综合污水处理站处理，废水达到《医疗机构水污染物排放标准》（GB18466-2005）表2预处理标准后，排入永福县益源污水处理厂处理；食堂废水依托原有项目隔油池+化粪池处理后，排入永福县益源污水处理厂；</w:t>
            </w:r>
          </w:p>
          <w:p w14:paraId="0AC3DAE1">
            <w:pPr>
              <w:spacing w:line="360" w:lineRule="auto"/>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（2）生产期间产生的固废及生活垃圾合理处置，禁止乱丢乱弃；</w:t>
            </w:r>
          </w:p>
          <w:p w14:paraId="16B09234">
            <w:pPr>
              <w:spacing w:line="360" w:lineRule="auto"/>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lang w:bidi="ar"/>
              </w:rPr>
              <w:t>项目</w:t>
            </w:r>
            <w:r>
              <w:rPr>
                <w:rFonts w:ascii="Times New Roman" w:hAnsi="Times New Roman" w:cs="Times New Roman"/>
                <w:color w:val="000000" w:themeColor="text1"/>
                <w:sz w:val="24"/>
                <w:lang w:val="en-US" w:bidi="ar"/>
              </w:rPr>
              <w:t>隔油池</w:t>
            </w:r>
            <w:r>
              <w:rPr>
                <w:rFonts w:ascii="Times New Roman" w:hAnsi="Times New Roman" w:cs="Times New Roman"/>
                <w:color w:val="000000" w:themeColor="text1"/>
                <w:sz w:val="24"/>
                <w:lang w:bidi="ar"/>
              </w:rPr>
              <w:t>、化粪池</w:t>
            </w:r>
            <w:r>
              <w:rPr>
                <w:rFonts w:ascii="Times New Roman" w:hAnsi="Times New Roman" w:cs="Times New Roman"/>
                <w:color w:val="000000" w:themeColor="text1"/>
                <w:sz w:val="24"/>
                <w:lang w:val="en-US" w:bidi="ar"/>
              </w:rPr>
              <w:t>、</w:t>
            </w:r>
            <w:r>
              <w:rPr>
                <w:rFonts w:ascii="Times New Roman" w:hAnsi="Times New Roman" w:cs="Times New Roman"/>
                <w:color w:val="000000" w:themeColor="text1"/>
                <w:sz w:val="24"/>
                <w:lang w:bidi="ar"/>
              </w:rPr>
              <w:t>危险废物暂存间、传染病预处理设施、综合污水处理站</w:t>
            </w:r>
            <w:r>
              <w:rPr>
                <w:rFonts w:ascii="Times New Roman" w:hAnsi="Times New Roman" w:cs="Times New Roman"/>
                <w:color w:val="000000" w:themeColor="text1"/>
                <w:sz w:val="24"/>
                <w:lang w:val="en-US" w:bidi="ar"/>
              </w:rPr>
              <w:t>已做好</w:t>
            </w:r>
            <w:r>
              <w:rPr>
                <w:rFonts w:ascii="Times New Roman" w:hAnsi="Times New Roman" w:cs="Times New Roman"/>
                <w:color w:val="000000" w:themeColor="text1"/>
                <w:sz w:val="24"/>
                <w:lang w:bidi="ar"/>
              </w:rPr>
              <w:t>防渗要求，</w:t>
            </w:r>
            <w:r>
              <w:rPr>
                <w:rFonts w:ascii="Times New Roman" w:hAnsi="Times New Roman" w:cs="Times New Roman"/>
                <w:color w:val="000000" w:themeColor="text1"/>
                <w:sz w:val="24"/>
                <w:szCs w:val="24"/>
              </w:rPr>
              <w:t>以防止废水泄漏造成地下水污染进而污染</w:t>
            </w:r>
            <w:r>
              <w:rPr>
                <w:rFonts w:ascii="Times New Roman" w:hAnsi="Times New Roman" w:cs="Times New Roman"/>
                <w:color w:val="000000" w:themeColor="text1"/>
                <w:sz w:val="24"/>
                <w:szCs w:val="24"/>
                <w:lang w:val="en-US"/>
              </w:rPr>
              <w:t>洛清江</w:t>
            </w:r>
            <w:r>
              <w:rPr>
                <w:rFonts w:ascii="Times New Roman" w:hAnsi="Times New Roman" w:cs="Times New Roman"/>
                <w:color w:val="000000" w:themeColor="text1"/>
                <w:sz w:val="24"/>
                <w:szCs w:val="24"/>
              </w:rPr>
              <w:t>。</w:t>
            </w:r>
          </w:p>
          <w:p w14:paraId="0EE5A2A9">
            <w:pPr>
              <w:spacing w:line="360" w:lineRule="auto"/>
              <w:ind w:firstLine="480" w:firstLineChars="20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（4）医院已建设容积为</w:t>
            </w:r>
            <w:r>
              <w:rPr>
                <w:rFonts w:ascii="Times New Roman" w:hAnsi="Times New Roman" w:cs="Times New Roman"/>
                <w:color w:val="000000" w:themeColor="text1"/>
                <w:sz w:val="24"/>
                <w:lang w:val="en-US"/>
              </w:rPr>
              <w:t>95</w:t>
            </w:r>
            <w:r>
              <w:rPr>
                <w:rFonts w:ascii="Times New Roman" w:hAnsi="Times New Roman" w:cs="Times New Roman"/>
                <w:color w:val="000000" w:themeColor="text1"/>
                <w:sz w:val="24"/>
              </w:rPr>
              <w:t>m</w:t>
            </w:r>
            <w:r>
              <w:rPr>
                <w:rFonts w:ascii="Times New Roman" w:hAnsi="Times New Roman" w:cs="Times New Roman"/>
                <w:color w:val="000000" w:themeColor="text1"/>
                <w:sz w:val="24"/>
                <w:vertAlign w:val="superscript"/>
              </w:rPr>
              <w:t>3</w:t>
            </w:r>
            <w:r>
              <w:rPr>
                <w:rFonts w:ascii="Times New Roman" w:hAnsi="Times New Roman" w:cs="Times New Roman"/>
                <w:color w:val="000000" w:themeColor="text1"/>
                <w:sz w:val="24"/>
                <w:lang w:val="en-US"/>
              </w:rPr>
              <w:t>应急池</w:t>
            </w:r>
            <w:r>
              <w:rPr>
                <w:rFonts w:ascii="Times New Roman" w:hAnsi="Times New Roman" w:cs="Times New Roman"/>
                <w:color w:val="000000" w:themeColor="text1"/>
                <w:sz w:val="24"/>
              </w:rPr>
              <w:t>，</w:t>
            </w:r>
            <w:r>
              <w:rPr>
                <w:rFonts w:ascii="Times New Roman" w:hAnsi="Times New Roman" w:cs="Times New Roman"/>
                <w:color w:val="000000" w:themeColor="text1"/>
                <w:sz w:val="24"/>
                <w:lang w:val="en-US"/>
              </w:rPr>
              <w:t>满足医院医疗废水事故状态下的收集，所以事故状态下不会发生医疗废水进入</w:t>
            </w:r>
            <w:r>
              <w:rPr>
                <w:rFonts w:ascii="Times New Roman" w:hAnsi="Times New Roman" w:cs="Times New Roman"/>
                <w:bCs/>
                <w:color w:val="000000" w:themeColor="text1"/>
                <w:sz w:val="24"/>
                <w:szCs w:val="24"/>
              </w:rPr>
              <w:t>洛清江</w:t>
            </w:r>
            <w:r>
              <w:rPr>
                <w:rFonts w:ascii="Times New Roman" w:hAnsi="Times New Roman" w:cs="Times New Roman"/>
                <w:bCs/>
                <w:color w:val="000000" w:themeColor="text1"/>
                <w:sz w:val="24"/>
                <w:szCs w:val="24"/>
                <w:lang w:val="en-US"/>
              </w:rPr>
              <w:t>事件。</w:t>
            </w:r>
          </w:p>
          <w:p w14:paraId="1A9DE674">
            <w:pPr>
              <w:spacing w:line="360" w:lineRule="auto"/>
              <w:ind w:firstLine="480" w:firstLineChars="200"/>
              <w:rPr>
                <w:rFonts w:ascii="Times New Roman" w:hAnsi="Times New Roman" w:cs="Times New Roman"/>
                <w:bCs/>
                <w:color w:val="000000" w:themeColor="text1"/>
                <w:sz w:val="24"/>
                <w:lang w:val="en-US"/>
              </w:rPr>
            </w:pPr>
            <w:r>
              <w:rPr>
                <w:rFonts w:ascii="Times New Roman" w:hAnsi="Times New Roman" w:cs="Times New Roman"/>
                <w:bCs/>
                <w:color w:val="000000" w:themeColor="text1"/>
                <w:sz w:val="24"/>
                <w:szCs w:val="24"/>
              </w:rPr>
              <w:t>经采取以上措施，项目运营期对洛清江基本无影响。</w:t>
            </w:r>
          </w:p>
          <w:p w14:paraId="369EC30D">
            <w:pPr>
              <w:pStyle w:val="40"/>
              <w:spacing w:line="360" w:lineRule="auto"/>
              <w:ind w:firstLine="482" w:firstLineChars="200"/>
              <w:rPr>
                <w:rFonts w:ascii="Times New Roman" w:hAnsi="Times New Roman" w:cs="Times New Roman" w:eastAsiaTheme="minorEastAsia"/>
                <w:color w:val="000000" w:themeColor="text1"/>
                <w:sz w:val="24"/>
                <w:lang w:val="en-US"/>
              </w:rPr>
            </w:pPr>
            <w:r>
              <w:rPr>
                <w:rFonts w:hint="eastAsia" w:ascii="Times New Roman" w:hAnsi="Times New Roman" w:cs="Times New Roman" w:eastAsiaTheme="minorEastAsia"/>
                <w:b/>
                <w:bCs/>
                <w:color w:val="000000" w:themeColor="text1"/>
                <w:sz w:val="24"/>
                <w:lang w:val="en-US"/>
              </w:rPr>
              <w:t>8</w:t>
            </w:r>
            <w:r>
              <w:rPr>
                <w:rFonts w:ascii="Times New Roman" w:hAnsi="Times New Roman" w:cs="Times New Roman" w:eastAsiaTheme="minorEastAsia"/>
                <w:b/>
                <w:bCs/>
                <w:color w:val="000000" w:themeColor="text1"/>
                <w:sz w:val="24"/>
                <w:lang w:val="en-US"/>
              </w:rPr>
              <w:t>、环境风险</w:t>
            </w:r>
          </w:p>
          <w:p w14:paraId="03AD8FD2">
            <w:pPr>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根据《建设项目环境风险评价技术导则》（HJ169-2018）第7.2.3条规定，按工艺流程和平面布置功能区划，结合物质危险性识别，给出危险单元划分结果及单元内危险物质的最大存在量，按生产工艺流程分析危险单元内潜在的风险源。</w:t>
            </w:r>
          </w:p>
          <w:p w14:paraId="34732F06">
            <w:pPr>
              <w:spacing w:line="360" w:lineRule="auto"/>
              <w:ind w:firstLine="482"/>
              <w:rPr>
                <w:rFonts w:ascii="Times New Roman" w:hAnsi="Times New Roman"/>
                <w:color w:val="000000" w:themeColor="text1"/>
                <w:sz w:val="24"/>
                <w:szCs w:val="24"/>
              </w:rPr>
            </w:pPr>
            <w:r>
              <w:rPr>
                <w:rFonts w:ascii="Times New Roman" w:hAnsi="Times New Roman"/>
                <w:color w:val="000000" w:themeColor="text1"/>
                <w:sz w:val="24"/>
                <w:szCs w:val="24"/>
              </w:rPr>
              <w:t>按附录B识别出危险物质，明确危险物质的分布。根据导则附录B重点关注的危险物质及临界量，本项目</w:t>
            </w:r>
            <w:r>
              <w:rPr>
                <w:rFonts w:hint="eastAsia" w:ascii="Times New Roman" w:hAnsi="Times New Roman"/>
                <w:color w:val="000000" w:themeColor="text1"/>
                <w:sz w:val="24"/>
                <w:szCs w:val="24"/>
                <w:lang w:val="en-US"/>
              </w:rPr>
              <w:t>使用消佳净进行消毒，其主要成分为12%次氯酸钠；库房暂存的医用酒精、免洗消毒液主要成分为75%乙醇</w:t>
            </w:r>
            <w:r>
              <w:rPr>
                <w:rFonts w:hint="eastAsia" w:ascii="Times New Roman" w:hAnsi="Times New Roman"/>
                <w:color w:val="000000" w:themeColor="text1"/>
                <w:sz w:val="24"/>
                <w:szCs w:val="24"/>
                <w:lang w:val="en-US" w:eastAsia="zh-CN"/>
              </w:rPr>
              <w:t>，原有项目的备用柴油发电机旁储存少量柴油，属矿物油类</w:t>
            </w:r>
            <w:r>
              <w:rPr>
                <w:rFonts w:hint="eastAsia" w:ascii="Times New Roman" w:hAnsi="Times New Roman"/>
                <w:color w:val="000000" w:themeColor="text1"/>
                <w:sz w:val="24"/>
                <w:szCs w:val="24"/>
                <w:lang w:val="en-US"/>
              </w:rPr>
              <w:t>。</w:t>
            </w:r>
            <w:r>
              <w:rPr>
                <w:rFonts w:ascii="Times New Roman" w:hAnsi="Times New Roman"/>
                <w:color w:val="000000" w:themeColor="text1"/>
                <w:sz w:val="24"/>
                <w:szCs w:val="24"/>
              </w:rPr>
              <w:t>根据《建设项目环境风险评价技术导则》（HJ169-2018）</w:t>
            </w:r>
            <w:r>
              <w:rPr>
                <w:rFonts w:hint="eastAsia" w:ascii="Times New Roman" w:hAnsi="Times New Roman"/>
                <w:color w:val="000000" w:themeColor="text1"/>
                <w:sz w:val="24"/>
                <w:szCs w:val="24"/>
                <w:lang w:val="en-US"/>
              </w:rPr>
              <w:t>“附录B表B.1突发环境事件风险物质及临界量及表B.1注：以上临界量数据来源于《企业突发环境事件风险分级方法》中“附录A突发环境事件风险物质及临界量清单，如标准数据更新，应使用有效版本。”得知次氯酸钠临界量5t，乙醇临界量500t。环境风险评价以整个医院的风险物质进行核算，全院</w:t>
            </w:r>
            <w:r>
              <w:rPr>
                <w:rFonts w:ascii="Times New Roman" w:hAnsi="Times New Roman"/>
                <w:color w:val="000000" w:themeColor="text1"/>
                <w:sz w:val="24"/>
                <w:szCs w:val="24"/>
              </w:rPr>
              <w:t>存在的环境风险</w:t>
            </w:r>
            <w:r>
              <w:rPr>
                <w:rFonts w:hint="eastAsia" w:ascii="Times New Roman" w:hAnsi="Times New Roman"/>
                <w:color w:val="000000" w:themeColor="text1"/>
                <w:sz w:val="24"/>
                <w:szCs w:val="24"/>
                <w:lang w:val="en-US"/>
              </w:rPr>
              <w:t>物质</w:t>
            </w:r>
            <w:r>
              <w:rPr>
                <w:rFonts w:ascii="Times New Roman" w:hAnsi="Times New Roman"/>
                <w:color w:val="000000" w:themeColor="text1"/>
                <w:sz w:val="24"/>
                <w:szCs w:val="24"/>
              </w:rPr>
              <w:t>主要为</w:t>
            </w:r>
            <w:r>
              <w:rPr>
                <w:rFonts w:hint="eastAsia" w:ascii="Times New Roman" w:hAnsi="Times New Roman"/>
                <w:color w:val="000000" w:themeColor="text1"/>
                <w:sz w:val="24"/>
                <w:szCs w:val="24"/>
                <w:lang w:val="en-US"/>
              </w:rPr>
              <w:t>次氯酸钠、乙醇</w:t>
            </w:r>
            <w:r>
              <w:rPr>
                <w:rFonts w:hint="eastAsia" w:ascii="Times New Roman" w:hAnsi="Times New Roman"/>
                <w:color w:val="000000" w:themeColor="text1"/>
                <w:sz w:val="24"/>
                <w:szCs w:val="24"/>
                <w:lang w:val="en-US" w:eastAsia="zh-CN"/>
              </w:rPr>
              <w:t>、柴油</w:t>
            </w:r>
            <w:r>
              <w:rPr>
                <w:rFonts w:hint="eastAsia" w:ascii="Times New Roman" w:hAnsi="Times New Roman"/>
                <w:color w:val="000000" w:themeColor="text1"/>
                <w:sz w:val="24"/>
                <w:szCs w:val="24"/>
              </w:rPr>
              <w:t>，</w:t>
            </w:r>
            <w:r>
              <w:rPr>
                <w:rFonts w:hint="eastAsia" w:ascii="Times New Roman" w:hAnsi="Times New Roman"/>
                <w:color w:val="000000" w:themeColor="text1"/>
                <w:sz w:val="24"/>
                <w:szCs w:val="24"/>
                <w:lang w:val="en-US"/>
              </w:rPr>
              <w:t>最大</w:t>
            </w:r>
            <w:r>
              <w:rPr>
                <w:rFonts w:hint="eastAsia" w:ascii="Times New Roman" w:hAnsi="Times New Roman"/>
                <w:color w:val="000000" w:themeColor="text1"/>
                <w:sz w:val="24"/>
                <w:szCs w:val="24"/>
              </w:rPr>
              <w:t>存储量</w:t>
            </w:r>
            <w:r>
              <w:rPr>
                <w:rFonts w:hint="eastAsia" w:ascii="Times New Roman" w:hAnsi="Times New Roman"/>
                <w:color w:val="000000" w:themeColor="text1"/>
                <w:sz w:val="24"/>
                <w:szCs w:val="24"/>
                <w:lang w:val="en-US"/>
              </w:rPr>
              <w:t>分别</w:t>
            </w:r>
            <w:r>
              <w:rPr>
                <w:rFonts w:ascii="Times New Roman" w:hAnsi="Times New Roman"/>
                <w:color w:val="000000" w:themeColor="text1"/>
                <w:sz w:val="24"/>
                <w:szCs w:val="24"/>
              </w:rPr>
              <w:t>为</w:t>
            </w:r>
            <w:r>
              <w:rPr>
                <w:rFonts w:hint="eastAsia" w:ascii="Times New Roman" w:hAnsi="Times New Roman"/>
                <w:color w:val="000000" w:themeColor="text1"/>
                <w:sz w:val="24"/>
                <w:szCs w:val="24"/>
                <w:lang w:val="en-US"/>
              </w:rPr>
              <w:t>0.432</w:t>
            </w:r>
            <w:r>
              <w:rPr>
                <w:rFonts w:ascii="Times New Roman" w:hAnsi="Times New Roman"/>
                <w:color w:val="000000" w:themeColor="text1"/>
                <w:sz w:val="24"/>
                <w:szCs w:val="24"/>
              </w:rPr>
              <w:t>t</w:t>
            </w:r>
            <w:r>
              <w:rPr>
                <w:rFonts w:hint="eastAsia" w:ascii="Times New Roman" w:hAnsi="Times New Roman"/>
                <w:color w:val="000000" w:themeColor="text1"/>
                <w:sz w:val="24"/>
                <w:szCs w:val="24"/>
              </w:rPr>
              <w:t>、</w:t>
            </w:r>
            <w:r>
              <w:rPr>
                <w:rFonts w:hint="eastAsia" w:ascii="Times New Roman" w:hAnsi="Times New Roman"/>
                <w:color w:val="000000" w:themeColor="text1"/>
                <w:sz w:val="24"/>
                <w:szCs w:val="24"/>
                <w:lang w:val="en-US"/>
              </w:rPr>
              <w:t>4.9</w:t>
            </w:r>
            <w:r>
              <w:rPr>
                <w:rFonts w:ascii="Times New Roman" w:hAnsi="Times New Roman"/>
                <w:color w:val="000000" w:themeColor="text1"/>
                <w:sz w:val="24"/>
                <w:szCs w:val="24"/>
              </w:rPr>
              <w:t>t</w:t>
            </w:r>
            <w:r>
              <w:rPr>
                <w:rFonts w:hint="eastAsia" w:ascii="Times New Roman" w:hAnsi="Times New Roman"/>
                <w:color w:val="000000" w:themeColor="text1"/>
                <w:sz w:val="24"/>
                <w:szCs w:val="24"/>
                <w:lang w:eastAsia="zh-CN"/>
              </w:rPr>
              <w:t>、</w:t>
            </w:r>
            <w:r>
              <w:rPr>
                <w:rFonts w:hint="eastAsia" w:ascii="Times New Roman" w:hAnsi="Times New Roman"/>
                <w:color w:val="000000" w:themeColor="text1"/>
                <w:sz w:val="24"/>
                <w:szCs w:val="24"/>
                <w:lang w:val="en-US" w:eastAsia="zh-CN"/>
              </w:rPr>
              <w:t>1.3</w:t>
            </w:r>
            <w:r>
              <w:rPr>
                <w:rFonts w:ascii="Times New Roman" w:hAnsi="Times New Roman"/>
                <w:color w:val="000000" w:themeColor="text1"/>
                <w:sz w:val="24"/>
                <w:szCs w:val="24"/>
              </w:rPr>
              <w:t>t</w:t>
            </w:r>
            <w:r>
              <w:rPr>
                <w:rFonts w:hint="eastAsia" w:ascii="Times New Roman" w:hAnsi="Times New Roman"/>
                <w:color w:val="000000" w:themeColor="text1"/>
                <w:sz w:val="24"/>
                <w:szCs w:val="24"/>
              </w:rPr>
              <w:t>，</w:t>
            </w:r>
            <w:r>
              <w:rPr>
                <w:rFonts w:ascii="Times New Roman" w:hAnsi="Times New Roman"/>
                <w:color w:val="000000" w:themeColor="text1"/>
                <w:sz w:val="24"/>
                <w:szCs w:val="24"/>
              </w:rPr>
              <w:t>因此本项目Q=</w:t>
            </w:r>
            <w:r>
              <w:rPr>
                <w:rFonts w:hint="eastAsia" w:ascii="Times New Roman" w:hAnsi="Times New Roman"/>
                <w:color w:val="000000" w:themeColor="text1"/>
                <w:sz w:val="24"/>
                <w:szCs w:val="24"/>
                <w:lang w:val="en-US"/>
              </w:rPr>
              <w:t>0.432/5+4.9/500</w:t>
            </w:r>
            <w:r>
              <w:rPr>
                <w:rFonts w:hint="eastAsia" w:ascii="Times New Roman" w:hAnsi="Times New Roman"/>
                <w:color w:val="000000" w:themeColor="text1"/>
                <w:sz w:val="24"/>
                <w:szCs w:val="24"/>
                <w:lang w:val="en-US" w:eastAsia="zh-CN"/>
              </w:rPr>
              <w:t>+1.3/2500</w:t>
            </w:r>
            <w:r>
              <w:rPr>
                <w:rFonts w:hint="eastAsia" w:ascii="Times New Roman" w:hAnsi="Times New Roman"/>
                <w:color w:val="000000" w:themeColor="text1"/>
                <w:sz w:val="24"/>
                <w:szCs w:val="24"/>
                <w:lang w:val="en-US"/>
              </w:rPr>
              <w:t>=0.1</w:t>
            </w:r>
            <w:r>
              <w:rPr>
                <w:rFonts w:ascii="Times New Roman" w:hAnsi="Times New Roman"/>
                <w:color w:val="000000" w:themeColor="text1"/>
                <w:sz w:val="24"/>
                <w:szCs w:val="24"/>
              </w:rPr>
              <w:t>&lt;1</w:t>
            </w:r>
            <w:r>
              <w:rPr>
                <w:rFonts w:hint="eastAsia" w:ascii="Times New Roman" w:hAnsi="Times New Roman"/>
                <w:color w:val="000000" w:themeColor="text1"/>
                <w:sz w:val="24"/>
                <w:szCs w:val="24"/>
              </w:rPr>
              <w:t>，</w:t>
            </w:r>
            <w:r>
              <w:rPr>
                <w:rFonts w:ascii="Times New Roman" w:hAnsi="Times New Roman"/>
                <w:color w:val="000000" w:themeColor="text1"/>
                <w:sz w:val="24"/>
                <w:szCs w:val="24"/>
              </w:rPr>
              <w:t>则本</w:t>
            </w:r>
            <w:r>
              <w:rPr>
                <w:rFonts w:hint="eastAsia" w:ascii="Times New Roman" w:hAnsi="Times New Roman"/>
                <w:color w:val="000000" w:themeColor="text1"/>
                <w:sz w:val="24"/>
                <w:szCs w:val="24"/>
                <w:lang w:val="en-US"/>
              </w:rPr>
              <w:t>院</w:t>
            </w:r>
            <w:r>
              <w:rPr>
                <w:rFonts w:ascii="Times New Roman" w:hAnsi="Times New Roman"/>
                <w:color w:val="000000" w:themeColor="text1"/>
                <w:sz w:val="24"/>
                <w:szCs w:val="24"/>
              </w:rPr>
              <w:t>风险潜势为I</w:t>
            </w:r>
            <w:r>
              <w:rPr>
                <w:rFonts w:hint="eastAsia" w:ascii="Times New Roman" w:hAnsi="Times New Roman"/>
                <w:color w:val="000000" w:themeColor="text1"/>
                <w:sz w:val="24"/>
                <w:szCs w:val="24"/>
              </w:rPr>
              <w:t>，风险进行简单分析。</w:t>
            </w:r>
          </w:p>
          <w:p w14:paraId="41DFDAD0">
            <w:pPr>
              <w:spacing w:line="360" w:lineRule="auto"/>
              <w:ind w:firstLine="482"/>
              <w:rPr>
                <w:rFonts w:ascii="Times New Roman" w:hAnsi="Times New Roman"/>
                <w:color w:val="000000" w:themeColor="text1"/>
                <w:sz w:val="24"/>
                <w:szCs w:val="24"/>
              </w:rPr>
            </w:pPr>
            <w:r>
              <w:rPr>
                <w:rFonts w:hint="eastAsia" w:ascii="Times New Roman" w:hAnsi="Times New Roman"/>
                <w:color w:val="000000" w:themeColor="text1"/>
                <w:sz w:val="24"/>
                <w:szCs w:val="24"/>
                <w:lang w:val="en-US"/>
              </w:rPr>
              <w:t>8</w:t>
            </w:r>
            <w:r>
              <w:rPr>
                <w:rFonts w:hint="eastAsia" w:ascii="Times New Roman" w:hAnsi="Times New Roman"/>
                <w:color w:val="000000" w:themeColor="text1"/>
                <w:sz w:val="24"/>
                <w:szCs w:val="24"/>
              </w:rPr>
              <w:t>.1</w:t>
            </w:r>
            <w:r>
              <w:rPr>
                <w:rFonts w:ascii="Times New Roman" w:hAnsi="Times New Roman"/>
                <w:color w:val="000000" w:themeColor="text1"/>
                <w:sz w:val="24"/>
                <w:szCs w:val="24"/>
              </w:rPr>
              <w:t>环境风险识别</w:t>
            </w:r>
          </w:p>
          <w:p w14:paraId="43DA2B0A">
            <w:pPr>
              <w:pStyle w:val="26"/>
              <w:spacing w:line="360" w:lineRule="auto"/>
              <w:ind w:firstLine="482" w:firstLineChars="0"/>
              <w:rPr>
                <w:rFonts w:ascii="Times New Roman" w:hAnsi="Times New Roman"/>
                <w:color w:val="000000" w:themeColor="text1"/>
              </w:rPr>
            </w:pPr>
            <w:r>
              <w:rPr>
                <w:rFonts w:ascii="Times New Roman" w:hAnsi="Times New Roman"/>
                <w:color w:val="000000" w:themeColor="text1"/>
              </w:rPr>
              <w:t>本项目主要环境风险为</w:t>
            </w:r>
            <w:r>
              <w:rPr>
                <w:rFonts w:hint="eastAsia" w:ascii="Times New Roman" w:hAnsi="Times New Roman"/>
                <w:color w:val="000000" w:themeColor="text1"/>
              </w:rPr>
              <w:t>污水处理站、医疗废物暂存间、风险物质</w:t>
            </w:r>
            <w:r>
              <w:rPr>
                <w:rFonts w:ascii="Times New Roman" w:hAnsi="Times New Roman"/>
                <w:color w:val="000000" w:themeColor="text1"/>
              </w:rPr>
              <w:t>渗漏对地下水</w:t>
            </w:r>
            <w:r>
              <w:rPr>
                <w:rFonts w:hint="eastAsia" w:ascii="Times New Roman" w:hAnsi="Times New Roman"/>
                <w:color w:val="000000" w:themeColor="text1"/>
              </w:rPr>
              <w:t>、地表水</w:t>
            </w:r>
            <w:r>
              <w:rPr>
                <w:rFonts w:ascii="Times New Roman" w:hAnsi="Times New Roman"/>
                <w:color w:val="000000" w:themeColor="text1"/>
              </w:rPr>
              <w:t>环境产生的影响。</w:t>
            </w:r>
          </w:p>
          <w:p w14:paraId="23B1F16E">
            <w:pPr>
              <w:autoSpaceDE/>
              <w:autoSpaceDN/>
              <w:spacing w:line="360" w:lineRule="auto"/>
              <w:ind w:firstLine="482"/>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8.2</w:t>
            </w:r>
            <w:r>
              <w:rPr>
                <w:rFonts w:ascii="Times New Roman" w:hAnsi="Times New Roman" w:cs="Times New Roman"/>
                <w:color w:val="000000" w:themeColor="text1"/>
                <w:kern w:val="2"/>
                <w:sz w:val="24"/>
                <w:szCs w:val="24"/>
                <w:lang w:val="en-US" w:bidi="ar-SA"/>
              </w:rPr>
              <w:t>环境风险分析、防范措施及应急要求</w:t>
            </w:r>
          </w:p>
          <w:p w14:paraId="7C87D7C8">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ascii="Times New Roman" w:hAnsi="Times New Roman" w:cs="Times New Roman"/>
                <w:bCs/>
                <w:color w:val="000000" w:themeColor="text1"/>
                <w:kern w:val="2"/>
                <w:sz w:val="24"/>
                <w:szCs w:val="24"/>
                <w:lang w:val="en-US" w:bidi="ar-SA"/>
              </w:rPr>
              <w:t>项目废水</w:t>
            </w:r>
            <w:r>
              <w:rPr>
                <w:rFonts w:hint="eastAsia" w:ascii="Times New Roman" w:hAnsi="Times New Roman" w:cs="Times New Roman"/>
                <w:bCs/>
                <w:color w:val="000000" w:themeColor="text1"/>
                <w:kern w:val="2"/>
                <w:sz w:val="24"/>
                <w:szCs w:val="24"/>
                <w:lang w:val="en-US" w:bidi="ar-SA"/>
              </w:rPr>
              <w:t>主要为</w:t>
            </w:r>
            <w:r>
              <w:rPr>
                <w:rFonts w:ascii="Times New Roman" w:hAnsi="Times New Roman" w:cs="Times New Roman"/>
                <w:bCs/>
                <w:color w:val="000000" w:themeColor="text1"/>
                <w:sz w:val="24"/>
                <w:szCs w:val="24"/>
                <w:lang w:val="en-US" w:bidi="ar-SA"/>
              </w:rPr>
              <w:t>住院病房</w:t>
            </w:r>
            <w:r>
              <w:rPr>
                <w:rFonts w:hint="eastAsia" w:ascii="Times New Roman" w:hAnsi="Times New Roman" w:cs="Times New Roman"/>
                <w:bCs/>
                <w:color w:val="000000" w:themeColor="text1"/>
                <w:sz w:val="24"/>
                <w:szCs w:val="24"/>
                <w:lang w:val="en-US" w:bidi="ar-SA"/>
              </w:rPr>
              <w:t>医疗污水</w:t>
            </w:r>
            <w:r>
              <w:rPr>
                <w:rFonts w:ascii="Times New Roman" w:hAnsi="Times New Roman" w:cs="Times New Roman"/>
                <w:bCs/>
                <w:color w:val="000000" w:themeColor="text1"/>
                <w:sz w:val="24"/>
                <w:szCs w:val="24"/>
                <w:lang w:val="en-US" w:bidi="ar-SA"/>
              </w:rPr>
              <w:t>、</w:t>
            </w:r>
            <w:r>
              <w:rPr>
                <w:rFonts w:hint="eastAsia" w:ascii="Times New Roman" w:hAnsi="Times New Roman" w:cs="Times New Roman"/>
                <w:bCs/>
                <w:color w:val="000000" w:themeColor="text1"/>
                <w:sz w:val="24"/>
                <w:szCs w:val="24"/>
                <w:lang w:val="en-US" w:bidi="ar-SA"/>
              </w:rPr>
              <w:t>门诊废水、</w:t>
            </w:r>
            <w:r>
              <w:rPr>
                <w:rFonts w:ascii="Times New Roman" w:hAnsi="Times New Roman" w:cs="Times New Roman"/>
                <w:bCs/>
                <w:color w:val="000000" w:themeColor="text1"/>
                <w:sz w:val="24"/>
                <w:szCs w:val="24"/>
                <w:lang w:val="en-US" w:bidi="ar-SA"/>
              </w:rPr>
              <w:t>保洁</w:t>
            </w:r>
            <w:r>
              <w:rPr>
                <w:rFonts w:hint="eastAsia" w:ascii="Times New Roman" w:hAnsi="Times New Roman" w:cs="Times New Roman"/>
                <w:bCs/>
                <w:color w:val="000000" w:themeColor="text1"/>
                <w:sz w:val="24"/>
                <w:szCs w:val="24"/>
                <w:lang w:val="en-US" w:bidi="ar-SA"/>
              </w:rPr>
              <w:t>废水、洗衣房废水、职工生活污水等</w:t>
            </w:r>
            <w:r>
              <w:rPr>
                <w:rFonts w:ascii="Times New Roman" w:hAnsi="Times New Roman" w:cs="Times New Roman"/>
                <w:bCs/>
                <w:color w:val="000000" w:themeColor="text1"/>
                <w:sz w:val="24"/>
                <w:szCs w:val="24"/>
                <w:lang w:val="en-US" w:bidi="ar-SA"/>
              </w:rPr>
              <w:t>，</w:t>
            </w:r>
            <w:r>
              <w:rPr>
                <w:rFonts w:ascii="Times New Roman" w:hAnsi="Times New Roman" w:cs="Times New Roman"/>
                <w:snapToGrid w:val="0"/>
                <w:color w:val="000000" w:themeColor="text1"/>
                <w:sz w:val="24"/>
                <w:szCs w:val="24"/>
              </w:rPr>
              <w:t>本项目医疗废水和生活污水没有分流</w:t>
            </w:r>
            <w:r>
              <w:rPr>
                <w:rFonts w:hint="eastAsia" w:ascii="Times New Roman" w:hAnsi="Times New Roman" w:cs="Times New Roman"/>
                <w:snapToGrid w:val="0"/>
                <w:color w:val="000000" w:themeColor="text1"/>
                <w:sz w:val="24"/>
                <w:szCs w:val="24"/>
              </w:rPr>
              <w:t>，</w:t>
            </w:r>
            <w:r>
              <w:rPr>
                <w:rFonts w:ascii="Times New Roman" w:hAnsi="Times New Roman" w:cs="Times New Roman"/>
                <w:snapToGrid w:val="0"/>
                <w:color w:val="000000" w:themeColor="text1"/>
                <w:sz w:val="24"/>
                <w:szCs w:val="24"/>
              </w:rPr>
              <w:t>因此运营期产生的污水全部按照医疗废水处理</w:t>
            </w:r>
            <w:r>
              <w:rPr>
                <w:rFonts w:hint="eastAsia" w:ascii="Times New Roman" w:hAnsi="Times New Roman" w:cs="Times New Roman"/>
                <w:snapToGrid w:val="0"/>
                <w:color w:val="000000" w:themeColor="text1"/>
                <w:sz w:val="24"/>
                <w:szCs w:val="24"/>
              </w:rPr>
              <w:t>。本项目传染性废水经传染病预处理设施（加氯消毒+脱氯工艺）处理后与业务综合楼综合废水一起排入综合污水处理站“格栅池→调节池→厌氧滤池→接触氧化池→二沉池→消毒池→脱氯池→排放工艺”处理，废水达到《医疗机构水污染物排放标准》（GB18466-2005）表2预处理标准后，排入永福县益源污水处理厂处理</w:t>
            </w:r>
            <w:r>
              <w:rPr>
                <w:rFonts w:ascii="Times New Roman" w:hAnsi="Times New Roman" w:cs="Times New Roman"/>
                <w:color w:val="000000" w:themeColor="text1"/>
                <w:kern w:val="2"/>
                <w:sz w:val="24"/>
                <w:szCs w:val="24"/>
                <w:lang w:val="en-US" w:bidi="ar-SA"/>
              </w:rPr>
              <w:t>，项目废水处理过程中的事故因素主要为收集管道损坏、池体渗漏</w:t>
            </w:r>
            <w:r>
              <w:rPr>
                <w:rFonts w:hint="eastAsia" w:ascii="Times New Roman" w:hAnsi="Times New Roman" w:cs="Times New Roman"/>
                <w:color w:val="000000" w:themeColor="text1"/>
                <w:kern w:val="2"/>
                <w:sz w:val="24"/>
                <w:szCs w:val="24"/>
                <w:lang w:val="en-US" w:bidi="ar-SA"/>
              </w:rPr>
              <w:t>、设备事故</w:t>
            </w:r>
            <w:r>
              <w:rPr>
                <w:rFonts w:ascii="Times New Roman" w:hAnsi="Times New Roman" w:cs="Times New Roman"/>
                <w:color w:val="000000" w:themeColor="text1"/>
                <w:kern w:val="2"/>
                <w:sz w:val="24"/>
                <w:szCs w:val="24"/>
                <w:lang w:val="en-US" w:bidi="ar-SA"/>
              </w:rPr>
              <w:t>，导致废水泄漏影响到周边地表水和地下水环境。污水中含有悬浮固体、BOD</w:t>
            </w:r>
            <w:r>
              <w:rPr>
                <w:rFonts w:hint="eastAsia" w:ascii="Times New Roman" w:hAnsi="Times New Roman" w:cs="Times New Roman"/>
                <w:color w:val="000000" w:themeColor="text1"/>
                <w:kern w:val="2"/>
                <w:sz w:val="24"/>
                <w:szCs w:val="24"/>
                <w:vertAlign w:val="subscript"/>
                <w:lang w:val="en-US" w:bidi="ar-SA"/>
              </w:rPr>
              <w:t>5</w:t>
            </w:r>
            <w:r>
              <w:rPr>
                <w:rFonts w:ascii="Times New Roman" w:hAnsi="Times New Roman" w:cs="Times New Roman"/>
                <w:color w:val="000000" w:themeColor="text1"/>
                <w:kern w:val="2"/>
                <w:sz w:val="24"/>
                <w:szCs w:val="24"/>
                <w:lang w:val="en-US" w:bidi="ar-SA"/>
              </w:rPr>
              <w:t>、COD</w:t>
            </w:r>
            <w:r>
              <w:rPr>
                <w:rFonts w:hint="eastAsia" w:ascii="Times New Roman" w:hAnsi="Times New Roman" w:cs="Times New Roman"/>
                <w:color w:val="000000" w:themeColor="text1"/>
                <w:kern w:val="2"/>
                <w:sz w:val="24"/>
                <w:szCs w:val="24"/>
                <w:lang w:val="en-US" w:bidi="ar-SA"/>
              </w:rPr>
              <w:t>、病原体</w:t>
            </w:r>
            <w:r>
              <w:rPr>
                <w:rFonts w:ascii="Times New Roman" w:hAnsi="Times New Roman" w:cs="Times New Roman"/>
                <w:color w:val="000000" w:themeColor="text1"/>
                <w:kern w:val="2"/>
                <w:sz w:val="24"/>
                <w:szCs w:val="24"/>
                <w:lang w:val="en-US" w:bidi="ar-SA"/>
              </w:rPr>
              <w:t>等，</w:t>
            </w:r>
            <w:r>
              <w:rPr>
                <w:rFonts w:ascii="Times New Roman" w:hAnsi="Times New Roman" w:cs="Times New Roman"/>
                <w:color w:val="000000" w:themeColor="text1"/>
                <w:sz w:val="24"/>
                <w:szCs w:val="24"/>
                <w:lang w:val="en-US" w:bidi="ar-SA"/>
              </w:rPr>
              <w:t>如果污水外排，可能产生严重的污染事故，特别是卫生指标不符合要求，可能造成疾病的传播和蔓延。</w:t>
            </w:r>
            <w:r>
              <w:rPr>
                <w:rFonts w:ascii="Times New Roman" w:hAnsi="Times New Roman" w:cs="Times New Roman"/>
                <w:color w:val="000000" w:themeColor="text1"/>
                <w:kern w:val="2"/>
                <w:sz w:val="24"/>
                <w:szCs w:val="24"/>
                <w:lang w:val="en-US" w:bidi="ar-SA"/>
              </w:rPr>
              <w:t>通过对所选用的污水处理工艺及整个污水处理系统中所建设施的分析，风险污染事故的类型主要反映在污水处理站非正常运行状况可能发生的原污水排放引起的环境问题。风险污染事故发生的主要环节有以下几个方面：</w:t>
            </w:r>
          </w:p>
          <w:p w14:paraId="026E1729">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olor w:val="000000" w:themeColor="text1"/>
                <w:kern w:val="2"/>
                <w:sz w:val="24"/>
                <w:szCs w:val="24"/>
                <w:lang w:val="en-US" w:bidi="ar-SA"/>
              </w:rPr>
              <w:t>①</w:t>
            </w:r>
            <w:r>
              <w:rPr>
                <w:rFonts w:ascii="Times New Roman" w:hAnsi="Times New Roman" w:cs="Times New Roman"/>
                <w:color w:val="000000" w:themeColor="text1"/>
                <w:kern w:val="2"/>
                <w:sz w:val="24"/>
                <w:szCs w:val="24"/>
                <w:lang w:val="en-US" w:bidi="ar-SA"/>
              </w:rPr>
              <w:t>污水管网系统由于堵塞、破裂和接头处的破损，会造成大量污水外溢，污染地表水和地下水；</w:t>
            </w:r>
          </w:p>
          <w:p w14:paraId="547B2AFA">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olor w:val="000000" w:themeColor="text1"/>
                <w:kern w:val="2"/>
                <w:sz w:val="24"/>
                <w:szCs w:val="24"/>
                <w:lang w:val="en-US" w:bidi="ar-SA"/>
              </w:rPr>
              <w:t>②</w:t>
            </w:r>
            <w:r>
              <w:rPr>
                <w:rFonts w:ascii="Times New Roman" w:hAnsi="Times New Roman" w:cs="Times New Roman"/>
                <w:color w:val="000000" w:themeColor="text1"/>
                <w:kern w:val="2"/>
                <w:sz w:val="24"/>
                <w:szCs w:val="24"/>
                <w:lang w:val="en-US" w:bidi="ar-SA"/>
              </w:rPr>
              <w:t>污水泵站由于长时间停电或污水水泵损坏，排水不畅时易引起污水漫溢；</w:t>
            </w:r>
          </w:p>
          <w:p w14:paraId="142CA3AC">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olor w:val="000000" w:themeColor="text1"/>
                <w:kern w:val="2"/>
                <w:sz w:val="24"/>
                <w:szCs w:val="24"/>
                <w:lang w:val="en-US" w:bidi="ar-SA"/>
              </w:rPr>
              <w:t>③</w:t>
            </w:r>
            <w:r>
              <w:rPr>
                <w:rFonts w:ascii="Times New Roman" w:hAnsi="Times New Roman" w:cs="Times New Roman"/>
                <w:color w:val="000000" w:themeColor="text1"/>
                <w:kern w:val="2"/>
                <w:sz w:val="24"/>
                <w:szCs w:val="24"/>
                <w:lang w:val="en-US" w:bidi="ar-SA"/>
              </w:rPr>
              <w:t>污水处理站由于停电、设备损坏、污水处理设施运行不正常、停车检修等造成大量污水未经处理直接排入</w:t>
            </w:r>
            <w:r>
              <w:rPr>
                <w:rFonts w:hint="eastAsia" w:ascii="Times New Roman" w:hAnsi="Times New Roman" w:cs="Times New Roman"/>
                <w:color w:val="000000" w:themeColor="text1"/>
                <w:kern w:val="2"/>
                <w:sz w:val="24"/>
                <w:szCs w:val="24"/>
                <w:lang w:val="en-US" w:bidi="ar-SA"/>
              </w:rPr>
              <w:t>城区污水管网</w:t>
            </w:r>
            <w:r>
              <w:rPr>
                <w:rFonts w:ascii="Times New Roman" w:hAnsi="Times New Roman" w:cs="Times New Roman"/>
                <w:color w:val="000000" w:themeColor="text1"/>
                <w:kern w:val="2"/>
                <w:sz w:val="24"/>
                <w:szCs w:val="24"/>
                <w:lang w:val="en-US" w:bidi="ar-SA"/>
              </w:rPr>
              <w:t>，造成事故污染；</w:t>
            </w:r>
          </w:p>
          <w:p w14:paraId="0F8FC8B7">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olor w:val="000000" w:themeColor="text1"/>
                <w:kern w:val="2"/>
                <w:sz w:val="24"/>
                <w:szCs w:val="24"/>
                <w:lang w:val="en-US" w:bidi="ar-SA"/>
              </w:rPr>
              <w:t>④</w:t>
            </w:r>
            <w:r>
              <w:rPr>
                <w:rFonts w:ascii="Times New Roman" w:hAnsi="Times New Roman" w:cs="Times New Roman"/>
                <w:color w:val="000000" w:themeColor="text1"/>
                <w:kern w:val="2"/>
                <w:sz w:val="24"/>
                <w:szCs w:val="24"/>
                <w:lang w:val="en-US" w:bidi="ar-SA"/>
              </w:rPr>
              <w:t>医疗垃圾发生泄漏</w:t>
            </w:r>
            <w:r>
              <w:rPr>
                <w:rFonts w:hint="eastAsia" w:ascii="Times New Roman" w:hAnsi="Times New Roman" w:cs="Times New Roman"/>
                <w:color w:val="000000" w:themeColor="text1"/>
                <w:kern w:val="2"/>
                <w:sz w:val="24"/>
                <w:szCs w:val="24"/>
                <w:lang w:val="en-US" w:bidi="ar-SA"/>
              </w:rPr>
              <w:t>。</w:t>
            </w:r>
          </w:p>
          <w:p w14:paraId="1A13D60C">
            <w:pPr>
              <w:pStyle w:val="5"/>
              <w:ind w:firstLine="480" w:firstLineChars="200"/>
              <w:rPr>
                <w:color w:val="000000" w:themeColor="text1"/>
                <w:kern w:val="2"/>
                <w:sz w:val="24"/>
                <w:szCs w:val="24"/>
                <w:lang w:val="en-US" w:bidi="ar-SA"/>
              </w:rPr>
            </w:pPr>
            <w:r>
              <w:rPr>
                <w:color w:val="000000" w:themeColor="text1"/>
                <w:kern w:val="2"/>
                <w:sz w:val="24"/>
                <w:szCs w:val="24"/>
                <w:lang w:val="en-US" w:bidi="ar-SA"/>
              </w:rPr>
              <w:t>⑤</w:t>
            </w:r>
            <w:r>
              <w:rPr>
                <w:rFonts w:hint="eastAsia"/>
                <w:color w:val="000000" w:themeColor="text1"/>
                <w:kern w:val="2"/>
                <w:sz w:val="24"/>
                <w:szCs w:val="24"/>
                <w:lang w:val="en-US" w:bidi="ar-SA"/>
              </w:rPr>
              <w:t>风险物质（主要是</w:t>
            </w:r>
            <w:r>
              <w:rPr>
                <w:rFonts w:hint="eastAsia"/>
                <w:color w:val="000000" w:themeColor="text1"/>
                <w:sz w:val="24"/>
                <w:szCs w:val="24"/>
                <w:lang w:val="en-US"/>
              </w:rPr>
              <w:t>消佳净、医用酒精、免洗消毒液</w:t>
            </w:r>
            <w:r>
              <w:rPr>
                <w:rFonts w:hint="eastAsia"/>
                <w:color w:val="000000" w:themeColor="text1"/>
                <w:sz w:val="24"/>
                <w:szCs w:val="24"/>
                <w:lang w:val="en-US" w:eastAsia="zh-CN"/>
              </w:rPr>
              <w:t>、柴油</w:t>
            </w:r>
            <w:r>
              <w:rPr>
                <w:rFonts w:hint="eastAsia"/>
                <w:color w:val="000000" w:themeColor="text1"/>
                <w:kern w:val="2"/>
                <w:sz w:val="24"/>
                <w:szCs w:val="24"/>
                <w:lang w:val="en-US" w:bidi="ar-SA"/>
              </w:rPr>
              <w:t>）发生泄漏。</w:t>
            </w:r>
          </w:p>
          <w:p w14:paraId="06073B5E">
            <w:pPr>
              <w:autoSpaceDE/>
              <w:autoSpaceDN/>
              <w:spacing w:line="360" w:lineRule="auto"/>
              <w:ind w:left="330" w:leftChars="150" w:firstLine="120" w:firstLineChars="50"/>
              <w:jc w:val="both"/>
              <w:rPr>
                <w:rFonts w:ascii="Times New Roman" w:hAnsi="Times New Roman" w:cs="Times New Roman"/>
                <w:b/>
                <w:bCs/>
                <w:color w:val="000000" w:themeColor="text1"/>
                <w:kern w:val="2"/>
                <w:sz w:val="24"/>
                <w:szCs w:val="24"/>
                <w:lang w:val="en-US" w:bidi="ar-SA"/>
              </w:rPr>
            </w:pPr>
            <w:r>
              <w:rPr>
                <w:rFonts w:ascii="Times New Roman" w:hAnsi="Times New Roman" w:cs="Times New Roman"/>
                <w:b/>
                <w:bCs/>
                <w:color w:val="000000" w:themeColor="text1"/>
                <w:kern w:val="2"/>
                <w:sz w:val="24"/>
                <w:szCs w:val="24"/>
                <w:lang w:val="en-US" w:bidi="ar-SA"/>
              </w:rPr>
              <w:t>风险控制措施</w:t>
            </w:r>
          </w:p>
          <w:p w14:paraId="5E7D30AE">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olor w:val="000000" w:themeColor="text1"/>
                <w:kern w:val="2"/>
                <w:sz w:val="24"/>
                <w:szCs w:val="24"/>
                <w:lang w:val="en-US" w:bidi="ar-SA"/>
              </w:rPr>
              <w:t>①</w:t>
            </w:r>
            <w:r>
              <w:rPr>
                <w:rFonts w:ascii="Times New Roman" w:hAnsi="Times New Roman" w:cs="Times New Roman"/>
                <w:color w:val="000000" w:themeColor="text1"/>
                <w:kern w:val="2"/>
                <w:sz w:val="24"/>
                <w:szCs w:val="24"/>
                <w:lang w:val="en-US" w:bidi="ar-SA"/>
              </w:rPr>
              <w:t xml:space="preserve">污水处理系统 </w:t>
            </w:r>
          </w:p>
          <w:p w14:paraId="03C17182">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由于污水水量水质发生不可预见的变化，导致处理系统崩溃，出水水质急剧恶化，由于处理设施损坏而影响出水水质，污水处理系统出现非正常情况而影响出水水质的可能性是存在的。必须在日常运行中加强维护管理，以减少此类事故的发生</w:t>
            </w:r>
            <w:r>
              <w:rPr>
                <w:rFonts w:hint="eastAsia" w:ascii="Times New Roman" w:hAnsi="Times New Roman" w:cs="Times New Roman"/>
                <w:color w:val="000000" w:themeColor="text1"/>
                <w:kern w:val="2"/>
                <w:sz w:val="24"/>
                <w:szCs w:val="24"/>
                <w:lang w:val="en-US" w:bidi="ar-SA"/>
              </w:rPr>
              <w:t>，若因为</w:t>
            </w:r>
            <w:r>
              <w:rPr>
                <w:rFonts w:ascii="Times New Roman" w:hAnsi="Times New Roman" w:cs="Times New Roman"/>
                <w:color w:val="000000" w:themeColor="text1"/>
                <w:kern w:val="2"/>
                <w:sz w:val="24"/>
                <w:szCs w:val="24"/>
                <w:lang w:val="en-US" w:bidi="ar-SA"/>
              </w:rPr>
              <w:t>污水管网系统由于堵塞、破裂和接头处的破损</w:t>
            </w:r>
            <w:r>
              <w:rPr>
                <w:rFonts w:hint="eastAsia" w:ascii="Times New Roman" w:hAnsi="Times New Roman" w:cs="Times New Roman"/>
                <w:color w:val="000000" w:themeColor="text1"/>
                <w:kern w:val="2"/>
                <w:sz w:val="24"/>
                <w:szCs w:val="24"/>
                <w:lang w:val="en-US" w:bidi="ar-SA"/>
              </w:rPr>
              <w:t>造成废水外溢，立即启动应急池，使废水进入应急池，防止进入外环境</w:t>
            </w:r>
            <w:r>
              <w:rPr>
                <w:rFonts w:ascii="Times New Roman" w:hAnsi="Times New Roman" w:cs="Times New Roman"/>
                <w:color w:val="000000" w:themeColor="text1"/>
                <w:kern w:val="2"/>
                <w:sz w:val="24"/>
                <w:szCs w:val="24"/>
                <w:lang w:val="en-US" w:bidi="ar-SA"/>
              </w:rPr>
              <w:t>。</w:t>
            </w:r>
          </w:p>
          <w:p w14:paraId="2F2C4A17">
            <w:pPr>
              <w:autoSpaceDE/>
              <w:autoSpaceDN/>
              <w:spacing w:line="360" w:lineRule="auto"/>
              <w:ind w:firstLine="480"/>
              <w:jc w:val="both"/>
              <w:rPr>
                <w:rFonts w:ascii="Times New Roman" w:hAnsi="Times New Roman" w:cs="Times New Roman"/>
                <w:color w:val="000000" w:themeColor="text1"/>
                <w:kern w:val="2"/>
                <w:sz w:val="24"/>
                <w:szCs w:val="24"/>
                <w:lang w:val="en-US" w:bidi="ar-SA"/>
              </w:rPr>
            </w:pPr>
            <w:r>
              <w:rPr>
                <w:rFonts w:hint="eastAsia" w:ascii="Times New Roman" w:hAnsi="Times New Roman"/>
                <w:color w:val="000000" w:themeColor="text1"/>
                <w:kern w:val="2"/>
                <w:sz w:val="24"/>
                <w:szCs w:val="24"/>
                <w:lang w:val="en-US" w:bidi="ar-SA"/>
              </w:rPr>
              <w:t>②</w:t>
            </w:r>
            <w:r>
              <w:rPr>
                <w:rFonts w:ascii="Times New Roman" w:hAnsi="Times New Roman" w:cs="Times New Roman"/>
                <w:color w:val="000000" w:themeColor="text1"/>
                <w:kern w:val="2"/>
                <w:sz w:val="24"/>
                <w:szCs w:val="24"/>
                <w:lang w:val="en-US" w:bidi="ar-SA"/>
              </w:rPr>
              <w:t>机械故障和停电造成的影响</w:t>
            </w:r>
          </w:p>
          <w:p w14:paraId="5123213B">
            <w:pPr>
              <w:adjustRightInd w:val="0"/>
              <w:spacing w:line="360" w:lineRule="auto"/>
              <w:ind w:firstLine="480" w:firstLineChars="200"/>
              <w:rPr>
                <w:rFonts w:ascii="Times New Roman" w:hAnsi="Times New Roman" w:cs="Times New Roman"/>
                <w:color w:val="000000" w:themeColor="text1"/>
                <w:sz w:val="24"/>
                <w:szCs w:val="24"/>
                <w:lang w:val="en-US" w:bidi="ar-SA"/>
              </w:rPr>
            </w:pPr>
            <w:r>
              <w:rPr>
                <w:rFonts w:ascii="Times New Roman" w:hAnsi="Times New Roman" w:cs="Times New Roman"/>
                <w:color w:val="000000" w:themeColor="text1"/>
                <w:kern w:val="2"/>
                <w:sz w:val="24"/>
                <w:szCs w:val="24"/>
                <w:lang w:val="en-US" w:bidi="ar-SA"/>
              </w:rPr>
              <w:t>污水处理站一旦出现机械故障或停电，会直接影响污水处理站的正常运行，所以</w:t>
            </w:r>
            <w:r>
              <w:rPr>
                <w:rFonts w:ascii="Times New Roman" w:hAnsi="Times New Roman" w:cs="Times New Roman"/>
                <w:color w:val="000000" w:themeColor="text1"/>
                <w:sz w:val="24"/>
                <w:szCs w:val="24"/>
                <w:lang w:val="en-US" w:bidi="ar-SA"/>
              </w:rPr>
              <w:t>在污水处理设施处于事故状态时，必须及时抢修污水处理设施，使污水处理装置以最快的速度恢复工作。在发现污水管网破损而出现泄漏时，要及时抢修，防止含菌废水渗入地下而污染地下水。</w:t>
            </w:r>
            <w:r>
              <w:rPr>
                <w:rFonts w:ascii="Times New Roman" w:hAnsi="Times New Roman" w:cs="Times New Roman"/>
                <w:color w:val="000000" w:themeColor="text1"/>
                <w:kern w:val="2"/>
                <w:sz w:val="24"/>
                <w:szCs w:val="24"/>
                <w:lang w:val="en-US" w:bidi="ar-SA"/>
              </w:rPr>
              <w:t>污水处理站应预留易损设备的备品备件，若出现机械故障，应立即抢修，更换备品备件。</w:t>
            </w:r>
            <w:r>
              <w:rPr>
                <w:rFonts w:ascii="Times New Roman" w:hAnsi="Times New Roman" w:cs="Times New Roman"/>
                <w:color w:val="000000" w:themeColor="text1"/>
                <w:sz w:val="24"/>
                <w:szCs w:val="24"/>
                <w:lang w:val="en-US" w:bidi="ar-SA"/>
              </w:rPr>
              <w:t>同时，要做好污水处理设施设备的日常保养工作和定期维护计划，确保水处理设施的正常运行。</w:t>
            </w:r>
          </w:p>
          <w:p w14:paraId="4BBEBC35">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olor w:val="000000" w:themeColor="text1"/>
                <w:kern w:val="2"/>
                <w:sz w:val="24"/>
                <w:szCs w:val="24"/>
                <w:lang w:val="en-US" w:bidi="ar-SA"/>
              </w:rPr>
              <w:t>③</w:t>
            </w:r>
            <w:r>
              <w:rPr>
                <w:rFonts w:ascii="Times New Roman" w:hAnsi="Times New Roman" w:cs="Times New Roman"/>
                <w:color w:val="000000" w:themeColor="text1"/>
                <w:kern w:val="2"/>
                <w:sz w:val="24"/>
                <w:szCs w:val="24"/>
                <w:lang w:val="en-US" w:bidi="ar-SA"/>
              </w:rPr>
              <w:t>发生医疗废物流失、泄漏、扩散和意外事故时，应当按照以下要求及时采取紧急处理措施：</w:t>
            </w:r>
          </w:p>
          <w:p w14:paraId="6F472D0B">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I.确定流失、泄漏、扩散的医疗废物的类别、数量、发生时间、影响范围及严重程度；</w:t>
            </w:r>
          </w:p>
          <w:p w14:paraId="1897FF80">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II.组织有关人员尽快对发生医疗废物泄漏、扩散的现场进行处理；</w:t>
            </w:r>
          </w:p>
          <w:p w14:paraId="1A3198C2">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III.对被医疗废物污染的区域进行处理时，应当尽可能减少对病人、医务人员、其</w:t>
            </w:r>
            <w:r>
              <w:rPr>
                <w:rFonts w:hint="eastAsia" w:ascii="Times New Roman" w:hAnsi="Times New Roman" w:cs="Times New Roman"/>
                <w:color w:val="000000" w:themeColor="text1"/>
                <w:kern w:val="2"/>
                <w:sz w:val="24"/>
                <w:szCs w:val="24"/>
                <w:lang w:val="en-US" w:bidi="ar-SA"/>
              </w:rPr>
              <w:t>他</w:t>
            </w:r>
            <w:r>
              <w:rPr>
                <w:rFonts w:ascii="Times New Roman" w:hAnsi="Times New Roman" w:cs="Times New Roman"/>
                <w:color w:val="000000" w:themeColor="text1"/>
                <w:kern w:val="2"/>
                <w:sz w:val="24"/>
                <w:szCs w:val="24"/>
                <w:lang w:val="en-US" w:bidi="ar-SA"/>
              </w:rPr>
              <w:t>现场人员及环境的影响；</w:t>
            </w:r>
          </w:p>
          <w:p w14:paraId="7BBE1A59">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IV.采取适当的安全处置措施，对泄漏物及受污染的区域、物品进行消毒或者其他无害化处置，必要时封锁污染区域，以防扩大污染；</w:t>
            </w:r>
          </w:p>
          <w:p w14:paraId="4705BA4C">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V.对感染性废物污染区域进行消毒时，消毒工作从污染最轻区域向污染最严重区域进行，对可能被污染的所有使用过的工具也应当进行消毒。</w:t>
            </w:r>
          </w:p>
          <w:p w14:paraId="41C8DA17">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VI.工作人员应当做好卫生安全防护后进行工作。</w:t>
            </w:r>
          </w:p>
          <w:p w14:paraId="51636E16">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VII</w:t>
            </w:r>
            <w:r>
              <w:rPr>
                <w:rFonts w:hint="eastAsia" w:ascii="Times New Roman" w:hAnsi="Times New Roman" w:cs="Times New Roman"/>
                <w:color w:val="000000" w:themeColor="text1"/>
                <w:kern w:val="2"/>
                <w:sz w:val="24"/>
                <w:szCs w:val="24"/>
                <w:lang w:val="en-US" w:bidi="ar-SA"/>
              </w:rPr>
              <w:t>.医疗废物暂存间应设置标牌并采取防渗措施。</w:t>
            </w:r>
          </w:p>
          <w:p w14:paraId="6E8311A3">
            <w:pPr>
              <w:autoSpaceDE/>
              <w:autoSpaceDN/>
              <w:spacing w:line="360" w:lineRule="auto"/>
              <w:ind w:firstLine="480" w:firstLineChars="200"/>
              <w:jc w:val="both"/>
              <w:rPr>
                <w:rFonts w:ascii="Times New Roman" w:hAnsi="Times New Roman" w:cs="Times New Roman"/>
                <w:color w:val="000000" w:themeColor="text1"/>
                <w:kern w:val="2"/>
                <w:sz w:val="24"/>
                <w:szCs w:val="24"/>
                <w:u w:val="single"/>
                <w:lang w:val="en-US" w:bidi="ar-SA"/>
              </w:rPr>
            </w:pPr>
            <w:r>
              <w:rPr>
                <w:rFonts w:hint="eastAsia" w:ascii="Times New Roman" w:hAnsi="Times New Roman"/>
                <w:color w:val="000000" w:themeColor="text1"/>
                <w:kern w:val="2"/>
                <w:sz w:val="24"/>
                <w:szCs w:val="24"/>
                <w:u w:val="single"/>
                <w:lang w:val="en-US" w:bidi="ar-SA"/>
              </w:rPr>
              <w:t>④风险物质（主要是</w:t>
            </w:r>
            <w:r>
              <w:rPr>
                <w:rFonts w:hint="eastAsia" w:ascii="Times New Roman" w:hAnsi="Times New Roman"/>
                <w:color w:val="000000" w:themeColor="text1"/>
                <w:sz w:val="24"/>
                <w:szCs w:val="24"/>
                <w:u w:val="single"/>
                <w:lang w:val="en-US"/>
              </w:rPr>
              <w:t>消佳净、医用酒精、免洗消毒液</w:t>
            </w:r>
            <w:r>
              <w:rPr>
                <w:rFonts w:hint="eastAsia" w:ascii="Times New Roman" w:hAnsi="Times New Roman"/>
                <w:color w:val="000000" w:themeColor="text1"/>
                <w:sz w:val="24"/>
                <w:szCs w:val="24"/>
                <w:u w:val="single"/>
                <w:lang w:val="en-US" w:eastAsia="zh-CN"/>
              </w:rPr>
              <w:t>、柴油</w:t>
            </w:r>
            <w:r>
              <w:rPr>
                <w:rFonts w:hint="eastAsia" w:ascii="Times New Roman" w:hAnsi="Times New Roman"/>
                <w:color w:val="000000" w:themeColor="text1"/>
                <w:kern w:val="2"/>
                <w:sz w:val="24"/>
                <w:szCs w:val="24"/>
                <w:u w:val="single"/>
                <w:lang w:val="en-US" w:bidi="ar-SA"/>
              </w:rPr>
              <w:t>）发生泄漏</w:t>
            </w:r>
            <w:r>
              <w:rPr>
                <w:rFonts w:ascii="Times New Roman" w:hAnsi="Times New Roman" w:cs="Times New Roman"/>
                <w:color w:val="000000" w:themeColor="text1"/>
                <w:kern w:val="2"/>
                <w:sz w:val="24"/>
                <w:szCs w:val="24"/>
                <w:u w:val="single"/>
                <w:lang w:val="en-US" w:bidi="ar-SA"/>
              </w:rPr>
              <w:t>应当按照以下要求及时采取紧急处理措施：</w:t>
            </w:r>
          </w:p>
          <w:p w14:paraId="35489DA4">
            <w:pPr>
              <w:pStyle w:val="5"/>
              <w:spacing w:line="360" w:lineRule="auto"/>
              <w:ind w:firstLine="480" w:firstLineChars="200"/>
              <w:rPr>
                <w:color w:val="000000" w:themeColor="text1"/>
                <w:sz w:val="24"/>
                <w:szCs w:val="24"/>
                <w:u w:val="single"/>
                <w:lang w:val="en-US"/>
              </w:rPr>
            </w:pPr>
            <w:r>
              <w:rPr>
                <w:rFonts w:hint="eastAsia"/>
                <w:color w:val="000000" w:themeColor="text1"/>
                <w:sz w:val="24"/>
                <w:szCs w:val="24"/>
                <w:u w:val="single"/>
                <w:lang w:val="en-US"/>
              </w:rPr>
              <w:t>消佳净小量泄漏用立即采用沙土吸附，大量泄漏构筑围堤收容，再用硫酸亚铁或硫代硫酸钠溶液中和后用清水冲洗；</w:t>
            </w:r>
            <w:r>
              <w:rPr>
                <w:rFonts w:hint="eastAsia"/>
                <w:color w:val="000000" w:themeColor="text1"/>
                <w:sz w:val="24"/>
                <w:szCs w:val="24"/>
                <w:u w:val="single"/>
                <w:lang w:val="en-US" w:eastAsia="zh-CN"/>
              </w:rPr>
              <w:t>柴油</w:t>
            </w:r>
            <w:r>
              <w:rPr>
                <w:rFonts w:hint="eastAsia"/>
                <w:color w:val="000000" w:themeColor="text1"/>
                <w:sz w:val="24"/>
                <w:szCs w:val="24"/>
                <w:u w:val="single"/>
                <w:lang w:val="en-US"/>
              </w:rPr>
              <w:t>泄漏用立即采用沙土吸附，用堵漏工具（如木塞、密封胶带）临时封堵</w:t>
            </w:r>
            <w:r>
              <w:rPr>
                <w:rFonts w:hint="eastAsia"/>
                <w:color w:val="000000" w:themeColor="text1"/>
                <w:sz w:val="24"/>
                <w:szCs w:val="24"/>
                <w:u w:val="single"/>
                <w:lang w:val="en-US" w:eastAsia="zh-CN"/>
              </w:rPr>
              <w:t>，</w:t>
            </w:r>
            <w:r>
              <w:rPr>
                <w:rFonts w:hint="eastAsia"/>
                <w:color w:val="000000" w:themeColor="text1"/>
                <w:sz w:val="24"/>
                <w:szCs w:val="24"/>
                <w:u w:val="single"/>
                <w:lang w:val="en-US"/>
              </w:rPr>
              <w:t>严禁一切火源</w:t>
            </w:r>
            <w:r>
              <w:rPr>
                <w:rFonts w:hint="eastAsia"/>
                <w:color w:val="000000" w:themeColor="text1"/>
                <w:sz w:val="24"/>
                <w:szCs w:val="24"/>
                <w:u w:val="single"/>
                <w:lang w:val="en-US" w:eastAsia="zh-CN"/>
              </w:rPr>
              <w:t>；</w:t>
            </w:r>
            <w:r>
              <w:rPr>
                <w:rFonts w:hint="eastAsia"/>
                <w:color w:val="000000" w:themeColor="text1"/>
                <w:sz w:val="24"/>
                <w:szCs w:val="24"/>
                <w:u w:val="single"/>
                <w:lang w:val="en-US"/>
              </w:rPr>
              <w:t>医用酒精和免洗消毒液小量泄漏采用清水稀释，大量泄漏围堤收容后用防爆泵转移，同时加强环境通风降低蒸气浓度，加强管理，储备足够的物资。</w:t>
            </w:r>
          </w:p>
          <w:p w14:paraId="3DD46722">
            <w:pPr>
              <w:autoSpaceDE/>
              <w:autoSpaceDN/>
              <w:spacing w:line="360" w:lineRule="auto"/>
              <w:ind w:firstLine="482" w:firstLineChars="200"/>
              <w:jc w:val="both"/>
              <w:rPr>
                <w:rFonts w:ascii="Times New Roman" w:hAnsi="Times New Roman" w:cs="Times New Roman"/>
                <w:b/>
                <w:bCs/>
                <w:color w:val="000000" w:themeColor="text1"/>
                <w:kern w:val="2"/>
                <w:sz w:val="24"/>
                <w:szCs w:val="24"/>
                <w:lang w:val="en-US" w:bidi="ar-SA"/>
              </w:rPr>
            </w:pPr>
            <w:r>
              <w:rPr>
                <w:rFonts w:hint="eastAsia" w:ascii="Times New Roman" w:hAnsi="Times New Roman" w:cs="Times New Roman"/>
                <w:b/>
                <w:bCs/>
                <w:color w:val="000000" w:themeColor="text1"/>
                <w:kern w:val="2"/>
                <w:sz w:val="24"/>
                <w:szCs w:val="24"/>
                <w:lang w:val="en-US" w:bidi="ar-SA"/>
              </w:rPr>
              <w:t>其他风险：</w:t>
            </w:r>
          </w:p>
          <w:p w14:paraId="188552EE">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氧气是一种活泼的助燃气体，是强氧化剂。增加氧气的纯度和压力会使氧化反应明显加剧。金属的燃点随氧气压力的增高而降低。</w:t>
            </w:r>
            <w:r>
              <w:rPr>
                <w:rFonts w:hint="eastAsia" w:ascii="Times New Roman" w:hAnsi="Times New Roman" w:cs="Times New Roman"/>
                <w:color w:val="000000" w:themeColor="text1"/>
                <w:kern w:val="2"/>
                <w:sz w:val="24"/>
                <w:szCs w:val="24"/>
                <w:lang w:val="en-US" w:bidi="ar-SA"/>
              </w:rPr>
              <w:t>本项目不单独</w:t>
            </w:r>
            <w:r>
              <w:rPr>
                <w:rFonts w:ascii="Times New Roman" w:hAnsi="Times New Roman" w:cs="Times New Roman"/>
                <w:color w:val="000000" w:themeColor="text1"/>
                <w:kern w:val="2"/>
                <w:sz w:val="24"/>
                <w:szCs w:val="24"/>
                <w:lang w:val="en-US" w:bidi="ar-SA"/>
              </w:rPr>
              <w:t>设置</w:t>
            </w:r>
            <w:r>
              <w:rPr>
                <w:rFonts w:hint="eastAsia" w:ascii="Times New Roman" w:hAnsi="Times New Roman" w:cs="Times New Roman"/>
                <w:color w:val="000000" w:themeColor="text1"/>
                <w:kern w:val="2"/>
                <w:sz w:val="24"/>
                <w:szCs w:val="24"/>
                <w:lang w:val="en-US" w:bidi="ar-SA"/>
              </w:rPr>
              <w:t>制</w:t>
            </w:r>
            <w:r>
              <w:rPr>
                <w:rFonts w:ascii="Times New Roman" w:hAnsi="Times New Roman" w:cs="Times New Roman"/>
                <w:color w:val="000000" w:themeColor="text1"/>
                <w:kern w:val="2"/>
                <w:sz w:val="24"/>
                <w:szCs w:val="24"/>
                <w:lang w:val="en-US" w:bidi="ar-SA"/>
              </w:rPr>
              <w:t>氧</w:t>
            </w:r>
            <w:r>
              <w:rPr>
                <w:rFonts w:hint="eastAsia" w:ascii="Times New Roman" w:hAnsi="Times New Roman" w:cs="Times New Roman"/>
                <w:color w:val="000000" w:themeColor="text1"/>
                <w:kern w:val="2"/>
                <w:sz w:val="24"/>
                <w:szCs w:val="24"/>
                <w:lang w:val="en-US" w:bidi="ar-SA"/>
              </w:rPr>
              <w:t>机</w:t>
            </w:r>
            <w:r>
              <w:rPr>
                <w:rFonts w:ascii="Times New Roman" w:hAnsi="Times New Roman" w:cs="Times New Roman"/>
                <w:color w:val="000000" w:themeColor="text1"/>
                <w:kern w:val="2"/>
                <w:sz w:val="24"/>
                <w:szCs w:val="24"/>
                <w:lang w:val="en-US" w:bidi="ar-SA"/>
              </w:rPr>
              <w:t>，</w:t>
            </w:r>
            <w:r>
              <w:rPr>
                <w:rFonts w:hint="eastAsia" w:ascii="Times New Roman" w:hAnsi="Times New Roman" w:cs="Times New Roman"/>
                <w:color w:val="000000" w:themeColor="text1"/>
                <w:kern w:val="2"/>
                <w:sz w:val="24"/>
                <w:szCs w:val="24"/>
                <w:lang w:val="en-US" w:bidi="ar-SA"/>
              </w:rPr>
              <w:t>由永福县人民医院制氧机供给，</w:t>
            </w:r>
            <w:r>
              <w:rPr>
                <w:rFonts w:ascii="Times New Roman" w:hAnsi="Times New Roman" w:cs="Times New Roman"/>
                <w:color w:val="000000" w:themeColor="text1"/>
                <w:kern w:val="2"/>
                <w:sz w:val="24"/>
                <w:szCs w:val="24"/>
                <w:lang w:val="en-US" w:bidi="ar-SA"/>
              </w:rPr>
              <w:t>应按照消防部门及</w:t>
            </w:r>
            <w:r>
              <w:rPr>
                <w:rFonts w:hint="eastAsia" w:ascii="Times New Roman" w:hAnsi="Times New Roman" w:cs="Times New Roman"/>
                <w:color w:val="000000" w:themeColor="text1"/>
                <w:kern w:val="2"/>
                <w:sz w:val="24"/>
                <w:szCs w:val="24"/>
                <w:lang w:val="en-US" w:bidi="ar-SA"/>
              </w:rPr>
              <w:t>应急</w:t>
            </w:r>
            <w:r>
              <w:rPr>
                <w:rFonts w:ascii="Times New Roman" w:hAnsi="Times New Roman" w:cs="Times New Roman"/>
                <w:color w:val="000000" w:themeColor="text1"/>
                <w:kern w:val="2"/>
                <w:sz w:val="24"/>
                <w:szCs w:val="24"/>
                <w:lang w:val="en-US" w:bidi="ar-SA"/>
              </w:rPr>
              <w:t>管理部门的要求制定严格的安全操作管理规定，远离明火，控制相应室内的温度，并将</w:t>
            </w:r>
            <w:r>
              <w:rPr>
                <w:rFonts w:hint="eastAsia" w:ascii="Times New Roman" w:hAnsi="Times New Roman" w:cs="Times New Roman"/>
                <w:color w:val="000000" w:themeColor="text1"/>
                <w:kern w:val="2"/>
                <w:sz w:val="24"/>
                <w:szCs w:val="24"/>
                <w:lang w:val="en-US" w:bidi="ar-SA"/>
              </w:rPr>
              <w:t>制</w:t>
            </w:r>
            <w:r>
              <w:rPr>
                <w:rFonts w:ascii="Times New Roman" w:hAnsi="Times New Roman" w:cs="Times New Roman"/>
                <w:color w:val="000000" w:themeColor="text1"/>
                <w:kern w:val="2"/>
                <w:sz w:val="24"/>
                <w:szCs w:val="24"/>
                <w:lang w:val="en-US" w:bidi="ar-SA"/>
              </w:rPr>
              <w:t>氧</w:t>
            </w:r>
            <w:r>
              <w:rPr>
                <w:rFonts w:hint="eastAsia" w:ascii="Times New Roman" w:hAnsi="Times New Roman" w:cs="Times New Roman"/>
                <w:color w:val="000000" w:themeColor="text1"/>
                <w:kern w:val="2"/>
                <w:sz w:val="24"/>
                <w:szCs w:val="24"/>
                <w:lang w:val="en-US" w:bidi="ar-SA"/>
              </w:rPr>
              <w:t>机</w:t>
            </w:r>
            <w:r>
              <w:rPr>
                <w:rFonts w:ascii="Times New Roman" w:hAnsi="Times New Roman" w:cs="Times New Roman"/>
                <w:color w:val="000000" w:themeColor="text1"/>
                <w:kern w:val="2"/>
                <w:sz w:val="24"/>
                <w:szCs w:val="24"/>
                <w:lang w:val="en-US" w:bidi="ar-SA"/>
              </w:rPr>
              <w:t>发生火灾爆炸的机会降至最低，在严控管理、严守操作规程条件下，</w:t>
            </w:r>
            <w:r>
              <w:rPr>
                <w:rFonts w:hint="eastAsia" w:ascii="Times New Roman" w:hAnsi="Times New Roman" w:cs="Times New Roman"/>
                <w:color w:val="000000" w:themeColor="text1"/>
                <w:kern w:val="2"/>
                <w:sz w:val="24"/>
                <w:szCs w:val="24"/>
                <w:lang w:val="en-US" w:bidi="ar-SA"/>
              </w:rPr>
              <w:t>制</w:t>
            </w:r>
            <w:r>
              <w:rPr>
                <w:rFonts w:ascii="Times New Roman" w:hAnsi="Times New Roman" w:cs="Times New Roman"/>
                <w:color w:val="000000" w:themeColor="text1"/>
                <w:kern w:val="2"/>
                <w:sz w:val="24"/>
                <w:szCs w:val="24"/>
                <w:lang w:val="en-US" w:bidi="ar-SA"/>
              </w:rPr>
              <w:t>氧</w:t>
            </w:r>
            <w:r>
              <w:rPr>
                <w:rFonts w:hint="eastAsia" w:ascii="Times New Roman" w:hAnsi="Times New Roman" w:cs="Times New Roman"/>
                <w:color w:val="000000" w:themeColor="text1"/>
                <w:kern w:val="2"/>
                <w:sz w:val="24"/>
                <w:szCs w:val="24"/>
                <w:lang w:val="en-US" w:bidi="ar-SA"/>
              </w:rPr>
              <w:t>机</w:t>
            </w:r>
            <w:r>
              <w:rPr>
                <w:rFonts w:ascii="Times New Roman" w:hAnsi="Times New Roman" w:cs="Times New Roman"/>
                <w:color w:val="000000" w:themeColor="text1"/>
                <w:kern w:val="2"/>
                <w:sz w:val="24"/>
                <w:szCs w:val="24"/>
                <w:lang w:val="en-US" w:bidi="ar-SA"/>
              </w:rPr>
              <w:t>发生爆炸、火灾及大面积破裂的机率会很小。</w:t>
            </w:r>
          </w:p>
          <w:p w14:paraId="4DCB2431">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hint="eastAsia" w:ascii="Times New Roman" w:hAnsi="Times New Roman" w:cs="Times New Roman"/>
                <w:color w:val="000000" w:themeColor="text1"/>
                <w:kern w:val="2"/>
                <w:sz w:val="24"/>
                <w:szCs w:val="24"/>
                <w:lang w:val="en-US" w:bidi="ar-SA"/>
              </w:rPr>
              <w:t xml:space="preserve"> 8.3</w:t>
            </w:r>
            <w:r>
              <w:rPr>
                <w:rFonts w:ascii="Times New Roman" w:hAnsi="Times New Roman" w:cs="Times New Roman"/>
                <w:color w:val="000000" w:themeColor="text1"/>
                <w:kern w:val="2"/>
                <w:sz w:val="24"/>
                <w:szCs w:val="24"/>
                <w:lang w:val="en-US" w:bidi="ar-SA"/>
              </w:rPr>
              <w:t>分析结论</w:t>
            </w:r>
          </w:p>
          <w:p w14:paraId="05383A54">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本项目建成投产后，建设单位在日常的生产过程中做好</w:t>
            </w:r>
            <w:r>
              <w:rPr>
                <w:rFonts w:hint="eastAsia" w:ascii="Times New Roman" w:hAnsi="Times New Roman" w:cs="Times New Roman"/>
                <w:color w:val="000000" w:themeColor="text1"/>
                <w:kern w:val="2"/>
                <w:sz w:val="24"/>
                <w:szCs w:val="24"/>
                <w:lang w:val="en-US" w:bidi="ar-SA"/>
              </w:rPr>
              <w:t>环保</w:t>
            </w:r>
            <w:r>
              <w:rPr>
                <w:rFonts w:ascii="Times New Roman" w:hAnsi="Times New Roman" w:cs="Times New Roman"/>
                <w:color w:val="000000" w:themeColor="text1"/>
                <w:kern w:val="2"/>
                <w:sz w:val="24"/>
                <w:szCs w:val="24"/>
                <w:lang w:val="en-US" w:bidi="ar-SA"/>
              </w:rPr>
              <w:t>设施的维护工作，保证设施正常工作，杜绝事故发生，按照《企业事业单位突发环境事件应急预案备案管理办法（试行）》的要求，制定有效应急预案，在采取提出的环境风险防范措施，并制定有效应急预案的基础上，本项目风险值处于可接受水平。</w:t>
            </w:r>
          </w:p>
          <w:p w14:paraId="592269C7">
            <w:pPr>
              <w:pStyle w:val="40"/>
              <w:spacing w:line="360" w:lineRule="auto"/>
              <w:ind w:firstLine="482" w:firstLineChars="200"/>
              <w:rPr>
                <w:rFonts w:ascii="Times New Roman" w:hAnsi="Times New Roman" w:cs="Times New Roman"/>
                <w:b/>
                <w:bCs/>
                <w:color w:val="000000" w:themeColor="text1"/>
                <w:sz w:val="24"/>
                <w:lang w:val="en-US"/>
              </w:rPr>
            </w:pPr>
            <w:r>
              <w:rPr>
                <w:rFonts w:hint="eastAsia" w:ascii="Times New Roman" w:hAnsi="Times New Roman" w:cs="Times New Roman"/>
                <w:b/>
                <w:bCs/>
                <w:color w:val="000000" w:themeColor="text1"/>
                <w:sz w:val="24"/>
                <w:lang w:val="en-US"/>
              </w:rPr>
              <w:t>9</w:t>
            </w:r>
            <w:r>
              <w:rPr>
                <w:rFonts w:ascii="Times New Roman" w:hAnsi="Times New Roman" w:cs="Times New Roman"/>
                <w:b/>
                <w:bCs/>
                <w:color w:val="000000" w:themeColor="text1"/>
                <w:sz w:val="24"/>
                <w:lang w:val="en-US"/>
              </w:rPr>
              <w:t>、</w:t>
            </w:r>
            <w:r>
              <w:rPr>
                <w:rFonts w:ascii="Times New Roman" w:hAnsi="Times New Roman" w:cs="Times New Roman"/>
                <w:b/>
                <w:bCs/>
                <w:color w:val="000000" w:themeColor="text1"/>
                <w:kern w:val="2"/>
                <w:sz w:val="24"/>
                <w:szCs w:val="24"/>
                <w:lang w:val="en-US" w:bidi="ar-SA"/>
              </w:rPr>
              <w:t>项目环保投资</w:t>
            </w:r>
          </w:p>
          <w:p w14:paraId="1840D927">
            <w:pPr>
              <w:tabs>
                <w:tab w:val="left" w:pos="0"/>
              </w:tabs>
              <w:autoSpaceDE/>
              <w:autoSpaceDN/>
              <w:snapToGrid w:val="0"/>
              <w:spacing w:line="360" w:lineRule="auto"/>
              <w:ind w:firstLine="480" w:firstLineChars="200"/>
              <w:jc w:val="both"/>
              <w:rPr>
                <w:rFonts w:ascii="Times New Roman" w:hAnsi="Times New Roman" w:cs="Times New Roman"/>
                <w:b/>
                <w:bCs/>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本项目总投资</w:t>
            </w:r>
            <w:r>
              <w:rPr>
                <w:rFonts w:hint="eastAsia" w:ascii="Times New Roman" w:hAnsi="Times New Roman" w:cs="Times New Roman"/>
                <w:color w:val="000000" w:themeColor="text1"/>
                <w:sz w:val="24"/>
                <w:szCs w:val="24"/>
                <w:lang w:val="en-US"/>
              </w:rPr>
              <w:t>1485.00</w:t>
            </w:r>
            <w:r>
              <w:rPr>
                <w:rFonts w:ascii="Times New Roman" w:hAnsi="Times New Roman" w:cs="Times New Roman"/>
                <w:color w:val="000000" w:themeColor="text1"/>
                <w:kern w:val="2"/>
                <w:sz w:val="24"/>
                <w:szCs w:val="24"/>
                <w:lang w:val="en-US" w:bidi="ar-SA"/>
              </w:rPr>
              <w:t>万元，其中环保投资共</w:t>
            </w:r>
            <w:r>
              <w:rPr>
                <w:rFonts w:hint="eastAsia" w:ascii="Times New Roman" w:hAnsi="Times New Roman" w:cs="Times New Roman"/>
                <w:color w:val="000000" w:themeColor="text1"/>
                <w:kern w:val="2"/>
                <w:sz w:val="24"/>
                <w:szCs w:val="24"/>
                <w:lang w:val="en-US" w:bidi="ar-SA"/>
              </w:rPr>
              <w:t>25.00</w:t>
            </w:r>
            <w:r>
              <w:rPr>
                <w:rFonts w:ascii="Times New Roman" w:hAnsi="Times New Roman" w:cs="Times New Roman"/>
                <w:color w:val="000000" w:themeColor="text1"/>
                <w:kern w:val="2"/>
                <w:sz w:val="24"/>
                <w:szCs w:val="24"/>
                <w:lang w:val="en-US" w:bidi="ar-SA"/>
              </w:rPr>
              <w:t>万元，占总投资的</w:t>
            </w:r>
            <w:r>
              <w:rPr>
                <w:rFonts w:hint="eastAsia" w:ascii="Times New Roman" w:hAnsi="Times New Roman" w:cs="Times New Roman"/>
                <w:color w:val="000000" w:themeColor="text1"/>
                <w:kern w:val="2"/>
                <w:sz w:val="24"/>
                <w:szCs w:val="24"/>
                <w:lang w:val="en-US" w:bidi="ar-SA"/>
              </w:rPr>
              <w:t>1.7</w:t>
            </w:r>
            <w:r>
              <w:rPr>
                <w:rFonts w:ascii="Times New Roman" w:hAnsi="Times New Roman" w:cs="Times New Roman"/>
                <w:color w:val="000000" w:themeColor="text1"/>
                <w:kern w:val="2"/>
                <w:sz w:val="24"/>
                <w:szCs w:val="24"/>
                <w:lang w:val="en-US" w:bidi="ar-SA"/>
              </w:rPr>
              <w:t>%。环保投资估算详见表4-1</w:t>
            </w:r>
            <w:r>
              <w:rPr>
                <w:rFonts w:hint="eastAsia" w:ascii="Times New Roman" w:hAnsi="Times New Roman" w:cs="Times New Roman"/>
                <w:color w:val="000000" w:themeColor="text1"/>
                <w:kern w:val="2"/>
                <w:sz w:val="24"/>
                <w:szCs w:val="24"/>
                <w:lang w:val="en-US" w:eastAsia="zh-CN" w:bidi="ar-SA"/>
              </w:rPr>
              <w:t>3</w:t>
            </w:r>
            <w:r>
              <w:rPr>
                <w:rFonts w:ascii="Times New Roman" w:hAnsi="Times New Roman" w:cs="Times New Roman"/>
                <w:color w:val="000000" w:themeColor="text1"/>
                <w:kern w:val="2"/>
                <w:sz w:val="24"/>
                <w:szCs w:val="24"/>
                <w:lang w:val="en-US" w:bidi="ar-SA"/>
              </w:rPr>
              <w:t>。</w:t>
            </w:r>
          </w:p>
          <w:p w14:paraId="0AD76930">
            <w:pPr>
              <w:autoSpaceDE/>
              <w:autoSpaceDN/>
              <w:snapToGrid w:val="0"/>
              <w:ind w:firstLine="482" w:firstLineChars="200"/>
              <w:jc w:val="center"/>
              <w:rPr>
                <w:rFonts w:ascii="Times New Roman" w:hAnsi="Times New Roman" w:cs="Times New Roman"/>
                <w:b/>
                <w:bCs/>
                <w:color w:val="000000" w:themeColor="text1"/>
                <w:kern w:val="2"/>
                <w:sz w:val="24"/>
                <w:szCs w:val="24"/>
                <w:lang w:val="en-US" w:bidi="ar-SA"/>
              </w:rPr>
            </w:pPr>
            <w:r>
              <w:rPr>
                <w:rFonts w:ascii="Times New Roman" w:hAnsi="Times New Roman" w:cs="Times New Roman"/>
                <w:b/>
                <w:bCs/>
                <w:color w:val="000000" w:themeColor="text1"/>
                <w:kern w:val="2"/>
                <w:sz w:val="24"/>
                <w:szCs w:val="24"/>
                <w:lang w:val="en-US" w:bidi="ar-SA"/>
              </w:rPr>
              <w:t>表4-1</w:t>
            </w:r>
            <w:r>
              <w:rPr>
                <w:rFonts w:hint="eastAsia" w:ascii="Times New Roman" w:hAnsi="Times New Roman" w:cs="Times New Roman"/>
                <w:b/>
                <w:bCs/>
                <w:color w:val="000000" w:themeColor="text1"/>
                <w:kern w:val="2"/>
                <w:sz w:val="24"/>
                <w:szCs w:val="24"/>
                <w:lang w:val="en-US" w:eastAsia="zh-CN" w:bidi="ar-SA"/>
              </w:rPr>
              <w:t>3</w:t>
            </w:r>
            <w:r>
              <w:rPr>
                <w:rFonts w:ascii="Times New Roman" w:hAnsi="Times New Roman" w:cs="Times New Roman"/>
                <w:b/>
                <w:bCs/>
                <w:color w:val="000000" w:themeColor="text1"/>
                <w:kern w:val="2"/>
                <w:sz w:val="24"/>
                <w:szCs w:val="24"/>
                <w:lang w:val="en-US" w:bidi="ar-SA"/>
              </w:rPr>
              <w:t>项目环保投资估算一览表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4412"/>
              <w:gridCol w:w="1618"/>
            </w:tblGrid>
            <w:tr w14:paraId="74CC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858" w:type="dxa"/>
                  <w:gridSpan w:val="2"/>
                  <w:vAlign w:val="center"/>
                </w:tcPr>
                <w:p w14:paraId="04EB1CE0">
                  <w:pPr>
                    <w:autoSpaceDE/>
                    <w:autoSpaceDN/>
                    <w:adjustRightInd w:val="0"/>
                    <w:snapToGrid w:val="0"/>
                    <w:jc w:val="center"/>
                    <w:rPr>
                      <w:rFonts w:ascii="Times New Roman" w:hAnsi="Times New Roman" w:cs="Times New Roman"/>
                      <w:b/>
                      <w:bCs/>
                      <w:color w:val="000000" w:themeColor="text1"/>
                      <w:kern w:val="2"/>
                      <w:sz w:val="21"/>
                      <w:szCs w:val="21"/>
                      <w:lang w:val="en-US" w:bidi="ar-SA"/>
                    </w:rPr>
                  </w:pPr>
                  <w:r>
                    <w:rPr>
                      <w:rFonts w:ascii="Times New Roman" w:hAnsi="Times New Roman" w:cs="Times New Roman"/>
                      <w:b/>
                      <w:bCs/>
                      <w:color w:val="000000" w:themeColor="text1"/>
                      <w:sz w:val="21"/>
                      <w:szCs w:val="21"/>
                      <w:lang w:val="en-US" w:bidi="ar-SA"/>
                    </w:rPr>
                    <w:t>环 境 污 染 防 治 项 目</w:t>
                  </w:r>
                </w:p>
              </w:tc>
              <w:tc>
                <w:tcPr>
                  <w:tcW w:w="1618" w:type="dxa"/>
                  <w:vAlign w:val="center"/>
                </w:tcPr>
                <w:p w14:paraId="4ABF66F6">
                  <w:pPr>
                    <w:widowControl/>
                    <w:autoSpaceDE/>
                    <w:autoSpaceDN/>
                    <w:jc w:val="center"/>
                    <w:rPr>
                      <w:rFonts w:ascii="Times New Roman" w:hAnsi="Times New Roman" w:cs="Times New Roman"/>
                      <w:b/>
                      <w:bCs/>
                      <w:color w:val="000000" w:themeColor="text1"/>
                      <w:sz w:val="21"/>
                      <w:szCs w:val="21"/>
                      <w:lang w:val="en-US" w:bidi="ar-SA"/>
                    </w:rPr>
                  </w:pPr>
                  <w:r>
                    <w:rPr>
                      <w:rFonts w:ascii="Times New Roman" w:hAnsi="Times New Roman" w:cs="Times New Roman"/>
                      <w:b/>
                      <w:bCs/>
                      <w:color w:val="000000" w:themeColor="text1"/>
                      <w:sz w:val="21"/>
                      <w:szCs w:val="21"/>
                      <w:lang w:val="en-US" w:bidi="ar-SA"/>
                    </w:rPr>
                    <w:t>环保投资</w:t>
                  </w:r>
                </w:p>
                <w:p w14:paraId="2BDDBDF1">
                  <w:pPr>
                    <w:autoSpaceDE/>
                    <w:autoSpaceDN/>
                    <w:adjustRightInd w:val="0"/>
                    <w:snapToGrid w:val="0"/>
                    <w:jc w:val="center"/>
                    <w:rPr>
                      <w:rFonts w:ascii="Times New Roman" w:hAnsi="Times New Roman" w:cs="Times New Roman"/>
                      <w:b/>
                      <w:bCs/>
                      <w:color w:val="000000" w:themeColor="text1"/>
                      <w:kern w:val="2"/>
                      <w:sz w:val="21"/>
                      <w:szCs w:val="21"/>
                      <w:lang w:val="en-US" w:bidi="ar-SA"/>
                    </w:rPr>
                  </w:pPr>
                  <w:r>
                    <w:rPr>
                      <w:rFonts w:ascii="Times New Roman" w:hAnsi="Times New Roman" w:cs="Times New Roman"/>
                      <w:b/>
                      <w:bCs/>
                      <w:color w:val="000000" w:themeColor="text1"/>
                      <w:sz w:val="21"/>
                      <w:szCs w:val="21"/>
                      <w:lang w:val="en-US" w:bidi="ar-SA"/>
                    </w:rPr>
                    <w:t>（万元）</w:t>
                  </w:r>
                </w:p>
              </w:tc>
            </w:tr>
            <w:tr w14:paraId="66C5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46" w:type="dxa"/>
                  <w:vMerge w:val="restart"/>
                  <w:vAlign w:val="center"/>
                </w:tcPr>
                <w:p w14:paraId="64696517">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项目废水</w:t>
                  </w:r>
                </w:p>
              </w:tc>
              <w:tc>
                <w:tcPr>
                  <w:tcW w:w="4412" w:type="dxa"/>
                  <w:vAlign w:val="center"/>
                </w:tcPr>
                <w:p w14:paraId="3A5819F8">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传染病预处理设施</w:t>
                  </w:r>
                  <w:r>
                    <w:rPr>
                      <w:rFonts w:ascii="Times New Roman" w:hAnsi="Times New Roman" w:cs="Times New Roman"/>
                      <w:color w:val="000000" w:themeColor="text1"/>
                      <w:kern w:val="2"/>
                      <w:sz w:val="21"/>
                      <w:szCs w:val="21"/>
                      <w:lang w:val="en-US" w:bidi="ar-SA"/>
                    </w:rPr>
                    <w:t>（处理规模</w:t>
                  </w:r>
                  <w:r>
                    <w:rPr>
                      <w:rFonts w:hint="eastAsia" w:ascii="Times New Roman" w:hAnsi="Times New Roman" w:cs="Times New Roman"/>
                      <w:color w:val="000000" w:themeColor="text1"/>
                      <w:kern w:val="2"/>
                      <w:sz w:val="21"/>
                      <w:szCs w:val="21"/>
                      <w:lang w:val="en-US" w:bidi="ar-SA"/>
                    </w:rPr>
                    <w:t>20</w:t>
                  </w:r>
                  <w:r>
                    <w:rPr>
                      <w:rFonts w:ascii="Times New Roman" w:hAnsi="Times New Roman" w:cs="Times New Roman"/>
                      <w:color w:val="000000" w:themeColor="text1"/>
                      <w:kern w:val="2"/>
                      <w:sz w:val="21"/>
                      <w:szCs w:val="21"/>
                      <w:lang w:val="en-US" w:bidi="ar-SA"/>
                    </w:rPr>
                    <w:t>m</w:t>
                  </w:r>
                  <w:r>
                    <w:rPr>
                      <w:rFonts w:ascii="Times New Roman" w:hAnsi="Times New Roman" w:cs="Times New Roman"/>
                      <w:color w:val="000000" w:themeColor="text1"/>
                      <w:kern w:val="2"/>
                      <w:sz w:val="21"/>
                      <w:szCs w:val="21"/>
                      <w:vertAlign w:val="superscript"/>
                      <w:lang w:val="en-US" w:bidi="ar-SA"/>
                    </w:rPr>
                    <w:t>3</w:t>
                  </w:r>
                  <w:r>
                    <w:rPr>
                      <w:rFonts w:ascii="Times New Roman" w:hAnsi="Times New Roman" w:cs="Times New Roman"/>
                      <w:color w:val="000000" w:themeColor="text1"/>
                      <w:kern w:val="2"/>
                      <w:sz w:val="21"/>
                      <w:szCs w:val="21"/>
                      <w:lang w:val="en-US" w:bidi="ar-SA"/>
                    </w:rPr>
                    <w:t>/d）</w:t>
                  </w:r>
                </w:p>
              </w:tc>
              <w:tc>
                <w:tcPr>
                  <w:tcW w:w="1618" w:type="dxa"/>
                  <w:vAlign w:val="center"/>
                </w:tcPr>
                <w:p w14:paraId="60E9072C">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15</w:t>
                  </w:r>
                </w:p>
              </w:tc>
            </w:tr>
            <w:tr w14:paraId="5E3D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46" w:type="dxa"/>
                  <w:vMerge w:val="continue"/>
                  <w:vAlign w:val="center"/>
                </w:tcPr>
                <w:p w14:paraId="32628B71">
                  <w:pPr>
                    <w:autoSpaceDE/>
                    <w:autoSpaceDN/>
                    <w:jc w:val="center"/>
                    <w:rPr>
                      <w:rFonts w:ascii="Times New Roman" w:hAnsi="Times New Roman" w:cs="Times New Roman"/>
                      <w:color w:val="000000" w:themeColor="text1"/>
                      <w:kern w:val="2"/>
                      <w:sz w:val="21"/>
                      <w:szCs w:val="21"/>
                      <w:lang w:val="en-US" w:bidi="ar-SA"/>
                    </w:rPr>
                  </w:pPr>
                </w:p>
              </w:tc>
              <w:tc>
                <w:tcPr>
                  <w:tcW w:w="4412" w:type="dxa"/>
                  <w:vAlign w:val="center"/>
                </w:tcPr>
                <w:p w14:paraId="098C3037">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原医院污水处理站（处理规模</w:t>
                  </w:r>
                  <w:r>
                    <w:rPr>
                      <w:rFonts w:hint="eastAsia" w:ascii="Times New Roman" w:hAnsi="Times New Roman" w:cs="Times New Roman"/>
                      <w:color w:val="000000" w:themeColor="text1"/>
                      <w:kern w:val="2"/>
                      <w:sz w:val="21"/>
                      <w:szCs w:val="21"/>
                      <w:lang w:val="en-US" w:bidi="ar-SA"/>
                    </w:rPr>
                    <w:t>480</w:t>
                  </w:r>
                  <w:r>
                    <w:rPr>
                      <w:rFonts w:ascii="Times New Roman" w:hAnsi="Times New Roman" w:cs="Times New Roman"/>
                      <w:color w:val="000000" w:themeColor="text1"/>
                      <w:kern w:val="2"/>
                      <w:sz w:val="21"/>
                      <w:szCs w:val="21"/>
                      <w:lang w:val="en-US" w:bidi="ar-SA"/>
                    </w:rPr>
                    <w:t>m</w:t>
                  </w:r>
                  <w:r>
                    <w:rPr>
                      <w:rFonts w:ascii="Times New Roman" w:hAnsi="Times New Roman" w:cs="Times New Roman"/>
                      <w:color w:val="000000" w:themeColor="text1"/>
                      <w:kern w:val="2"/>
                      <w:sz w:val="21"/>
                      <w:szCs w:val="21"/>
                      <w:vertAlign w:val="superscript"/>
                      <w:lang w:val="en-US" w:bidi="ar-SA"/>
                    </w:rPr>
                    <w:t>3</w:t>
                  </w:r>
                  <w:r>
                    <w:rPr>
                      <w:rFonts w:ascii="Times New Roman" w:hAnsi="Times New Roman" w:cs="Times New Roman"/>
                      <w:color w:val="000000" w:themeColor="text1"/>
                      <w:kern w:val="2"/>
                      <w:sz w:val="21"/>
                      <w:szCs w:val="21"/>
                      <w:lang w:val="en-US" w:bidi="ar-SA"/>
                    </w:rPr>
                    <w:t>/d）</w:t>
                  </w:r>
                  <w:r>
                    <w:rPr>
                      <w:rFonts w:hint="eastAsia" w:ascii="Times New Roman" w:hAnsi="Times New Roman" w:cs="Times New Roman"/>
                      <w:color w:val="000000" w:themeColor="text1"/>
                      <w:kern w:val="2"/>
                      <w:sz w:val="21"/>
                      <w:szCs w:val="21"/>
                      <w:lang w:val="en-US" w:bidi="ar-SA"/>
                    </w:rPr>
                    <w:t>、化粪池、隔油池、应急池（95</w:t>
                  </w:r>
                  <w:r>
                    <w:rPr>
                      <w:rFonts w:ascii="Times New Roman" w:hAnsi="Times New Roman" w:cs="Times New Roman"/>
                      <w:color w:val="000000" w:themeColor="text1"/>
                      <w:kern w:val="2"/>
                      <w:sz w:val="21"/>
                      <w:szCs w:val="21"/>
                      <w:lang w:val="en-US" w:bidi="ar-SA"/>
                    </w:rPr>
                    <w:t>m</w:t>
                  </w:r>
                  <w:r>
                    <w:rPr>
                      <w:rFonts w:ascii="Times New Roman" w:hAnsi="Times New Roman" w:cs="Times New Roman"/>
                      <w:color w:val="000000" w:themeColor="text1"/>
                      <w:kern w:val="2"/>
                      <w:sz w:val="21"/>
                      <w:szCs w:val="21"/>
                      <w:vertAlign w:val="superscript"/>
                      <w:lang w:val="en-US" w:bidi="ar-SA"/>
                    </w:rPr>
                    <w:t>3</w:t>
                  </w:r>
                  <w:r>
                    <w:rPr>
                      <w:rFonts w:hint="eastAsia" w:ascii="Times New Roman" w:hAnsi="Times New Roman" w:cs="Times New Roman"/>
                      <w:color w:val="000000" w:themeColor="text1"/>
                      <w:kern w:val="2"/>
                      <w:sz w:val="21"/>
                      <w:szCs w:val="21"/>
                      <w:lang w:val="en-US" w:bidi="ar-SA"/>
                    </w:rPr>
                    <w:t>）</w:t>
                  </w:r>
                </w:p>
              </w:tc>
              <w:tc>
                <w:tcPr>
                  <w:tcW w:w="1618" w:type="dxa"/>
                  <w:vAlign w:val="center"/>
                </w:tcPr>
                <w:p w14:paraId="6222705D">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依托原有</w:t>
                  </w:r>
                </w:p>
              </w:tc>
            </w:tr>
            <w:tr w14:paraId="30C8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2446" w:type="dxa"/>
                  <w:vAlign w:val="center"/>
                </w:tcPr>
                <w:p w14:paraId="7CCDC2FA">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生活垃圾、医疗废物、污泥</w:t>
                  </w:r>
                  <w:r>
                    <w:rPr>
                      <w:rFonts w:hint="eastAsia" w:ascii="Times New Roman" w:hAnsi="Times New Roman" w:cs="Times New Roman"/>
                      <w:color w:val="000000" w:themeColor="text1"/>
                      <w:kern w:val="2"/>
                      <w:sz w:val="21"/>
                      <w:szCs w:val="21"/>
                      <w:lang w:val="en-US" w:bidi="ar-SA"/>
                    </w:rPr>
                    <w:t>及格栅渣、输液瓶</w:t>
                  </w:r>
                </w:p>
              </w:tc>
              <w:tc>
                <w:tcPr>
                  <w:tcW w:w="4412" w:type="dxa"/>
                  <w:vAlign w:val="center"/>
                </w:tcPr>
                <w:p w14:paraId="7CBDE33C">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垃圾桶若干；危险废物暂存间（</w:t>
                  </w:r>
                  <w:r>
                    <w:rPr>
                      <w:rFonts w:hint="eastAsia" w:ascii="Times New Roman" w:hAnsi="Times New Roman" w:cs="Times New Roman"/>
                      <w:color w:val="000000" w:themeColor="text1"/>
                      <w:kern w:val="2"/>
                      <w:sz w:val="21"/>
                      <w:szCs w:val="21"/>
                      <w:lang w:val="en-US" w:bidi="ar-SA"/>
                    </w:rPr>
                    <w:t>20</w:t>
                  </w:r>
                  <w:r>
                    <w:rPr>
                      <w:rFonts w:ascii="Times New Roman" w:hAnsi="Times New Roman" w:cs="Times New Roman"/>
                      <w:color w:val="000000" w:themeColor="text1"/>
                      <w:kern w:val="2"/>
                      <w:sz w:val="21"/>
                      <w:szCs w:val="21"/>
                      <w:lang w:val="en-US" w:bidi="ar-SA"/>
                    </w:rPr>
                    <w:t>m</w:t>
                  </w:r>
                  <w:r>
                    <w:rPr>
                      <w:rFonts w:ascii="Times New Roman" w:hAnsi="Times New Roman" w:cs="Times New Roman"/>
                      <w:color w:val="000000" w:themeColor="text1"/>
                      <w:kern w:val="2"/>
                      <w:sz w:val="21"/>
                      <w:szCs w:val="21"/>
                      <w:vertAlign w:val="superscript"/>
                      <w:lang w:val="en-US" w:bidi="ar-SA"/>
                    </w:rPr>
                    <w:t>2</w:t>
                  </w:r>
                  <w:r>
                    <w:rPr>
                      <w:rFonts w:ascii="Times New Roman" w:hAnsi="Times New Roman" w:cs="Times New Roman"/>
                      <w:color w:val="000000" w:themeColor="text1"/>
                      <w:kern w:val="2"/>
                      <w:sz w:val="21"/>
                      <w:szCs w:val="21"/>
                      <w:lang w:val="en-US" w:bidi="ar-SA"/>
                    </w:rPr>
                    <w:t>）</w:t>
                  </w:r>
                  <w:r>
                    <w:rPr>
                      <w:rFonts w:hint="eastAsia" w:ascii="Times New Roman" w:hAnsi="Times New Roman" w:cs="Times New Roman"/>
                      <w:color w:val="000000" w:themeColor="text1"/>
                      <w:kern w:val="2"/>
                      <w:sz w:val="21"/>
                      <w:szCs w:val="21"/>
                      <w:lang w:val="en-US" w:bidi="ar-SA"/>
                    </w:rPr>
                    <w:t>；一般固废暂存间</w:t>
                  </w:r>
                  <w:r>
                    <w:rPr>
                      <w:rFonts w:ascii="Times New Roman" w:hAnsi="Times New Roman" w:cs="Times New Roman"/>
                      <w:color w:val="000000" w:themeColor="text1"/>
                      <w:kern w:val="2"/>
                      <w:sz w:val="21"/>
                      <w:szCs w:val="21"/>
                      <w:lang w:val="en-US" w:bidi="ar-SA"/>
                    </w:rPr>
                    <w:t>（</w:t>
                  </w:r>
                  <w:r>
                    <w:rPr>
                      <w:rFonts w:hint="eastAsia" w:ascii="Times New Roman" w:hAnsi="Times New Roman" w:cs="Times New Roman"/>
                      <w:color w:val="000000" w:themeColor="text1"/>
                      <w:kern w:val="2"/>
                      <w:sz w:val="21"/>
                      <w:szCs w:val="21"/>
                      <w:lang w:val="en-US" w:bidi="ar-SA"/>
                    </w:rPr>
                    <w:t>20</w:t>
                  </w:r>
                  <w:r>
                    <w:rPr>
                      <w:rFonts w:ascii="Times New Roman" w:hAnsi="Times New Roman" w:cs="Times New Roman"/>
                      <w:color w:val="000000" w:themeColor="text1"/>
                      <w:kern w:val="2"/>
                      <w:sz w:val="21"/>
                      <w:szCs w:val="21"/>
                      <w:lang w:val="en-US" w:bidi="ar-SA"/>
                    </w:rPr>
                    <w:t>m</w:t>
                  </w:r>
                  <w:r>
                    <w:rPr>
                      <w:rFonts w:ascii="Times New Roman" w:hAnsi="Times New Roman" w:cs="Times New Roman"/>
                      <w:color w:val="000000" w:themeColor="text1"/>
                      <w:kern w:val="2"/>
                      <w:sz w:val="21"/>
                      <w:szCs w:val="21"/>
                      <w:vertAlign w:val="superscript"/>
                      <w:lang w:val="en-US" w:bidi="ar-SA"/>
                    </w:rPr>
                    <w:t>2</w:t>
                  </w:r>
                  <w:r>
                    <w:rPr>
                      <w:rFonts w:ascii="Times New Roman" w:hAnsi="Times New Roman" w:cs="Times New Roman"/>
                      <w:color w:val="000000" w:themeColor="text1"/>
                      <w:kern w:val="2"/>
                      <w:sz w:val="21"/>
                      <w:szCs w:val="21"/>
                      <w:lang w:val="en-US" w:bidi="ar-SA"/>
                    </w:rPr>
                    <w:t>）</w:t>
                  </w:r>
                  <w:r>
                    <w:rPr>
                      <w:rFonts w:hint="eastAsia" w:ascii="Times New Roman" w:hAnsi="Times New Roman" w:cs="Times New Roman"/>
                      <w:color w:val="000000" w:themeColor="text1"/>
                      <w:kern w:val="2"/>
                      <w:sz w:val="21"/>
                      <w:szCs w:val="21"/>
                      <w:lang w:val="en-US" w:bidi="ar-SA"/>
                    </w:rPr>
                    <w:t>、地面硬化、防渗</w:t>
                  </w:r>
                </w:p>
              </w:tc>
              <w:tc>
                <w:tcPr>
                  <w:tcW w:w="1618" w:type="dxa"/>
                  <w:vAlign w:val="center"/>
                </w:tcPr>
                <w:p w14:paraId="1BC35CBA">
                  <w:pPr>
                    <w:tabs>
                      <w:tab w:val="left" w:pos="554"/>
                    </w:tabs>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4</w:t>
                  </w:r>
                  <w:r>
                    <w:rPr>
                      <w:rFonts w:ascii="Times New Roman" w:hAnsi="Times New Roman" w:cs="Times New Roman"/>
                      <w:color w:val="000000" w:themeColor="text1"/>
                      <w:kern w:val="2"/>
                      <w:sz w:val="21"/>
                      <w:szCs w:val="21"/>
                      <w:lang w:val="en-US" w:bidi="ar-SA"/>
                    </w:rPr>
                    <w:t>（危废暂存间依托原有）</w:t>
                  </w:r>
                </w:p>
              </w:tc>
            </w:tr>
            <w:tr w14:paraId="066F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446" w:type="dxa"/>
                  <w:vAlign w:val="center"/>
                </w:tcPr>
                <w:p w14:paraId="2991452C">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废气</w:t>
                  </w:r>
                </w:p>
              </w:tc>
              <w:tc>
                <w:tcPr>
                  <w:tcW w:w="4412" w:type="dxa"/>
                  <w:vAlign w:val="center"/>
                </w:tcPr>
                <w:p w14:paraId="45176CCB">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采取密闭措施、排风扇、定期消毒</w:t>
                  </w:r>
                </w:p>
              </w:tc>
              <w:tc>
                <w:tcPr>
                  <w:tcW w:w="1618" w:type="dxa"/>
                  <w:vAlign w:val="center"/>
                </w:tcPr>
                <w:p w14:paraId="2EB59059">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3</w:t>
                  </w:r>
                </w:p>
              </w:tc>
            </w:tr>
            <w:tr w14:paraId="4737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446" w:type="dxa"/>
                  <w:vAlign w:val="center"/>
                </w:tcPr>
                <w:p w14:paraId="7C1C861B">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噪声</w:t>
                  </w:r>
                </w:p>
              </w:tc>
              <w:tc>
                <w:tcPr>
                  <w:tcW w:w="4412" w:type="dxa"/>
                  <w:vAlign w:val="center"/>
                </w:tcPr>
                <w:p w14:paraId="6D51AB79">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选用低噪声设备、基础减振、禁止鸣笛</w:t>
                  </w:r>
                </w:p>
              </w:tc>
              <w:tc>
                <w:tcPr>
                  <w:tcW w:w="1618" w:type="dxa"/>
                  <w:vAlign w:val="center"/>
                </w:tcPr>
                <w:p w14:paraId="712C2FEC">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3</w:t>
                  </w:r>
                </w:p>
              </w:tc>
            </w:tr>
            <w:tr w14:paraId="625E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8" w:type="dxa"/>
                  <w:gridSpan w:val="2"/>
                  <w:vAlign w:val="center"/>
                </w:tcPr>
                <w:p w14:paraId="3505B829">
                  <w:pPr>
                    <w:autoSpaceDE/>
                    <w:autoSpaceDN/>
                    <w:jc w:val="center"/>
                    <w:rPr>
                      <w:rFonts w:ascii="Times New Roman" w:hAnsi="Times New Roman" w:cs="Times New Roman"/>
                      <w:color w:val="000000" w:themeColor="text1"/>
                      <w:kern w:val="2"/>
                      <w:sz w:val="21"/>
                      <w:szCs w:val="21"/>
                      <w:lang w:val="en-US" w:bidi="ar-SA"/>
                    </w:rPr>
                  </w:pPr>
                  <w:r>
                    <w:rPr>
                      <w:rFonts w:ascii="Times New Roman" w:hAnsi="Times New Roman" w:cs="Times New Roman"/>
                      <w:color w:val="000000" w:themeColor="text1"/>
                      <w:kern w:val="2"/>
                      <w:sz w:val="21"/>
                      <w:szCs w:val="21"/>
                      <w:lang w:val="en-US" w:bidi="ar-SA"/>
                    </w:rPr>
                    <w:t>总   计</w:t>
                  </w:r>
                </w:p>
              </w:tc>
              <w:tc>
                <w:tcPr>
                  <w:tcW w:w="1618" w:type="dxa"/>
                  <w:vAlign w:val="center"/>
                </w:tcPr>
                <w:p w14:paraId="3776C487">
                  <w:pPr>
                    <w:autoSpaceDE/>
                    <w:autoSpaceDN/>
                    <w:jc w:val="center"/>
                    <w:rPr>
                      <w:rFonts w:ascii="Times New Roman" w:hAnsi="Times New Roman" w:cs="Times New Roman"/>
                      <w:color w:val="000000" w:themeColor="text1"/>
                      <w:kern w:val="2"/>
                      <w:sz w:val="21"/>
                      <w:szCs w:val="21"/>
                      <w:lang w:val="en-US" w:bidi="ar-SA"/>
                    </w:rPr>
                  </w:pPr>
                  <w:r>
                    <w:rPr>
                      <w:rFonts w:hint="eastAsia" w:ascii="Times New Roman" w:hAnsi="Times New Roman" w:cs="Times New Roman"/>
                      <w:color w:val="000000" w:themeColor="text1"/>
                      <w:kern w:val="2"/>
                      <w:sz w:val="21"/>
                      <w:szCs w:val="21"/>
                      <w:lang w:val="en-US" w:bidi="ar-SA"/>
                    </w:rPr>
                    <w:t>25</w:t>
                  </w:r>
                </w:p>
              </w:tc>
            </w:tr>
          </w:tbl>
          <w:p w14:paraId="54196F0D">
            <w:pPr>
              <w:autoSpaceDE/>
              <w:autoSpaceDN/>
              <w:spacing w:line="360" w:lineRule="auto"/>
              <w:ind w:firstLine="482" w:firstLineChars="200"/>
              <w:jc w:val="both"/>
              <w:rPr>
                <w:rFonts w:ascii="Times New Roman" w:hAnsi="Times New Roman" w:cs="Times New Roman"/>
                <w:b/>
                <w:bCs/>
                <w:color w:val="000000" w:themeColor="text1"/>
                <w:sz w:val="24"/>
                <w:lang w:val="en-US"/>
              </w:rPr>
            </w:pPr>
            <w:r>
              <w:rPr>
                <w:rFonts w:hint="eastAsia" w:ascii="Times New Roman" w:hAnsi="Times New Roman" w:cs="Times New Roman"/>
                <w:b/>
                <w:bCs/>
                <w:color w:val="000000" w:themeColor="text1"/>
                <w:sz w:val="24"/>
                <w:lang w:val="en-US"/>
              </w:rPr>
              <w:t>10</w:t>
            </w:r>
            <w:r>
              <w:rPr>
                <w:rFonts w:ascii="Times New Roman" w:hAnsi="Times New Roman" w:cs="Times New Roman"/>
                <w:b/>
                <w:bCs/>
                <w:color w:val="000000" w:themeColor="text1"/>
                <w:sz w:val="24"/>
                <w:lang w:val="en-US"/>
              </w:rPr>
              <w:t>、环保“三同时”验收</w:t>
            </w:r>
          </w:p>
          <w:p w14:paraId="6EC62BFF">
            <w:pPr>
              <w:autoSpaceDE/>
              <w:autoSpaceDN/>
              <w:spacing w:line="360" w:lineRule="auto"/>
              <w:ind w:firstLine="480" w:firstLineChars="200"/>
              <w:jc w:val="both"/>
              <w:rPr>
                <w:rFonts w:ascii="Times New Roman" w:hAnsi="Times New Roman" w:cs="Times New Roman"/>
                <w:color w:val="000000" w:themeColor="text1"/>
                <w:kern w:val="2"/>
                <w:sz w:val="24"/>
                <w:szCs w:val="24"/>
                <w:lang w:val="en-US" w:bidi="ar-SA"/>
              </w:rPr>
            </w:pPr>
            <w:r>
              <w:rPr>
                <w:rFonts w:ascii="Times New Roman" w:hAnsi="Times New Roman" w:cs="Times New Roman"/>
                <w:color w:val="000000" w:themeColor="text1"/>
                <w:kern w:val="2"/>
                <w:sz w:val="24"/>
                <w:szCs w:val="24"/>
                <w:lang w:val="en-US" w:bidi="ar-SA"/>
              </w:rPr>
              <w:t>建设项目污染防治设施必须与主体工程同时设计、同时施工、同时投入运行，而污染防治设施建设“三同时”验收是严格控制污染源和污染物排放总量、遏制环境恶化趋势的有力措施。建设项目三同时验收一览表见下表4-1</w:t>
            </w:r>
            <w:r>
              <w:rPr>
                <w:rFonts w:hint="eastAsia" w:ascii="Times New Roman" w:hAnsi="Times New Roman" w:cs="Times New Roman"/>
                <w:color w:val="000000" w:themeColor="text1"/>
                <w:kern w:val="2"/>
                <w:sz w:val="24"/>
                <w:szCs w:val="24"/>
                <w:lang w:val="en-US" w:eastAsia="zh-CN" w:bidi="ar-SA"/>
              </w:rPr>
              <w:t>4</w:t>
            </w:r>
            <w:r>
              <w:rPr>
                <w:rFonts w:ascii="Times New Roman" w:hAnsi="Times New Roman" w:cs="Times New Roman"/>
                <w:color w:val="000000" w:themeColor="text1"/>
                <w:kern w:val="2"/>
                <w:sz w:val="24"/>
                <w:szCs w:val="24"/>
                <w:lang w:val="en-US" w:bidi="ar-SA"/>
              </w:rPr>
              <w:t>。</w:t>
            </w:r>
          </w:p>
          <w:p w14:paraId="4392D384">
            <w:pPr>
              <w:autoSpaceDE/>
              <w:autoSpaceDN/>
              <w:snapToGrid w:val="0"/>
              <w:ind w:firstLine="482" w:firstLineChars="200"/>
              <w:jc w:val="center"/>
              <w:rPr>
                <w:rFonts w:ascii="Times New Roman" w:hAnsi="Times New Roman" w:cs="Times New Roman"/>
                <w:b/>
                <w:bCs/>
                <w:color w:val="000000" w:themeColor="text1"/>
                <w:kern w:val="2"/>
                <w:sz w:val="24"/>
                <w:szCs w:val="24"/>
                <w:lang w:val="en-US" w:bidi="ar-SA"/>
              </w:rPr>
            </w:pPr>
            <w:r>
              <w:rPr>
                <w:rFonts w:ascii="Times New Roman" w:hAnsi="Times New Roman" w:cs="Times New Roman"/>
                <w:b/>
                <w:bCs/>
                <w:color w:val="000000" w:themeColor="text1"/>
                <w:kern w:val="2"/>
                <w:sz w:val="24"/>
                <w:szCs w:val="24"/>
                <w:lang w:val="en-US" w:bidi="ar-SA"/>
              </w:rPr>
              <w:t>表4-1</w:t>
            </w:r>
            <w:r>
              <w:rPr>
                <w:rFonts w:hint="eastAsia" w:ascii="Times New Roman" w:hAnsi="Times New Roman" w:cs="Times New Roman"/>
                <w:b/>
                <w:bCs/>
                <w:color w:val="000000" w:themeColor="text1"/>
                <w:kern w:val="2"/>
                <w:sz w:val="24"/>
                <w:szCs w:val="24"/>
                <w:lang w:val="en-US" w:eastAsia="zh-CN" w:bidi="ar-SA"/>
              </w:rPr>
              <w:t>4</w:t>
            </w:r>
            <w:r>
              <w:rPr>
                <w:rFonts w:ascii="Times New Roman" w:hAnsi="Times New Roman" w:cs="Times New Roman"/>
                <w:b/>
                <w:bCs/>
                <w:color w:val="000000" w:themeColor="text1"/>
                <w:kern w:val="2"/>
                <w:sz w:val="24"/>
                <w:szCs w:val="24"/>
                <w:lang w:val="en-US" w:bidi="ar-SA"/>
              </w:rPr>
              <w:t>建设项目三同时验收一览表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215"/>
              <w:gridCol w:w="3181"/>
              <w:gridCol w:w="3154"/>
            </w:tblGrid>
            <w:tr w14:paraId="48A2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8" w:type="dxa"/>
                  <w:vAlign w:val="center"/>
                </w:tcPr>
                <w:p w14:paraId="72C94EC9">
                  <w:pPr>
                    <w:widowControl/>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项 目</w:t>
                  </w:r>
                </w:p>
              </w:tc>
              <w:tc>
                <w:tcPr>
                  <w:tcW w:w="1215" w:type="dxa"/>
                  <w:vAlign w:val="center"/>
                </w:tcPr>
                <w:p w14:paraId="2FE05B13">
                  <w:pPr>
                    <w:widowControl/>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污染物</w:t>
                  </w:r>
                </w:p>
              </w:tc>
              <w:tc>
                <w:tcPr>
                  <w:tcW w:w="3181" w:type="dxa"/>
                  <w:vAlign w:val="center"/>
                </w:tcPr>
                <w:p w14:paraId="4D12AAAA">
                  <w:pPr>
                    <w:widowControl/>
                    <w:jc w:val="center"/>
                    <w:rPr>
                      <w:rFonts w:ascii="Times New Roman" w:hAnsi="Times New Roman" w:cs="Times New Roman"/>
                      <w:b/>
                      <w:bCs/>
                      <w:color w:val="000000" w:themeColor="text1"/>
                      <w:sz w:val="21"/>
                      <w:szCs w:val="21"/>
                    </w:rPr>
                  </w:pPr>
                  <w:r>
                    <w:rPr>
                      <w:rFonts w:ascii="Times New Roman" w:hAnsi="Times New Roman" w:cs="Times New Roman"/>
                      <w:b/>
                      <w:color w:val="000000" w:themeColor="text1"/>
                      <w:sz w:val="21"/>
                      <w:szCs w:val="21"/>
                    </w:rPr>
                    <w:t>环保设施名称及治理措施</w:t>
                  </w:r>
                </w:p>
              </w:tc>
              <w:tc>
                <w:tcPr>
                  <w:tcW w:w="3154" w:type="dxa"/>
                  <w:vAlign w:val="center"/>
                </w:tcPr>
                <w:p w14:paraId="602A0F87">
                  <w:pPr>
                    <w:widowControl/>
                    <w:jc w:val="center"/>
                    <w:rPr>
                      <w:rFonts w:ascii="Times New Roman" w:hAnsi="Times New Roman" w:cs="Times New Roman"/>
                      <w:b/>
                      <w:bCs/>
                      <w:color w:val="000000" w:themeColor="text1"/>
                      <w:sz w:val="21"/>
                      <w:szCs w:val="21"/>
                    </w:rPr>
                  </w:pPr>
                  <w:r>
                    <w:rPr>
                      <w:rFonts w:ascii="Times New Roman" w:hAnsi="Times New Roman" w:cs="Times New Roman"/>
                      <w:b/>
                      <w:color w:val="000000" w:themeColor="text1"/>
                      <w:sz w:val="21"/>
                      <w:szCs w:val="21"/>
                    </w:rPr>
                    <w:t>验收要求</w:t>
                  </w:r>
                </w:p>
              </w:tc>
            </w:tr>
            <w:tr w14:paraId="7467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68" w:type="dxa"/>
                  <w:vMerge w:val="restart"/>
                  <w:vAlign w:val="center"/>
                </w:tcPr>
                <w:p w14:paraId="1EB0F5DD">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废气</w:t>
                  </w:r>
                </w:p>
              </w:tc>
              <w:tc>
                <w:tcPr>
                  <w:tcW w:w="1215" w:type="dxa"/>
                  <w:vAlign w:val="center"/>
                </w:tcPr>
                <w:p w14:paraId="05D4CF2B">
                  <w:pPr>
                    <w:widowControl/>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药物及试剂气味</w:t>
                  </w:r>
                </w:p>
              </w:tc>
              <w:tc>
                <w:tcPr>
                  <w:tcW w:w="3181" w:type="dxa"/>
                  <w:vAlign w:val="center"/>
                </w:tcPr>
                <w:p w14:paraId="501C5AB8">
                  <w:pPr>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加强通风</w:t>
                  </w:r>
                </w:p>
              </w:tc>
              <w:tc>
                <w:tcPr>
                  <w:tcW w:w="3154" w:type="dxa"/>
                  <w:vAlign w:val="center"/>
                </w:tcPr>
                <w:p w14:paraId="6AD1243A">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对周围环境影响较小</w:t>
                  </w:r>
                </w:p>
              </w:tc>
            </w:tr>
            <w:tr w14:paraId="7F64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68" w:type="dxa"/>
                  <w:vMerge w:val="continue"/>
                  <w:vAlign w:val="center"/>
                </w:tcPr>
                <w:p w14:paraId="4798732F">
                  <w:pPr>
                    <w:widowControl/>
                    <w:jc w:val="center"/>
                    <w:rPr>
                      <w:rFonts w:ascii="Times New Roman" w:hAnsi="Times New Roman" w:cs="Times New Roman"/>
                      <w:color w:val="000000" w:themeColor="text1"/>
                      <w:sz w:val="21"/>
                      <w:szCs w:val="21"/>
                    </w:rPr>
                  </w:pPr>
                </w:p>
              </w:tc>
              <w:tc>
                <w:tcPr>
                  <w:tcW w:w="1215" w:type="dxa"/>
                  <w:vAlign w:val="center"/>
                </w:tcPr>
                <w:p w14:paraId="3E87BC19">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危险废物暂存间恶臭</w:t>
                  </w:r>
                </w:p>
              </w:tc>
              <w:tc>
                <w:tcPr>
                  <w:tcW w:w="3181" w:type="dxa"/>
                  <w:vAlign w:val="center"/>
                </w:tcPr>
                <w:p w14:paraId="7847E5BE">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定期进行消毒和清洁处理、及时清运</w:t>
                  </w:r>
                </w:p>
              </w:tc>
              <w:tc>
                <w:tcPr>
                  <w:tcW w:w="3154" w:type="dxa"/>
                  <w:vAlign w:val="center"/>
                </w:tcPr>
                <w:p w14:paraId="7945A1FB">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对周围环境影响较小</w:t>
                  </w:r>
                </w:p>
              </w:tc>
            </w:tr>
            <w:tr w14:paraId="357A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68" w:type="dxa"/>
                  <w:vMerge w:val="continue"/>
                  <w:vAlign w:val="center"/>
                </w:tcPr>
                <w:p w14:paraId="3D3B6663">
                  <w:pPr>
                    <w:widowControl/>
                    <w:jc w:val="center"/>
                    <w:rPr>
                      <w:rFonts w:ascii="Times New Roman" w:hAnsi="Times New Roman" w:cs="Times New Roman"/>
                      <w:color w:val="000000" w:themeColor="text1"/>
                      <w:sz w:val="21"/>
                      <w:szCs w:val="21"/>
                    </w:rPr>
                  </w:pPr>
                </w:p>
              </w:tc>
              <w:tc>
                <w:tcPr>
                  <w:tcW w:w="1215" w:type="dxa"/>
                  <w:vAlign w:val="center"/>
                </w:tcPr>
                <w:p w14:paraId="2AD3B244">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污水处理站恶臭</w:t>
                  </w:r>
                </w:p>
              </w:tc>
              <w:tc>
                <w:tcPr>
                  <w:tcW w:w="3181" w:type="dxa"/>
                  <w:vAlign w:val="center"/>
                </w:tcPr>
                <w:p w14:paraId="166AAD6D">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采用一体化</w:t>
                  </w:r>
                  <w:r>
                    <w:rPr>
                      <w:rFonts w:ascii="Times New Roman" w:hAnsi="Times New Roman" w:cs="Times New Roman"/>
                      <w:color w:val="000000" w:themeColor="text1"/>
                      <w:sz w:val="21"/>
                      <w:szCs w:val="21"/>
                      <w:lang w:val="en-US"/>
                    </w:rPr>
                    <w:t>设备</w:t>
                  </w:r>
                  <w:r>
                    <w:rPr>
                      <w:rFonts w:ascii="Times New Roman" w:hAnsi="Times New Roman" w:cs="Times New Roman"/>
                      <w:color w:val="000000" w:themeColor="text1"/>
                      <w:sz w:val="21"/>
                      <w:szCs w:val="21"/>
                    </w:rPr>
                    <w:t>，</w:t>
                  </w:r>
                  <w:r>
                    <w:rPr>
                      <w:rFonts w:hint="eastAsia" w:ascii="Times New Roman" w:hAnsi="Times New Roman" w:cs="Times New Roman"/>
                      <w:color w:val="000000" w:themeColor="text1"/>
                      <w:sz w:val="21"/>
                      <w:szCs w:val="21"/>
                      <w:lang w:val="en-US"/>
                    </w:rPr>
                    <w:t>采用地埋式设计，</w:t>
                  </w:r>
                  <w:r>
                    <w:rPr>
                      <w:rFonts w:ascii="Times New Roman" w:hAnsi="Times New Roman" w:cs="Times New Roman"/>
                      <w:color w:val="000000" w:themeColor="text1"/>
                      <w:sz w:val="21"/>
                      <w:szCs w:val="21"/>
                    </w:rPr>
                    <w:t>全部设备为密闭结构</w:t>
                  </w:r>
                  <w:r>
                    <w:rPr>
                      <w:rFonts w:hint="eastAsia" w:ascii="Times New Roman" w:hAnsi="Times New Roman" w:cs="Times New Roman"/>
                      <w:color w:val="000000" w:themeColor="text1"/>
                      <w:sz w:val="21"/>
                      <w:szCs w:val="21"/>
                    </w:rPr>
                    <w:t>，</w:t>
                  </w:r>
                  <w:r>
                    <w:rPr>
                      <w:rFonts w:hint="eastAsia" w:ascii="Times New Roman" w:hAnsi="Times New Roman" w:cs="Times New Roman"/>
                      <w:color w:val="000000" w:themeColor="text1"/>
                      <w:sz w:val="21"/>
                      <w:szCs w:val="21"/>
                      <w:lang w:val="en-US"/>
                    </w:rPr>
                    <w:t>同时采用消佳净对地面进行消毒</w:t>
                  </w:r>
                </w:p>
              </w:tc>
              <w:tc>
                <w:tcPr>
                  <w:tcW w:w="3154" w:type="dxa"/>
                  <w:vAlign w:val="center"/>
                </w:tcPr>
                <w:p w14:paraId="158BF675">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执行《医疗机构水污染物排放标准》（GB</w:t>
                  </w:r>
                  <w:r>
                    <w:rPr>
                      <w:rFonts w:hint="eastAsia" w:ascii="Times New Roman" w:hAnsi="Times New Roman" w:cs="Times New Roman"/>
                      <w:color w:val="000000" w:themeColor="text1"/>
                      <w:sz w:val="21"/>
                      <w:szCs w:val="21"/>
                      <w:lang w:val="en-US"/>
                    </w:rPr>
                    <w:t xml:space="preserve"> </w:t>
                  </w:r>
                  <w:r>
                    <w:rPr>
                      <w:rFonts w:ascii="Times New Roman" w:hAnsi="Times New Roman" w:cs="Times New Roman"/>
                      <w:color w:val="000000" w:themeColor="text1"/>
                      <w:sz w:val="21"/>
                      <w:szCs w:val="21"/>
                    </w:rPr>
                    <w:t>18466-2005）表3中的标准限值</w:t>
                  </w:r>
                </w:p>
              </w:tc>
            </w:tr>
            <w:tr w14:paraId="4C16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68" w:type="dxa"/>
                  <w:vMerge w:val="continue"/>
                  <w:vAlign w:val="center"/>
                </w:tcPr>
                <w:p w14:paraId="3C8E970D">
                  <w:pPr>
                    <w:widowControl/>
                    <w:ind w:firstLine="440"/>
                    <w:jc w:val="center"/>
                    <w:rPr>
                      <w:rFonts w:ascii="Times New Roman" w:hAnsi="Times New Roman" w:cs="Times New Roman"/>
                      <w:color w:val="000000" w:themeColor="text1"/>
                      <w:sz w:val="21"/>
                      <w:szCs w:val="21"/>
                    </w:rPr>
                  </w:pPr>
                </w:p>
              </w:tc>
              <w:tc>
                <w:tcPr>
                  <w:tcW w:w="1215" w:type="dxa"/>
                  <w:vAlign w:val="center"/>
                </w:tcPr>
                <w:p w14:paraId="4545B520">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生活垃圾收集点恶臭</w:t>
                  </w:r>
                </w:p>
              </w:tc>
              <w:tc>
                <w:tcPr>
                  <w:tcW w:w="3181" w:type="dxa"/>
                  <w:vAlign w:val="center"/>
                </w:tcPr>
                <w:p w14:paraId="1E425994">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设置垃圾桶，对垃圾日清日运，派专人进行清扫，定期消毒，加强日常管理</w:t>
                  </w:r>
                </w:p>
              </w:tc>
              <w:tc>
                <w:tcPr>
                  <w:tcW w:w="3154" w:type="dxa"/>
                  <w:vAlign w:val="center"/>
                </w:tcPr>
                <w:p w14:paraId="72734B25">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对周围环境影响较小</w:t>
                  </w:r>
                </w:p>
              </w:tc>
            </w:tr>
            <w:tr w14:paraId="3599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68" w:type="dxa"/>
                  <w:vMerge w:val="continue"/>
                  <w:vAlign w:val="center"/>
                </w:tcPr>
                <w:p w14:paraId="1E555120">
                  <w:pPr>
                    <w:widowControl/>
                    <w:ind w:firstLine="440"/>
                    <w:jc w:val="center"/>
                    <w:rPr>
                      <w:rFonts w:ascii="Times New Roman" w:hAnsi="Times New Roman" w:cs="Times New Roman"/>
                      <w:color w:val="000000" w:themeColor="text1"/>
                      <w:sz w:val="21"/>
                      <w:szCs w:val="21"/>
                    </w:rPr>
                  </w:pPr>
                </w:p>
              </w:tc>
              <w:tc>
                <w:tcPr>
                  <w:tcW w:w="1215" w:type="dxa"/>
                  <w:vAlign w:val="center"/>
                </w:tcPr>
                <w:p w14:paraId="4A160341">
                  <w:pPr>
                    <w:widowControl/>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带菌废气</w:t>
                  </w:r>
                </w:p>
              </w:tc>
              <w:tc>
                <w:tcPr>
                  <w:tcW w:w="3181" w:type="dxa"/>
                  <w:vAlign w:val="center"/>
                </w:tcPr>
                <w:p w14:paraId="4987AB28">
                  <w:pPr>
                    <w:widowControl/>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对病房、科室等定期的消毒处理，设置通风排气设施，能有效减少空气中病菌含量</w:t>
                  </w:r>
                </w:p>
              </w:tc>
              <w:tc>
                <w:tcPr>
                  <w:tcW w:w="3154" w:type="dxa"/>
                  <w:vAlign w:val="center"/>
                </w:tcPr>
                <w:p w14:paraId="74BDEF80">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对周围环境影响较小</w:t>
                  </w:r>
                </w:p>
              </w:tc>
            </w:tr>
            <w:tr w14:paraId="2ED6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68" w:type="dxa"/>
                  <w:vMerge w:val="continue"/>
                  <w:vAlign w:val="center"/>
                </w:tcPr>
                <w:p w14:paraId="6E9C7B04">
                  <w:pPr>
                    <w:widowControl/>
                    <w:ind w:firstLine="440"/>
                    <w:jc w:val="center"/>
                    <w:rPr>
                      <w:rFonts w:ascii="Times New Roman" w:hAnsi="Times New Roman" w:cs="Times New Roman"/>
                      <w:color w:val="000000" w:themeColor="text1"/>
                      <w:sz w:val="21"/>
                      <w:szCs w:val="21"/>
                    </w:rPr>
                  </w:pPr>
                </w:p>
              </w:tc>
              <w:tc>
                <w:tcPr>
                  <w:tcW w:w="1215" w:type="dxa"/>
                  <w:vAlign w:val="center"/>
                </w:tcPr>
                <w:p w14:paraId="0428430A">
                  <w:pPr>
                    <w:widowControl/>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汽车尾气</w:t>
                  </w:r>
                </w:p>
              </w:tc>
              <w:tc>
                <w:tcPr>
                  <w:tcW w:w="3181" w:type="dxa"/>
                  <w:vAlign w:val="center"/>
                </w:tcPr>
                <w:p w14:paraId="17A09068">
                  <w:pPr>
                    <w:widowControl/>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停车场为地面停车位，周围有绿化，停车位较分散，启动时间较短，加强通风</w:t>
                  </w:r>
                </w:p>
              </w:tc>
              <w:tc>
                <w:tcPr>
                  <w:tcW w:w="3154" w:type="dxa"/>
                  <w:vAlign w:val="center"/>
                </w:tcPr>
                <w:p w14:paraId="05D09AFC">
                  <w:pPr>
                    <w:widowControl/>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对周围环境影响较小</w:t>
                  </w:r>
                </w:p>
              </w:tc>
            </w:tr>
            <w:tr w14:paraId="6E25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68" w:type="dxa"/>
                  <w:vMerge w:val="continue"/>
                  <w:vAlign w:val="center"/>
                </w:tcPr>
                <w:p w14:paraId="72541F2D">
                  <w:pPr>
                    <w:widowControl/>
                    <w:ind w:firstLine="440"/>
                    <w:jc w:val="center"/>
                    <w:rPr>
                      <w:rFonts w:ascii="Times New Roman" w:hAnsi="Times New Roman" w:cs="Times New Roman"/>
                      <w:color w:val="000000" w:themeColor="text1"/>
                      <w:sz w:val="21"/>
                      <w:szCs w:val="21"/>
                    </w:rPr>
                  </w:pPr>
                </w:p>
              </w:tc>
              <w:tc>
                <w:tcPr>
                  <w:tcW w:w="1215" w:type="dxa"/>
                  <w:vAlign w:val="center"/>
                </w:tcPr>
                <w:p w14:paraId="203CFE8E">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油烟废气</w:t>
                  </w:r>
                </w:p>
              </w:tc>
              <w:tc>
                <w:tcPr>
                  <w:tcW w:w="3181" w:type="dxa"/>
                  <w:vAlign w:val="center"/>
                </w:tcPr>
                <w:p w14:paraId="5EFE5524">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去除率不低于</w:t>
                  </w:r>
                  <w:r>
                    <w:rPr>
                      <w:rFonts w:ascii="Times New Roman" w:hAnsi="Times New Roman" w:cs="Times New Roman"/>
                      <w:color w:val="000000" w:themeColor="text1"/>
                      <w:sz w:val="21"/>
                      <w:szCs w:val="21"/>
                      <w:lang w:val="en-US"/>
                    </w:rPr>
                    <w:t>8</w:t>
                  </w:r>
                  <w:r>
                    <w:rPr>
                      <w:rFonts w:hint="eastAsia" w:ascii="Times New Roman" w:hAnsi="Times New Roman" w:cs="Times New Roman"/>
                      <w:color w:val="000000" w:themeColor="text1"/>
                      <w:sz w:val="21"/>
                      <w:szCs w:val="21"/>
                      <w:lang w:val="en-US"/>
                    </w:rPr>
                    <w:t>5</w:t>
                  </w:r>
                  <w:r>
                    <w:rPr>
                      <w:rFonts w:ascii="Times New Roman" w:hAnsi="Times New Roman" w:cs="Times New Roman"/>
                      <w:color w:val="000000" w:themeColor="text1"/>
                      <w:sz w:val="21"/>
                      <w:szCs w:val="21"/>
                    </w:rPr>
                    <w:t>%油烟净化器过滤后，经屋顶高空排放</w:t>
                  </w:r>
                </w:p>
              </w:tc>
              <w:tc>
                <w:tcPr>
                  <w:tcW w:w="3154" w:type="dxa"/>
                  <w:vAlign w:val="center"/>
                </w:tcPr>
                <w:p w14:paraId="5E1531D3">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《饮食业油烟排放标准（试行）》</w:t>
                  </w:r>
                  <w:r>
                    <w:rPr>
                      <w:rFonts w:hint="eastAsia"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GB</w:t>
                  </w:r>
                  <w:r>
                    <w:rPr>
                      <w:rFonts w:hint="eastAsia" w:ascii="Times New Roman" w:hAnsi="Times New Roman" w:cs="Times New Roman"/>
                      <w:color w:val="000000" w:themeColor="text1"/>
                      <w:sz w:val="21"/>
                      <w:szCs w:val="21"/>
                      <w:lang w:val="en-US"/>
                    </w:rPr>
                    <w:t xml:space="preserve"> </w:t>
                  </w:r>
                  <w:r>
                    <w:rPr>
                      <w:rFonts w:ascii="Times New Roman" w:hAnsi="Times New Roman" w:cs="Times New Roman"/>
                      <w:color w:val="000000" w:themeColor="text1"/>
                      <w:sz w:val="21"/>
                      <w:szCs w:val="21"/>
                    </w:rPr>
                    <w:t>18483-2001</w:t>
                  </w:r>
                  <w:r>
                    <w:rPr>
                      <w:rFonts w:hint="eastAsia" w:ascii="Times New Roman" w:hAnsi="Times New Roman" w:cs="Times New Roman"/>
                      <w:color w:val="000000" w:themeColor="text1"/>
                      <w:sz w:val="21"/>
                      <w:szCs w:val="21"/>
                    </w:rPr>
                    <w:t>）</w:t>
                  </w:r>
                </w:p>
              </w:tc>
            </w:tr>
            <w:tr w14:paraId="4748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68" w:type="dxa"/>
                  <w:vMerge w:val="restart"/>
                  <w:vAlign w:val="center"/>
                </w:tcPr>
                <w:p w14:paraId="280CF741">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废水</w:t>
                  </w:r>
                </w:p>
              </w:tc>
              <w:tc>
                <w:tcPr>
                  <w:tcW w:w="1215" w:type="dxa"/>
                  <w:vAlign w:val="center"/>
                </w:tcPr>
                <w:p w14:paraId="147653A7">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项目</w:t>
                  </w:r>
                  <w:r>
                    <w:rPr>
                      <w:rFonts w:hint="eastAsia" w:ascii="Times New Roman" w:hAnsi="Times New Roman" w:cs="Times New Roman"/>
                      <w:color w:val="000000" w:themeColor="text1"/>
                      <w:sz w:val="21"/>
                      <w:szCs w:val="21"/>
                      <w:lang w:val="en-US"/>
                    </w:rPr>
                    <w:t>医疗</w:t>
                  </w:r>
                  <w:r>
                    <w:rPr>
                      <w:rFonts w:ascii="Times New Roman" w:hAnsi="Times New Roman" w:cs="Times New Roman"/>
                      <w:color w:val="000000" w:themeColor="text1"/>
                      <w:sz w:val="21"/>
                      <w:szCs w:val="21"/>
                    </w:rPr>
                    <w:t>废水</w:t>
                  </w:r>
                </w:p>
              </w:tc>
              <w:tc>
                <w:tcPr>
                  <w:tcW w:w="3181" w:type="dxa"/>
                  <w:vAlign w:val="center"/>
                </w:tcPr>
                <w:p w14:paraId="1A73FBBF">
                  <w:pPr>
                    <w:widowControl/>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本项目传染性废水经传染病预处理设施（加氯消毒+脱氯工艺）处理后与业务综合楼废水一起排入综合污水处理站“格栅池→调节池→厌氧滤池→接触氧化池→二沉池→消毒池→脱氯池→排放工艺”处理后排入永福县益源污水处理厂处理</w:t>
                  </w:r>
                </w:p>
              </w:tc>
              <w:tc>
                <w:tcPr>
                  <w:tcW w:w="3154" w:type="dxa"/>
                  <w:vAlign w:val="center"/>
                </w:tcPr>
                <w:p w14:paraId="6E8D8C33">
                  <w:pP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rPr>
                    <w:t>综合污水站废水</w:t>
                  </w:r>
                  <w:r>
                    <w:rPr>
                      <w:rFonts w:ascii="Times New Roman" w:hAnsi="Times New Roman" w:cs="Times New Roman"/>
                      <w:color w:val="000000" w:themeColor="text1"/>
                      <w:sz w:val="21"/>
                      <w:szCs w:val="21"/>
                    </w:rPr>
                    <w:t>达到《医疗机构水污染物排放标准》（GB</w:t>
                  </w:r>
                  <w:r>
                    <w:rPr>
                      <w:rFonts w:hint="eastAsia" w:ascii="Times New Roman" w:hAnsi="Times New Roman" w:cs="Times New Roman"/>
                      <w:color w:val="000000" w:themeColor="text1"/>
                      <w:sz w:val="21"/>
                      <w:szCs w:val="21"/>
                      <w:lang w:val="en-US"/>
                    </w:rPr>
                    <w:t xml:space="preserve"> </w:t>
                  </w:r>
                  <w:r>
                    <w:rPr>
                      <w:rFonts w:ascii="Times New Roman" w:hAnsi="Times New Roman" w:cs="Times New Roman"/>
                      <w:color w:val="000000" w:themeColor="text1"/>
                      <w:sz w:val="21"/>
                      <w:szCs w:val="21"/>
                    </w:rPr>
                    <w:t>18466-2005）表2</w:t>
                  </w:r>
                  <w:r>
                    <w:rPr>
                      <w:rFonts w:hint="eastAsia" w:ascii="Times New Roman" w:hAnsi="Times New Roman" w:cs="Times New Roman"/>
                      <w:color w:val="000000" w:themeColor="text1"/>
                      <w:sz w:val="21"/>
                      <w:szCs w:val="21"/>
                    </w:rPr>
                    <w:t>预处理标准</w:t>
                  </w:r>
                </w:p>
              </w:tc>
            </w:tr>
            <w:tr w14:paraId="5E28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68" w:type="dxa"/>
                  <w:vMerge w:val="continue"/>
                  <w:vAlign w:val="center"/>
                </w:tcPr>
                <w:p w14:paraId="42A7C14E">
                  <w:pPr>
                    <w:widowControl/>
                    <w:jc w:val="center"/>
                    <w:rPr>
                      <w:rFonts w:ascii="Times New Roman" w:hAnsi="Times New Roman" w:cs="Times New Roman"/>
                      <w:color w:val="000000" w:themeColor="text1"/>
                      <w:sz w:val="21"/>
                      <w:szCs w:val="21"/>
                    </w:rPr>
                  </w:pPr>
                </w:p>
              </w:tc>
              <w:tc>
                <w:tcPr>
                  <w:tcW w:w="1215" w:type="dxa"/>
                  <w:vAlign w:val="center"/>
                </w:tcPr>
                <w:p w14:paraId="38AFA8E6">
                  <w:pPr>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食堂废水</w:t>
                  </w:r>
                </w:p>
              </w:tc>
              <w:tc>
                <w:tcPr>
                  <w:tcW w:w="3181" w:type="dxa"/>
                  <w:vAlign w:val="center"/>
                </w:tcPr>
                <w:p w14:paraId="45EF580C">
                  <w:pPr>
                    <w:widowControl/>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食堂废水依托原有项目隔油池+化粪池处理后，排入永福县益源污水处理厂</w:t>
                  </w:r>
                </w:p>
              </w:tc>
              <w:tc>
                <w:tcPr>
                  <w:tcW w:w="3154" w:type="dxa"/>
                  <w:vAlign w:val="center"/>
                </w:tcPr>
                <w:p w14:paraId="0A118BB2">
                  <w:pP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《污水综合排放标准》（GB 8978-1996）表4三级标准</w:t>
                  </w:r>
                </w:p>
              </w:tc>
            </w:tr>
            <w:tr w14:paraId="0B8E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68" w:type="dxa"/>
                  <w:vAlign w:val="center"/>
                </w:tcPr>
                <w:p w14:paraId="60923EEC">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噪声</w:t>
                  </w:r>
                </w:p>
              </w:tc>
              <w:tc>
                <w:tcPr>
                  <w:tcW w:w="1215" w:type="dxa"/>
                  <w:vAlign w:val="center"/>
                </w:tcPr>
                <w:p w14:paraId="6584C883">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设备噪声、人群活动的噪声</w:t>
                  </w:r>
                </w:p>
              </w:tc>
              <w:tc>
                <w:tcPr>
                  <w:tcW w:w="3181" w:type="dxa"/>
                  <w:vAlign w:val="center"/>
                </w:tcPr>
                <w:p w14:paraId="320D2F32">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合理进行平面布局；基础减振、加强保养、安装消声器。</w:t>
                  </w:r>
                </w:p>
              </w:tc>
              <w:tc>
                <w:tcPr>
                  <w:tcW w:w="3154" w:type="dxa"/>
                  <w:vAlign w:val="center"/>
                </w:tcPr>
                <w:p w14:paraId="3ED85054">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《工业企业厂界环境噪声排放标准》（GB</w:t>
                  </w:r>
                  <w:r>
                    <w:rPr>
                      <w:rFonts w:hint="eastAsia" w:ascii="Times New Roman" w:hAnsi="Times New Roman" w:cs="Times New Roman"/>
                      <w:color w:val="000000" w:themeColor="text1"/>
                      <w:sz w:val="21"/>
                      <w:szCs w:val="21"/>
                      <w:lang w:val="en-US"/>
                    </w:rPr>
                    <w:t xml:space="preserve"> </w:t>
                  </w:r>
                  <w:r>
                    <w:rPr>
                      <w:rFonts w:ascii="Times New Roman" w:hAnsi="Times New Roman" w:cs="Times New Roman"/>
                      <w:color w:val="000000" w:themeColor="text1"/>
                      <w:sz w:val="21"/>
                      <w:szCs w:val="21"/>
                    </w:rPr>
                    <w:t>12348-2008）2类</w:t>
                  </w:r>
                  <w:r>
                    <w:rPr>
                      <w:rStyle w:val="34"/>
                      <w:rFonts w:hint="eastAsia"/>
                      <w:color w:val="000000" w:themeColor="text1"/>
                    </w:rPr>
                    <w:t>、</w:t>
                  </w:r>
                  <w:r>
                    <w:rPr>
                      <w:rStyle w:val="34"/>
                      <w:rFonts w:hint="eastAsia"/>
                      <w:color w:val="000000" w:themeColor="text1"/>
                      <w:lang w:val="en-US"/>
                    </w:rPr>
                    <w:t>4类</w:t>
                  </w:r>
                  <w:r>
                    <w:rPr>
                      <w:rFonts w:ascii="Times New Roman" w:hAnsi="Times New Roman" w:cs="Times New Roman"/>
                      <w:color w:val="000000" w:themeColor="text1"/>
                      <w:sz w:val="21"/>
                      <w:szCs w:val="21"/>
                    </w:rPr>
                    <w:t>标准</w:t>
                  </w:r>
                </w:p>
              </w:tc>
            </w:tr>
            <w:tr w14:paraId="6090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68" w:type="dxa"/>
                  <w:vMerge w:val="restart"/>
                  <w:vAlign w:val="center"/>
                </w:tcPr>
                <w:p w14:paraId="75940C94">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固体废物</w:t>
                  </w:r>
                </w:p>
              </w:tc>
              <w:tc>
                <w:tcPr>
                  <w:tcW w:w="1215" w:type="dxa"/>
                  <w:vAlign w:val="center"/>
                </w:tcPr>
                <w:p w14:paraId="4BB3926F">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生活垃圾</w:t>
                  </w:r>
                </w:p>
              </w:tc>
              <w:tc>
                <w:tcPr>
                  <w:tcW w:w="3181" w:type="dxa"/>
                  <w:vAlign w:val="center"/>
                </w:tcPr>
                <w:p w14:paraId="43059227">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集中收集后运至附近垃圾转运点，由环卫部门统一处理</w:t>
                  </w:r>
                </w:p>
              </w:tc>
              <w:tc>
                <w:tcPr>
                  <w:tcW w:w="3154" w:type="dxa"/>
                  <w:vMerge w:val="restart"/>
                  <w:vAlign w:val="center"/>
                </w:tcPr>
                <w:p w14:paraId="47C4B63D">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《一般工业固体废物贮存和</w:t>
                  </w:r>
                  <w:r>
                    <w:rPr>
                      <w:rFonts w:hint="eastAsia" w:ascii="Times New Roman" w:hAnsi="Times New Roman" w:cs="Times New Roman"/>
                      <w:color w:val="000000" w:themeColor="text1"/>
                      <w:sz w:val="21"/>
                      <w:szCs w:val="21"/>
                      <w:lang w:val="en-US"/>
                    </w:rPr>
                    <w:t>填埋</w:t>
                  </w:r>
                  <w:r>
                    <w:rPr>
                      <w:rFonts w:ascii="Times New Roman" w:hAnsi="Times New Roman" w:cs="Times New Roman"/>
                      <w:color w:val="000000" w:themeColor="text1"/>
                      <w:sz w:val="21"/>
                      <w:szCs w:val="21"/>
                    </w:rPr>
                    <w:t>污染控制标准》（GB</w:t>
                  </w:r>
                  <w:r>
                    <w:rPr>
                      <w:rFonts w:hint="eastAsia" w:ascii="Times New Roman" w:hAnsi="Times New Roman" w:cs="Times New Roman"/>
                      <w:color w:val="000000" w:themeColor="text1"/>
                      <w:sz w:val="21"/>
                      <w:szCs w:val="21"/>
                      <w:lang w:val="en-US"/>
                    </w:rPr>
                    <w:t xml:space="preserve"> </w:t>
                  </w:r>
                  <w:r>
                    <w:rPr>
                      <w:rFonts w:ascii="Times New Roman" w:hAnsi="Times New Roman" w:cs="Times New Roman"/>
                      <w:color w:val="000000" w:themeColor="text1"/>
                      <w:sz w:val="21"/>
                      <w:szCs w:val="21"/>
                    </w:rPr>
                    <w:t>18599-2020）</w:t>
                  </w:r>
                </w:p>
              </w:tc>
            </w:tr>
            <w:tr w14:paraId="469C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68" w:type="dxa"/>
                  <w:vMerge w:val="continue"/>
                  <w:vAlign w:val="center"/>
                </w:tcPr>
                <w:p w14:paraId="1269CADE">
                  <w:pPr>
                    <w:widowControl/>
                    <w:jc w:val="center"/>
                    <w:rPr>
                      <w:rFonts w:ascii="Times New Roman" w:hAnsi="Times New Roman" w:cs="Times New Roman"/>
                      <w:color w:val="000000" w:themeColor="text1"/>
                      <w:sz w:val="21"/>
                      <w:szCs w:val="21"/>
                    </w:rPr>
                  </w:pPr>
                </w:p>
              </w:tc>
              <w:tc>
                <w:tcPr>
                  <w:tcW w:w="1215" w:type="dxa"/>
                  <w:vAlign w:val="center"/>
                </w:tcPr>
                <w:p w14:paraId="7F985806">
                  <w:pPr>
                    <w:widowControl/>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输液瓶</w:t>
                  </w:r>
                </w:p>
              </w:tc>
              <w:tc>
                <w:tcPr>
                  <w:tcW w:w="3181" w:type="dxa"/>
                  <w:vAlign w:val="center"/>
                </w:tcPr>
                <w:p w14:paraId="1275D2EC">
                  <w:pPr>
                    <w:widowControl/>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委托广西纳尔环保科技有限公司处理</w:t>
                  </w:r>
                </w:p>
              </w:tc>
              <w:tc>
                <w:tcPr>
                  <w:tcW w:w="3154" w:type="dxa"/>
                  <w:vMerge w:val="continue"/>
                  <w:vAlign w:val="center"/>
                </w:tcPr>
                <w:p w14:paraId="4D295B36">
                  <w:pPr>
                    <w:widowControl/>
                    <w:jc w:val="center"/>
                    <w:rPr>
                      <w:rFonts w:ascii="Times New Roman" w:hAnsi="Times New Roman" w:cs="Times New Roman"/>
                      <w:color w:val="000000" w:themeColor="text1"/>
                      <w:sz w:val="21"/>
                      <w:szCs w:val="21"/>
                    </w:rPr>
                  </w:pPr>
                </w:p>
              </w:tc>
            </w:tr>
            <w:tr w14:paraId="3A06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68" w:type="dxa"/>
                  <w:vMerge w:val="continue"/>
                  <w:vAlign w:val="center"/>
                </w:tcPr>
                <w:p w14:paraId="0EEE0847">
                  <w:pPr>
                    <w:widowControl/>
                    <w:ind w:firstLine="440"/>
                    <w:jc w:val="center"/>
                    <w:rPr>
                      <w:rFonts w:ascii="Times New Roman" w:hAnsi="Times New Roman" w:cs="Times New Roman"/>
                      <w:color w:val="000000" w:themeColor="text1"/>
                      <w:sz w:val="21"/>
                      <w:szCs w:val="21"/>
                    </w:rPr>
                  </w:pPr>
                </w:p>
              </w:tc>
              <w:tc>
                <w:tcPr>
                  <w:tcW w:w="1215" w:type="dxa"/>
                  <w:vAlign w:val="center"/>
                </w:tcPr>
                <w:p w14:paraId="5CC033A7">
                  <w:pPr>
                    <w:ind w:right="-102"/>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医疗废物</w:t>
                  </w:r>
                </w:p>
              </w:tc>
              <w:tc>
                <w:tcPr>
                  <w:tcW w:w="3181" w:type="dxa"/>
                  <w:vAlign w:val="center"/>
                </w:tcPr>
                <w:p w14:paraId="548A7FC8">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分类收集，暂存于危险废物暂存间，委托</w:t>
                  </w:r>
                  <w:r>
                    <w:rPr>
                      <w:rFonts w:hint="eastAsia" w:ascii="Times New Roman" w:hAnsi="Times New Roman" w:cs="Times New Roman"/>
                      <w:color w:val="000000" w:themeColor="text1"/>
                      <w:sz w:val="21"/>
                      <w:szCs w:val="21"/>
                    </w:rPr>
                    <w:t>桂林高能时代环境服务有限公司进行处置</w:t>
                  </w:r>
                </w:p>
              </w:tc>
              <w:tc>
                <w:tcPr>
                  <w:tcW w:w="3154" w:type="dxa"/>
                  <w:vMerge w:val="restart"/>
                  <w:vAlign w:val="center"/>
                </w:tcPr>
                <w:p w14:paraId="60550DFF">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kern w:val="2"/>
                      <w:sz w:val="21"/>
                      <w:szCs w:val="21"/>
                      <w:lang w:val="en-US" w:bidi="ar-SA"/>
                    </w:rPr>
                    <w:t>《危险废物贮存污染控制标准》（GB</w:t>
                  </w:r>
                  <w:r>
                    <w:rPr>
                      <w:rFonts w:hint="eastAsia" w:ascii="Times New Roman" w:hAnsi="Times New Roman" w:cs="Times New Roman"/>
                      <w:color w:val="000000" w:themeColor="text1"/>
                      <w:kern w:val="2"/>
                      <w:sz w:val="21"/>
                      <w:szCs w:val="21"/>
                      <w:lang w:val="en-US" w:bidi="ar-SA"/>
                    </w:rPr>
                    <w:t xml:space="preserve"> </w:t>
                  </w:r>
                  <w:r>
                    <w:rPr>
                      <w:rFonts w:ascii="Times New Roman" w:hAnsi="Times New Roman" w:cs="Times New Roman"/>
                      <w:color w:val="000000" w:themeColor="text1"/>
                      <w:kern w:val="2"/>
                      <w:sz w:val="21"/>
                      <w:szCs w:val="21"/>
                      <w:lang w:val="en-US" w:bidi="ar-SA"/>
                    </w:rPr>
                    <w:t>18597-20</w:t>
                  </w:r>
                  <w:r>
                    <w:rPr>
                      <w:rFonts w:hint="eastAsia" w:ascii="Times New Roman" w:hAnsi="Times New Roman" w:cs="Times New Roman"/>
                      <w:color w:val="000000" w:themeColor="text1"/>
                      <w:kern w:val="2"/>
                      <w:sz w:val="21"/>
                      <w:szCs w:val="21"/>
                      <w:lang w:val="en-US" w:bidi="ar-SA"/>
                    </w:rPr>
                    <w:t>23</w:t>
                  </w:r>
                  <w:r>
                    <w:rPr>
                      <w:rFonts w:ascii="Times New Roman" w:hAnsi="Times New Roman" w:cs="Times New Roman"/>
                      <w:color w:val="000000" w:themeColor="text1"/>
                      <w:kern w:val="2"/>
                      <w:sz w:val="21"/>
                      <w:szCs w:val="21"/>
                      <w:lang w:val="en-US" w:bidi="ar-SA"/>
                    </w:rPr>
                    <w:t>）</w:t>
                  </w:r>
                </w:p>
              </w:tc>
            </w:tr>
            <w:tr w14:paraId="1212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868" w:type="dxa"/>
                  <w:vMerge w:val="continue"/>
                  <w:vAlign w:val="center"/>
                </w:tcPr>
                <w:p w14:paraId="327A52D6">
                  <w:pPr>
                    <w:widowControl/>
                    <w:ind w:firstLine="440"/>
                    <w:jc w:val="center"/>
                    <w:rPr>
                      <w:rFonts w:ascii="Times New Roman" w:hAnsi="Times New Roman" w:cs="Times New Roman"/>
                      <w:color w:val="000000" w:themeColor="text1"/>
                      <w:sz w:val="21"/>
                      <w:szCs w:val="21"/>
                    </w:rPr>
                  </w:pPr>
                </w:p>
              </w:tc>
              <w:tc>
                <w:tcPr>
                  <w:tcW w:w="1215" w:type="dxa"/>
                  <w:vAlign w:val="center"/>
                </w:tcPr>
                <w:p w14:paraId="19C8B163">
                  <w:pPr>
                    <w:ind w:right="-102"/>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污水处理设施污泥</w:t>
                  </w:r>
                  <w:r>
                    <w:rPr>
                      <w:rFonts w:hint="eastAsia" w:ascii="Times New Roman" w:hAnsi="Times New Roman" w:cs="Times New Roman"/>
                      <w:color w:val="000000" w:themeColor="text1"/>
                      <w:sz w:val="21"/>
                      <w:szCs w:val="21"/>
                    </w:rPr>
                    <w:t>及格栅渣</w:t>
                  </w:r>
                </w:p>
              </w:tc>
              <w:tc>
                <w:tcPr>
                  <w:tcW w:w="3181" w:type="dxa"/>
                  <w:vAlign w:val="center"/>
                </w:tcPr>
                <w:p w14:paraId="4349EE0B">
                  <w:pPr>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委托桂林高能时代环境服务有限公司清理并直接运走处置，不在医院暂存</w:t>
                  </w:r>
                </w:p>
              </w:tc>
              <w:tc>
                <w:tcPr>
                  <w:tcW w:w="3154" w:type="dxa"/>
                  <w:vMerge w:val="continue"/>
                  <w:vAlign w:val="center"/>
                </w:tcPr>
                <w:p w14:paraId="063DF5FD">
                  <w:pPr>
                    <w:widowControl/>
                    <w:jc w:val="center"/>
                    <w:rPr>
                      <w:rFonts w:ascii="Times New Roman" w:hAnsi="Times New Roman" w:cs="Times New Roman"/>
                      <w:color w:val="000000" w:themeColor="text1"/>
                      <w:sz w:val="21"/>
                      <w:szCs w:val="21"/>
                    </w:rPr>
                  </w:pPr>
                </w:p>
              </w:tc>
            </w:tr>
          </w:tbl>
          <w:p w14:paraId="703063AD">
            <w:pPr>
              <w:rPr>
                <w:rFonts w:ascii="Times New Roman" w:hAnsi="Times New Roman"/>
                <w:color w:val="000000" w:themeColor="text1"/>
              </w:rPr>
            </w:pPr>
          </w:p>
          <w:p w14:paraId="0B6CD930">
            <w:pPr>
              <w:pStyle w:val="5"/>
              <w:rPr>
                <w:color w:val="000000" w:themeColor="text1"/>
                <w:lang w:val="en-US" w:bidi="ar-SA"/>
              </w:rPr>
            </w:pPr>
          </w:p>
        </w:tc>
      </w:tr>
    </w:tbl>
    <w:p w14:paraId="2387F9AE">
      <w:pPr>
        <w:rPr>
          <w:rFonts w:hint="eastAsia"/>
          <w:lang w:val="en-US"/>
        </w:rPr>
      </w:pPr>
    </w:p>
    <w:p w14:paraId="32823E3C">
      <w:pPr>
        <w:rPr>
          <w:rFonts w:hint="eastAsia"/>
          <w:lang w:val="en-US"/>
        </w:rPr>
      </w:pPr>
    </w:p>
    <w:p w14:paraId="499A5C36">
      <w:pPr>
        <w:rPr>
          <w:rFonts w:hint="eastAsia"/>
          <w:lang w:val="en-US"/>
        </w:rPr>
      </w:pPr>
    </w:p>
    <w:p w14:paraId="41D06A58">
      <w:pPr>
        <w:rPr>
          <w:rFonts w:hint="eastAsia"/>
          <w:lang w:val="en-US"/>
        </w:rPr>
      </w:pPr>
    </w:p>
    <w:p w14:paraId="738C8CEE">
      <w:pPr>
        <w:rPr>
          <w:rFonts w:hint="eastAsia"/>
          <w:lang w:val="en-US"/>
        </w:rPr>
      </w:pPr>
    </w:p>
    <w:p w14:paraId="720773EE">
      <w:pPr>
        <w:rPr>
          <w:rFonts w:hint="eastAsia"/>
          <w:lang w:val="en-US"/>
        </w:rPr>
      </w:pPr>
    </w:p>
    <w:p w14:paraId="22F759D7">
      <w:pPr>
        <w:rPr>
          <w:rFonts w:hint="eastAsia"/>
          <w:lang w:val="en-US"/>
        </w:rPr>
      </w:pPr>
    </w:p>
    <w:p w14:paraId="063E41A2">
      <w:pPr>
        <w:rPr>
          <w:rFonts w:hint="eastAsia"/>
          <w:lang w:val="en-US"/>
        </w:rPr>
      </w:pPr>
    </w:p>
    <w:p w14:paraId="1D68A3FE">
      <w:pPr>
        <w:rPr>
          <w:rFonts w:hint="eastAsia"/>
          <w:lang w:val="en-US"/>
        </w:rPr>
      </w:pPr>
    </w:p>
    <w:p w14:paraId="52680D55">
      <w:pPr>
        <w:rPr>
          <w:rFonts w:hint="eastAsia"/>
          <w:lang w:val="en-US"/>
        </w:rPr>
      </w:pPr>
    </w:p>
    <w:p w14:paraId="7CD44958">
      <w:pPr>
        <w:rPr>
          <w:rFonts w:hint="eastAsia"/>
          <w:lang w:val="en-US"/>
        </w:rPr>
      </w:pPr>
    </w:p>
    <w:p w14:paraId="770EC281">
      <w:pPr>
        <w:rPr>
          <w:rFonts w:hint="eastAsia"/>
          <w:lang w:val="en-US"/>
        </w:rPr>
      </w:pPr>
    </w:p>
    <w:p w14:paraId="0C48D3B7">
      <w:pPr>
        <w:rPr>
          <w:rFonts w:hint="eastAsia"/>
          <w:lang w:val="en-US"/>
        </w:rPr>
      </w:pPr>
    </w:p>
    <w:p w14:paraId="60EEC8E7">
      <w:pPr>
        <w:rPr>
          <w:rFonts w:hint="eastAsia"/>
          <w:lang w:val="en-US"/>
        </w:rPr>
      </w:pPr>
    </w:p>
    <w:p w14:paraId="439E3350">
      <w:pPr>
        <w:rPr>
          <w:rFonts w:hint="eastAsia"/>
          <w:lang w:val="en-US"/>
        </w:rPr>
      </w:pPr>
    </w:p>
    <w:p w14:paraId="27236565">
      <w:pPr>
        <w:rPr>
          <w:rFonts w:hint="eastAsia"/>
          <w:lang w:val="en-US"/>
        </w:rPr>
      </w:pPr>
    </w:p>
    <w:p w14:paraId="13F5ABA9">
      <w:pPr>
        <w:rPr>
          <w:rFonts w:hint="eastAsia"/>
          <w:lang w:val="en-US"/>
        </w:rPr>
      </w:pPr>
    </w:p>
    <w:p w14:paraId="52C72F4F">
      <w:pPr>
        <w:rPr>
          <w:rFonts w:hint="eastAsia"/>
          <w:lang w:val="en-US"/>
        </w:rPr>
      </w:pPr>
    </w:p>
    <w:p w14:paraId="3E6EDD64">
      <w:pPr>
        <w:rPr>
          <w:rFonts w:hint="eastAsia"/>
          <w:lang w:val="en-US"/>
        </w:rPr>
      </w:pPr>
    </w:p>
    <w:p w14:paraId="3E300A30">
      <w:pPr>
        <w:rPr>
          <w:rFonts w:hint="eastAsia"/>
          <w:lang w:val="en-US"/>
        </w:rPr>
      </w:pPr>
    </w:p>
    <w:p w14:paraId="5403AA81">
      <w:pPr>
        <w:rPr>
          <w:rFonts w:hint="eastAsia"/>
          <w:lang w:val="en-US"/>
        </w:rPr>
        <w:sectPr>
          <w:pgSz w:w="11910" w:h="16840"/>
          <w:pgMar w:top="1580" w:right="1300" w:bottom="1000" w:left="1300" w:header="0" w:footer="817" w:gutter="0"/>
          <w:cols w:space="720" w:num="1"/>
        </w:sectPr>
      </w:pPr>
    </w:p>
    <w:p w14:paraId="2BB0F340">
      <w:pPr>
        <w:rPr>
          <w:rFonts w:hint="eastAsia"/>
          <w:lang w:val="en-US"/>
        </w:rPr>
      </w:pPr>
    </w:p>
    <w:p w14:paraId="3E70B6AA">
      <w:pPr>
        <w:pStyle w:val="2"/>
        <w:ind w:left="0" w:right="0" w:firstLine="602"/>
        <w:rPr>
          <w:rFonts w:ascii="Times New Roman" w:hAnsi="Times New Roman" w:eastAsia="宋体" w:cs="Times New Roman"/>
          <w:b/>
          <w:bCs/>
          <w:sz w:val="30"/>
          <w:szCs w:val="30"/>
          <w:lang w:val="en-US"/>
        </w:rPr>
      </w:pPr>
      <w:r>
        <w:rPr>
          <w:rFonts w:ascii="Times New Roman" w:hAnsi="Times New Roman" w:eastAsia="宋体" w:cs="Times New Roman"/>
          <w:b/>
          <w:bCs/>
          <w:sz w:val="30"/>
          <w:szCs w:val="30"/>
          <w:lang w:val="en-US"/>
        </w:rPr>
        <w:t>五、环境保护措施监督检查清单</w:t>
      </w:r>
      <w:bookmarkEnd w:id="17"/>
      <w:bookmarkEnd w:id="18"/>
      <w:bookmarkEnd w:id="20"/>
    </w:p>
    <w:tbl>
      <w:tblPr>
        <w:tblStyle w:val="27"/>
        <w:tblW w:w="5186"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583"/>
        <w:gridCol w:w="2199"/>
        <w:gridCol w:w="2009"/>
        <w:gridCol w:w="1928"/>
        <w:gridCol w:w="1958"/>
      </w:tblGrid>
      <w:tr w14:paraId="6A548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18" w:type="pct"/>
            <w:tcBorders>
              <w:bottom w:val="single" w:color="000000" w:sz="4" w:space="0"/>
              <w:right w:val="single" w:color="000000" w:sz="4" w:space="0"/>
              <w:tl2br w:val="single" w:color="000000" w:sz="8" w:space="0"/>
            </w:tcBorders>
            <w:vAlign w:val="center"/>
          </w:tcPr>
          <w:p w14:paraId="051C7E7D">
            <w:pPr>
              <w:pStyle w:val="40"/>
              <w:jc w:val="right"/>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内容</w:t>
            </w:r>
          </w:p>
          <w:p w14:paraId="312D3603">
            <w:pPr>
              <w:pStyle w:val="40"/>
              <w:jc w:val="both"/>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要素</w:t>
            </w:r>
          </w:p>
        </w:tc>
        <w:tc>
          <w:tcPr>
            <w:tcW w:w="1136" w:type="pct"/>
            <w:tcBorders>
              <w:left w:val="single" w:color="000000" w:sz="4" w:space="0"/>
              <w:bottom w:val="single" w:color="000000" w:sz="4" w:space="0"/>
              <w:right w:val="single" w:color="000000" w:sz="4" w:space="0"/>
            </w:tcBorders>
            <w:vAlign w:val="center"/>
          </w:tcPr>
          <w:p w14:paraId="2E7DD833">
            <w:pPr>
              <w:pStyle w:val="4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排放口（编号、名称）/污染源</w:t>
            </w:r>
          </w:p>
        </w:tc>
        <w:tc>
          <w:tcPr>
            <w:tcW w:w="1038" w:type="pct"/>
            <w:tcBorders>
              <w:left w:val="single" w:color="000000" w:sz="4" w:space="0"/>
              <w:bottom w:val="single" w:color="000000" w:sz="4" w:space="0"/>
              <w:right w:val="single" w:color="000000" w:sz="4" w:space="0"/>
            </w:tcBorders>
            <w:vAlign w:val="center"/>
          </w:tcPr>
          <w:p w14:paraId="2CDBDE77">
            <w:pPr>
              <w:pStyle w:val="4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污染物项目</w:t>
            </w:r>
          </w:p>
        </w:tc>
        <w:tc>
          <w:tcPr>
            <w:tcW w:w="996" w:type="pct"/>
            <w:tcBorders>
              <w:left w:val="single" w:color="000000" w:sz="4" w:space="0"/>
              <w:bottom w:val="single" w:color="000000" w:sz="4" w:space="0"/>
              <w:right w:val="single" w:color="000000" w:sz="4" w:space="0"/>
            </w:tcBorders>
            <w:vAlign w:val="center"/>
          </w:tcPr>
          <w:p w14:paraId="09F24F14">
            <w:pPr>
              <w:pStyle w:val="4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环境保护措施</w:t>
            </w:r>
          </w:p>
        </w:tc>
        <w:tc>
          <w:tcPr>
            <w:tcW w:w="1011" w:type="pct"/>
            <w:tcBorders>
              <w:left w:val="single" w:color="000000" w:sz="4" w:space="0"/>
              <w:bottom w:val="single" w:color="000000" w:sz="4" w:space="0"/>
            </w:tcBorders>
            <w:vAlign w:val="center"/>
          </w:tcPr>
          <w:p w14:paraId="2FD06F8F">
            <w:pPr>
              <w:pStyle w:val="40"/>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执行标准</w:t>
            </w:r>
          </w:p>
        </w:tc>
      </w:tr>
      <w:tr w14:paraId="4B73A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18" w:type="pct"/>
            <w:vMerge w:val="restart"/>
            <w:tcBorders>
              <w:top w:val="single" w:color="000000" w:sz="4" w:space="0"/>
              <w:right w:val="single" w:color="000000" w:sz="4" w:space="0"/>
            </w:tcBorders>
            <w:vAlign w:val="center"/>
          </w:tcPr>
          <w:p w14:paraId="485BE4BB">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大气环境</w:t>
            </w:r>
          </w:p>
        </w:tc>
        <w:tc>
          <w:tcPr>
            <w:tcW w:w="1136" w:type="pct"/>
            <w:tcBorders>
              <w:top w:val="single" w:color="000000" w:sz="4" w:space="0"/>
              <w:left w:val="single" w:color="000000" w:sz="4" w:space="0"/>
              <w:bottom w:val="single" w:color="000000" w:sz="4" w:space="0"/>
              <w:right w:val="single" w:color="000000" w:sz="4" w:space="0"/>
            </w:tcBorders>
            <w:vAlign w:val="center"/>
          </w:tcPr>
          <w:p w14:paraId="0862B2E1">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pacing w:val="-4"/>
                <w:sz w:val="21"/>
                <w:szCs w:val="21"/>
                <w:lang w:val="en-US"/>
              </w:rPr>
              <w:t>污水处理站</w:t>
            </w:r>
          </w:p>
        </w:tc>
        <w:tc>
          <w:tcPr>
            <w:tcW w:w="1038" w:type="pct"/>
            <w:tcBorders>
              <w:top w:val="single" w:color="000000" w:sz="4" w:space="0"/>
              <w:left w:val="single" w:color="000000" w:sz="4" w:space="0"/>
              <w:bottom w:val="single" w:color="000000" w:sz="4" w:space="0"/>
              <w:right w:val="single" w:color="000000" w:sz="4" w:space="0"/>
            </w:tcBorders>
            <w:vAlign w:val="center"/>
          </w:tcPr>
          <w:p w14:paraId="4D750627">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H</w:t>
            </w:r>
            <w:r>
              <w:rPr>
                <w:rFonts w:ascii="Times New Roman" w:hAnsi="Times New Roman" w:cs="Times New Roman"/>
                <w:color w:val="000000" w:themeColor="text1"/>
                <w:sz w:val="21"/>
                <w:szCs w:val="21"/>
                <w:vertAlign w:val="subscript"/>
                <w:lang w:val="en-US"/>
              </w:rPr>
              <w:t>2</w:t>
            </w:r>
            <w:r>
              <w:rPr>
                <w:rFonts w:ascii="Times New Roman" w:hAnsi="Times New Roman" w:cs="Times New Roman"/>
                <w:color w:val="000000" w:themeColor="text1"/>
                <w:sz w:val="21"/>
                <w:szCs w:val="21"/>
                <w:lang w:val="en-US"/>
              </w:rPr>
              <w:t>S、NH</w:t>
            </w:r>
            <w:r>
              <w:rPr>
                <w:rFonts w:ascii="Times New Roman" w:hAnsi="Times New Roman" w:cs="Times New Roman"/>
                <w:color w:val="000000" w:themeColor="text1"/>
                <w:sz w:val="21"/>
                <w:szCs w:val="21"/>
                <w:vertAlign w:val="subscript"/>
                <w:lang w:val="en-US"/>
              </w:rPr>
              <w:t>3</w:t>
            </w:r>
            <w:r>
              <w:rPr>
                <w:rFonts w:hint="eastAsia" w:ascii="Times New Roman" w:hAnsi="Times New Roman" w:cs="Times New Roman"/>
                <w:color w:val="000000" w:themeColor="text1"/>
                <w:sz w:val="21"/>
                <w:szCs w:val="21"/>
                <w:lang w:val="en-US"/>
              </w:rPr>
              <w:t>、臭气浓度</w:t>
            </w:r>
          </w:p>
        </w:tc>
        <w:tc>
          <w:tcPr>
            <w:tcW w:w="996" w:type="pct"/>
            <w:tcBorders>
              <w:top w:val="single" w:color="000000" w:sz="4" w:space="0"/>
              <w:left w:val="single" w:color="000000" w:sz="4" w:space="0"/>
              <w:bottom w:val="single" w:color="000000" w:sz="4" w:space="0"/>
              <w:right w:val="single" w:color="000000" w:sz="4" w:space="0"/>
            </w:tcBorders>
            <w:vAlign w:val="center"/>
          </w:tcPr>
          <w:p w14:paraId="1D79EAA6">
            <w:pPr>
              <w:pStyle w:val="4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采用一体化设备，采用地埋式设计，全部设备为密闭结构，同时采用消佳净对地面进行消毒</w:t>
            </w:r>
          </w:p>
        </w:tc>
        <w:tc>
          <w:tcPr>
            <w:tcW w:w="1011" w:type="pct"/>
            <w:tcBorders>
              <w:top w:val="single" w:color="000000" w:sz="4" w:space="0"/>
              <w:left w:val="single" w:color="000000" w:sz="4" w:space="0"/>
            </w:tcBorders>
            <w:vAlign w:val="center"/>
          </w:tcPr>
          <w:p w14:paraId="692BAC08">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《医疗机构水污染物排放标准》（GB18466-2005）</w:t>
            </w:r>
          </w:p>
        </w:tc>
      </w:tr>
      <w:tr w14:paraId="6EEBC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18" w:type="pct"/>
            <w:vMerge w:val="continue"/>
            <w:tcBorders>
              <w:right w:val="single" w:color="000000" w:sz="4" w:space="0"/>
            </w:tcBorders>
            <w:vAlign w:val="center"/>
          </w:tcPr>
          <w:p w14:paraId="2E8AA86F">
            <w:pPr>
              <w:pStyle w:val="40"/>
              <w:jc w:val="center"/>
              <w:rPr>
                <w:rFonts w:ascii="Times New Roman" w:hAnsi="Times New Roman" w:cs="Times New Roman"/>
                <w:color w:val="000000" w:themeColor="text1"/>
                <w:sz w:val="21"/>
                <w:szCs w:val="21"/>
              </w:rPr>
            </w:pPr>
          </w:p>
        </w:tc>
        <w:tc>
          <w:tcPr>
            <w:tcW w:w="1136" w:type="pct"/>
            <w:tcBorders>
              <w:top w:val="single" w:color="000000" w:sz="4" w:space="0"/>
              <w:left w:val="single" w:color="000000" w:sz="4" w:space="0"/>
              <w:bottom w:val="single" w:color="000000" w:sz="4" w:space="0"/>
              <w:right w:val="single" w:color="000000" w:sz="4" w:space="0"/>
            </w:tcBorders>
            <w:vAlign w:val="center"/>
          </w:tcPr>
          <w:p w14:paraId="186C74BB">
            <w:pPr>
              <w:pStyle w:val="40"/>
              <w:jc w:val="center"/>
              <w:rPr>
                <w:rFonts w:ascii="Times New Roman" w:hAnsi="Times New Roman" w:cs="Times New Roman"/>
                <w:color w:val="000000" w:themeColor="text1"/>
                <w:spacing w:val="-4"/>
                <w:sz w:val="21"/>
                <w:szCs w:val="21"/>
                <w:lang w:val="en-US"/>
              </w:rPr>
            </w:pPr>
            <w:r>
              <w:rPr>
                <w:rFonts w:ascii="Times New Roman" w:hAnsi="Times New Roman" w:cs="Times New Roman"/>
                <w:color w:val="000000" w:themeColor="text1"/>
                <w:spacing w:val="-4"/>
                <w:sz w:val="21"/>
                <w:szCs w:val="21"/>
                <w:lang w:val="en-US"/>
              </w:rPr>
              <w:t>危险废物暂存间和生活垃圾暂存装置产生的恶臭</w:t>
            </w:r>
          </w:p>
        </w:tc>
        <w:tc>
          <w:tcPr>
            <w:tcW w:w="1038" w:type="pct"/>
            <w:tcBorders>
              <w:top w:val="single" w:color="000000" w:sz="4" w:space="0"/>
              <w:left w:val="single" w:color="000000" w:sz="4" w:space="0"/>
              <w:bottom w:val="single" w:color="000000" w:sz="4" w:space="0"/>
              <w:right w:val="single" w:color="000000" w:sz="4" w:space="0"/>
            </w:tcBorders>
            <w:vAlign w:val="center"/>
          </w:tcPr>
          <w:p w14:paraId="13C6EB93">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H</w:t>
            </w:r>
            <w:r>
              <w:rPr>
                <w:rFonts w:ascii="Times New Roman" w:hAnsi="Times New Roman" w:cs="Times New Roman"/>
                <w:color w:val="000000" w:themeColor="text1"/>
                <w:sz w:val="21"/>
                <w:szCs w:val="21"/>
                <w:vertAlign w:val="subscript"/>
                <w:lang w:val="en-US"/>
              </w:rPr>
              <w:t>2</w:t>
            </w:r>
            <w:r>
              <w:rPr>
                <w:rFonts w:ascii="Times New Roman" w:hAnsi="Times New Roman" w:cs="Times New Roman"/>
                <w:color w:val="000000" w:themeColor="text1"/>
                <w:sz w:val="21"/>
                <w:szCs w:val="21"/>
                <w:lang w:val="en-US"/>
              </w:rPr>
              <w:t>S、NH</w:t>
            </w:r>
            <w:r>
              <w:rPr>
                <w:rFonts w:ascii="Times New Roman" w:hAnsi="Times New Roman" w:cs="Times New Roman"/>
                <w:color w:val="000000" w:themeColor="text1"/>
                <w:sz w:val="21"/>
                <w:szCs w:val="21"/>
                <w:vertAlign w:val="subscript"/>
                <w:lang w:val="en-US"/>
              </w:rPr>
              <w:t>3</w:t>
            </w:r>
          </w:p>
        </w:tc>
        <w:tc>
          <w:tcPr>
            <w:tcW w:w="996" w:type="pct"/>
            <w:tcBorders>
              <w:top w:val="single" w:color="000000" w:sz="4" w:space="0"/>
              <w:left w:val="single" w:color="000000" w:sz="4" w:space="0"/>
              <w:bottom w:val="single" w:color="000000" w:sz="4" w:space="0"/>
              <w:right w:val="single" w:color="000000" w:sz="4" w:space="0"/>
            </w:tcBorders>
            <w:vAlign w:val="center"/>
          </w:tcPr>
          <w:p w14:paraId="51481E60">
            <w:pPr>
              <w:pStyle w:val="40"/>
              <w:jc w:val="center"/>
              <w:rPr>
                <w:rFonts w:ascii="Times New Roman" w:hAnsi="Times New Roman" w:cs="Times New Roman"/>
                <w:bCs/>
                <w:color w:val="000000" w:themeColor="text1"/>
                <w:sz w:val="21"/>
                <w:szCs w:val="21"/>
                <w:lang w:val="en-US" w:bidi="ar-SA"/>
              </w:rPr>
            </w:pPr>
            <w:r>
              <w:rPr>
                <w:rFonts w:ascii="Times New Roman" w:hAnsi="Times New Roman" w:cs="Times New Roman"/>
                <w:color w:val="000000" w:themeColor="text1"/>
                <w:sz w:val="21"/>
                <w:szCs w:val="21"/>
              </w:rPr>
              <w:t>定期进行消毒和清洁处理、及时清运</w:t>
            </w:r>
            <w:r>
              <w:rPr>
                <w:rFonts w:hint="eastAsia" w:ascii="Times New Roman" w:hAnsi="Times New Roman" w:cs="Times New Roman"/>
                <w:color w:val="000000" w:themeColor="text1"/>
                <w:sz w:val="21"/>
                <w:szCs w:val="21"/>
              </w:rPr>
              <w:t>，加强日常管理</w:t>
            </w:r>
          </w:p>
        </w:tc>
        <w:tc>
          <w:tcPr>
            <w:tcW w:w="1011" w:type="pct"/>
            <w:tcBorders>
              <w:top w:val="single" w:color="000000" w:sz="4" w:space="0"/>
              <w:left w:val="single" w:color="000000" w:sz="4" w:space="0"/>
            </w:tcBorders>
            <w:vAlign w:val="center"/>
          </w:tcPr>
          <w:p w14:paraId="56C216A6">
            <w:pPr>
              <w:pStyle w:val="40"/>
              <w:jc w:val="center"/>
              <w:rPr>
                <w:rFonts w:ascii="Times New Roman" w:hAnsi="Times New Roman"/>
                <w:bCs/>
                <w:color w:val="000000" w:themeColor="text1"/>
                <w:sz w:val="21"/>
                <w:szCs w:val="21"/>
                <w:lang w:val="en-US" w:bidi="ar"/>
              </w:rPr>
            </w:pPr>
            <w:r>
              <w:rPr>
                <w:rFonts w:ascii="Times New Roman" w:hAnsi="Times New Roman" w:cs="Times New Roman"/>
                <w:color w:val="000000" w:themeColor="text1"/>
                <w:sz w:val="21"/>
                <w:szCs w:val="21"/>
              </w:rPr>
              <w:t>《恶臭污染物排放标准》（GB14554-93）</w:t>
            </w:r>
          </w:p>
        </w:tc>
      </w:tr>
      <w:tr w14:paraId="5637B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18" w:type="pct"/>
            <w:vMerge w:val="continue"/>
            <w:tcBorders>
              <w:right w:val="single" w:color="000000" w:sz="4" w:space="0"/>
            </w:tcBorders>
            <w:vAlign w:val="center"/>
          </w:tcPr>
          <w:p w14:paraId="67235129">
            <w:pPr>
              <w:pStyle w:val="40"/>
              <w:jc w:val="center"/>
              <w:rPr>
                <w:rFonts w:ascii="Times New Roman" w:hAnsi="Times New Roman" w:cs="Times New Roman"/>
                <w:color w:val="000000" w:themeColor="text1"/>
                <w:sz w:val="21"/>
                <w:szCs w:val="21"/>
              </w:rPr>
            </w:pPr>
          </w:p>
        </w:tc>
        <w:tc>
          <w:tcPr>
            <w:tcW w:w="1136" w:type="pct"/>
            <w:tcBorders>
              <w:top w:val="single" w:color="000000" w:sz="4" w:space="0"/>
              <w:left w:val="single" w:color="000000" w:sz="4" w:space="0"/>
              <w:bottom w:val="single" w:color="000000" w:sz="4" w:space="0"/>
              <w:right w:val="single" w:color="000000" w:sz="4" w:space="0"/>
            </w:tcBorders>
            <w:vAlign w:val="center"/>
          </w:tcPr>
          <w:p w14:paraId="50ED7087">
            <w:pPr>
              <w:pStyle w:val="40"/>
              <w:jc w:val="center"/>
              <w:rPr>
                <w:rFonts w:ascii="Times New Roman" w:hAnsi="Times New Roman" w:cs="Times New Roman"/>
                <w:color w:val="000000" w:themeColor="text1"/>
                <w:spacing w:val="-4"/>
                <w:sz w:val="21"/>
                <w:szCs w:val="21"/>
                <w:lang w:val="en-US"/>
              </w:rPr>
            </w:pPr>
            <w:r>
              <w:rPr>
                <w:rFonts w:ascii="Times New Roman" w:hAnsi="Times New Roman" w:cs="Times New Roman"/>
                <w:color w:val="000000" w:themeColor="text1"/>
                <w:sz w:val="21"/>
                <w:szCs w:val="21"/>
              </w:rPr>
              <w:t>药物及试剂气味</w:t>
            </w:r>
          </w:p>
        </w:tc>
        <w:tc>
          <w:tcPr>
            <w:tcW w:w="1038" w:type="pct"/>
            <w:tcBorders>
              <w:top w:val="single" w:color="000000" w:sz="4" w:space="0"/>
              <w:left w:val="single" w:color="000000" w:sz="4" w:space="0"/>
              <w:bottom w:val="single" w:color="000000" w:sz="4" w:space="0"/>
              <w:right w:val="single" w:color="000000" w:sz="4" w:space="0"/>
            </w:tcBorders>
            <w:vAlign w:val="center"/>
          </w:tcPr>
          <w:p w14:paraId="4002D4B1">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异味</w:t>
            </w:r>
          </w:p>
        </w:tc>
        <w:tc>
          <w:tcPr>
            <w:tcW w:w="996" w:type="pct"/>
            <w:tcBorders>
              <w:top w:val="single" w:color="000000" w:sz="4" w:space="0"/>
              <w:left w:val="single" w:color="000000" w:sz="4" w:space="0"/>
              <w:bottom w:val="single" w:color="000000" w:sz="4" w:space="0"/>
              <w:right w:val="single" w:color="000000" w:sz="4" w:space="0"/>
            </w:tcBorders>
            <w:vAlign w:val="center"/>
          </w:tcPr>
          <w:p w14:paraId="47A6687C">
            <w:pPr>
              <w:pStyle w:val="40"/>
              <w:jc w:val="center"/>
              <w:rPr>
                <w:rFonts w:ascii="Times New Roman" w:hAnsi="Times New Roman" w:cs="Times New Roman"/>
                <w:bCs/>
                <w:color w:val="000000" w:themeColor="text1"/>
                <w:sz w:val="21"/>
                <w:szCs w:val="21"/>
                <w:lang w:val="en-US" w:bidi="ar-SA"/>
              </w:rPr>
            </w:pPr>
            <w:r>
              <w:rPr>
                <w:rFonts w:ascii="Times New Roman" w:hAnsi="Times New Roman" w:cs="Times New Roman"/>
                <w:color w:val="000000" w:themeColor="text1"/>
                <w:sz w:val="21"/>
                <w:szCs w:val="21"/>
              </w:rPr>
              <w:t>加强通风</w:t>
            </w:r>
          </w:p>
        </w:tc>
        <w:tc>
          <w:tcPr>
            <w:tcW w:w="1011" w:type="pct"/>
            <w:vMerge w:val="restart"/>
            <w:tcBorders>
              <w:top w:val="single" w:color="000000" w:sz="4" w:space="0"/>
              <w:left w:val="single" w:color="000000" w:sz="4" w:space="0"/>
            </w:tcBorders>
            <w:vAlign w:val="center"/>
          </w:tcPr>
          <w:p w14:paraId="5603433F">
            <w:pPr>
              <w:pStyle w:val="40"/>
              <w:jc w:val="center"/>
              <w:rPr>
                <w:rFonts w:ascii="Times New Roman" w:hAnsi="Times New Roman"/>
                <w:bCs/>
                <w:color w:val="000000" w:themeColor="text1"/>
                <w:sz w:val="21"/>
                <w:szCs w:val="21"/>
                <w:lang w:val="en-US" w:bidi="ar"/>
              </w:rPr>
            </w:pPr>
            <w:r>
              <w:rPr>
                <w:rFonts w:ascii="Times New Roman" w:hAnsi="Times New Roman" w:cs="Times New Roman"/>
                <w:color w:val="000000" w:themeColor="text1"/>
                <w:sz w:val="21"/>
                <w:szCs w:val="21"/>
              </w:rPr>
              <w:t>对环境影响较小</w:t>
            </w:r>
          </w:p>
        </w:tc>
      </w:tr>
      <w:tr w14:paraId="13C10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18" w:type="pct"/>
            <w:vMerge w:val="continue"/>
            <w:tcBorders>
              <w:right w:val="single" w:color="000000" w:sz="4" w:space="0"/>
            </w:tcBorders>
            <w:vAlign w:val="center"/>
          </w:tcPr>
          <w:p w14:paraId="339F7C11">
            <w:pPr>
              <w:pStyle w:val="40"/>
              <w:jc w:val="center"/>
              <w:rPr>
                <w:rFonts w:ascii="Times New Roman" w:hAnsi="Times New Roman" w:cs="Times New Roman"/>
                <w:color w:val="000000" w:themeColor="text1"/>
                <w:sz w:val="21"/>
                <w:szCs w:val="21"/>
              </w:rPr>
            </w:pPr>
          </w:p>
        </w:tc>
        <w:tc>
          <w:tcPr>
            <w:tcW w:w="1136" w:type="pct"/>
            <w:tcBorders>
              <w:top w:val="single" w:color="000000" w:sz="4" w:space="0"/>
              <w:left w:val="single" w:color="000000" w:sz="4" w:space="0"/>
              <w:bottom w:val="single" w:color="000000" w:sz="4" w:space="0"/>
              <w:right w:val="single" w:color="000000" w:sz="4" w:space="0"/>
            </w:tcBorders>
            <w:vAlign w:val="center"/>
          </w:tcPr>
          <w:p w14:paraId="0867577E">
            <w:pPr>
              <w:widowControl/>
              <w:jc w:val="center"/>
              <w:rPr>
                <w:rFonts w:ascii="Times New Roman" w:hAnsi="Times New Roman" w:cs="Times New Roman"/>
                <w:color w:val="000000" w:themeColor="text1"/>
                <w:spacing w:val="-4"/>
                <w:sz w:val="21"/>
                <w:szCs w:val="21"/>
                <w:lang w:val="en-US"/>
              </w:rPr>
            </w:pPr>
            <w:r>
              <w:rPr>
                <w:rFonts w:hint="eastAsia" w:ascii="Times New Roman" w:hAnsi="Times New Roman" w:cs="Times New Roman"/>
                <w:color w:val="000000" w:themeColor="text1"/>
                <w:sz w:val="21"/>
                <w:szCs w:val="21"/>
              </w:rPr>
              <w:t>带菌废气</w:t>
            </w:r>
          </w:p>
        </w:tc>
        <w:tc>
          <w:tcPr>
            <w:tcW w:w="1038" w:type="pct"/>
            <w:tcBorders>
              <w:top w:val="single" w:color="000000" w:sz="4" w:space="0"/>
              <w:left w:val="single" w:color="000000" w:sz="4" w:space="0"/>
              <w:bottom w:val="single" w:color="000000" w:sz="4" w:space="0"/>
              <w:right w:val="single" w:color="000000" w:sz="4" w:space="0"/>
            </w:tcBorders>
            <w:vAlign w:val="center"/>
          </w:tcPr>
          <w:p w14:paraId="7F9442E7">
            <w:pPr>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病菌，异味</w:t>
            </w:r>
          </w:p>
        </w:tc>
        <w:tc>
          <w:tcPr>
            <w:tcW w:w="996" w:type="pct"/>
            <w:tcBorders>
              <w:top w:val="single" w:color="000000" w:sz="4" w:space="0"/>
              <w:left w:val="single" w:color="000000" w:sz="4" w:space="0"/>
              <w:bottom w:val="single" w:color="000000" w:sz="4" w:space="0"/>
              <w:right w:val="single" w:color="000000" w:sz="4" w:space="0"/>
            </w:tcBorders>
            <w:vAlign w:val="center"/>
          </w:tcPr>
          <w:p w14:paraId="75D798B7">
            <w:pPr>
              <w:pStyle w:val="40"/>
              <w:jc w:val="center"/>
              <w:rPr>
                <w:rFonts w:ascii="Times New Roman" w:hAnsi="Times New Roman" w:cs="Times New Roman"/>
                <w:bCs/>
                <w:color w:val="000000" w:themeColor="text1"/>
                <w:sz w:val="21"/>
                <w:szCs w:val="21"/>
                <w:lang w:val="en-US" w:bidi="ar-SA"/>
              </w:rPr>
            </w:pPr>
            <w:r>
              <w:rPr>
                <w:rFonts w:hint="eastAsia" w:ascii="Times New Roman" w:hAnsi="Times New Roman" w:cs="Times New Roman"/>
                <w:color w:val="000000" w:themeColor="text1"/>
                <w:sz w:val="21"/>
                <w:szCs w:val="21"/>
              </w:rPr>
              <w:t>定期消毒，</w:t>
            </w:r>
            <w:r>
              <w:rPr>
                <w:rFonts w:ascii="Times New Roman" w:hAnsi="Times New Roman" w:cs="Times New Roman"/>
                <w:color w:val="000000" w:themeColor="text1"/>
                <w:sz w:val="21"/>
                <w:szCs w:val="21"/>
              </w:rPr>
              <w:t>加强通风</w:t>
            </w:r>
          </w:p>
        </w:tc>
        <w:tc>
          <w:tcPr>
            <w:tcW w:w="1011" w:type="pct"/>
            <w:vMerge w:val="continue"/>
            <w:tcBorders>
              <w:left w:val="single" w:color="000000" w:sz="4" w:space="0"/>
            </w:tcBorders>
            <w:vAlign w:val="center"/>
          </w:tcPr>
          <w:p w14:paraId="6B0AADF9">
            <w:pPr>
              <w:pStyle w:val="40"/>
              <w:jc w:val="center"/>
              <w:rPr>
                <w:rFonts w:ascii="Times New Roman" w:hAnsi="Times New Roman"/>
                <w:bCs/>
                <w:color w:val="000000" w:themeColor="text1"/>
                <w:sz w:val="21"/>
                <w:szCs w:val="21"/>
                <w:lang w:val="en-US" w:bidi="ar"/>
              </w:rPr>
            </w:pPr>
          </w:p>
        </w:tc>
      </w:tr>
      <w:tr w14:paraId="6ECD1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18" w:type="pct"/>
            <w:vMerge w:val="continue"/>
            <w:tcBorders>
              <w:right w:val="single" w:color="000000" w:sz="4" w:space="0"/>
            </w:tcBorders>
            <w:vAlign w:val="center"/>
          </w:tcPr>
          <w:p w14:paraId="707437A9">
            <w:pPr>
              <w:pStyle w:val="40"/>
              <w:jc w:val="center"/>
              <w:rPr>
                <w:rFonts w:ascii="Times New Roman" w:hAnsi="Times New Roman" w:cs="Times New Roman"/>
                <w:color w:val="000000" w:themeColor="text1"/>
                <w:sz w:val="21"/>
                <w:szCs w:val="21"/>
              </w:rPr>
            </w:pPr>
          </w:p>
        </w:tc>
        <w:tc>
          <w:tcPr>
            <w:tcW w:w="1136" w:type="pct"/>
            <w:tcBorders>
              <w:top w:val="single" w:color="000000" w:sz="4" w:space="0"/>
              <w:left w:val="single" w:color="000000" w:sz="4" w:space="0"/>
              <w:bottom w:val="single" w:color="000000" w:sz="4" w:space="0"/>
              <w:right w:val="single" w:color="000000" w:sz="4" w:space="0"/>
            </w:tcBorders>
            <w:vAlign w:val="center"/>
          </w:tcPr>
          <w:p w14:paraId="35884DEC">
            <w:pPr>
              <w:widowControl/>
              <w:jc w:val="center"/>
              <w:rPr>
                <w:rFonts w:ascii="Times New Roman" w:hAnsi="Times New Roman" w:cs="Times New Roman"/>
                <w:color w:val="000000" w:themeColor="text1"/>
                <w:spacing w:val="-4"/>
                <w:sz w:val="21"/>
                <w:szCs w:val="21"/>
                <w:lang w:val="en-US"/>
              </w:rPr>
            </w:pPr>
            <w:r>
              <w:rPr>
                <w:rFonts w:hint="eastAsia" w:ascii="Times New Roman" w:hAnsi="Times New Roman" w:cs="Times New Roman"/>
                <w:color w:val="000000" w:themeColor="text1"/>
                <w:spacing w:val="-4"/>
                <w:sz w:val="21"/>
                <w:szCs w:val="21"/>
                <w:lang w:val="en-US"/>
              </w:rPr>
              <w:t>停车场</w:t>
            </w:r>
          </w:p>
        </w:tc>
        <w:tc>
          <w:tcPr>
            <w:tcW w:w="1038" w:type="pct"/>
            <w:tcBorders>
              <w:top w:val="single" w:color="000000" w:sz="4" w:space="0"/>
              <w:left w:val="single" w:color="000000" w:sz="4" w:space="0"/>
              <w:bottom w:val="single" w:color="000000" w:sz="4" w:space="0"/>
              <w:right w:val="single" w:color="000000" w:sz="4" w:space="0"/>
            </w:tcBorders>
            <w:vAlign w:val="center"/>
          </w:tcPr>
          <w:p w14:paraId="49223691">
            <w:pPr>
              <w:jc w:val="center"/>
              <w:rPr>
                <w:rFonts w:ascii="Times New Roman" w:hAnsi="Times New Roman" w:cs="Times New Roman"/>
                <w:color w:val="000000" w:themeColor="text1"/>
                <w:sz w:val="21"/>
                <w:szCs w:val="21"/>
                <w:lang w:val="en-US"/>
              </w:rPr>
            </w:pPr>
            <w:r>
              <w:rPr>
                <w:rFonts w:ascii="Times New Roman" w:hAnsi="Times New Roman" w:cs="Times New Roman" w:eastAsiaTheme="minorEastAsia"/>
                <w:color w:val="000000" w:themeColor="text1"/>
                <w:sz w:val="21"/>
                <w:szCs w:val="21"/>
                <w:lang w:val="en-US"/>
              </w:rPr>
              <w:t>HC、CO 、NO</w:t>
            </w:r>
            <w:r>
              <w:rPr>
                <w:rFonts w:ascii="Times New Roman" w:hAnsi="Times New Roman" w:cs="Times New Roman" w:eastAsiaTheme="minorEastAsia"/>
                <w:color w:val="000000" w:themeColor="text1"/>
                <w:sz w:val="21"/>
                <w:szCs w:val="21"/>
                <w:vertAlign w:val="subscript"/>
                <w:lang w:val="en-US"/>
              </w:rPr>
              <w:t>X</w:t>
            </w:r>
          </w:p>
        </w:tc>
        <w:tc>
          <w:tcPr>
            <w:tcW w:w="996" w:type="pct"/>
            <w:tcBorders>
              <w:top w:val="single" w:color="000000" w:sz="4" w:space="0"/>
              <w:left w:val="single" w:color="000000" w:sz="4" w:space="0"/>
              <w:bottom w:val="single" w:color="000000" w:sz="4" w:space="0"/>
              <w:right w:val="single" w:color="000000" w:sz="4" w:space="0"/>
            </w:tcBorders>
            <w:vAlign w:val="center"/>
          </w:tcPr>
          <w:p w14:paraId="40943EBA">
            <w:pPr>
              <w:jc w:val="center"/>
              <w:rPr>
                <w:rFonts w:ascii="Times New Roman" w:hAnsi="Times New Roman" w:cs="Times New Roman"/>
                <w:bCs/>
                <w:color w:val="000000" w:themeColor="text1"/>
                <w:sz w:val="21"/>
                <w:szCs w:val="21"/>
                <w:lang w:val="en-US" w:bidi="ar-SA"/>
              </w:rPr>
            </w:pPr>
            <w:r>
              <w:rPr>
                <w:rFonts w:hint="eastAsia" w:ascii="Times New Roman" w:hAnsi="Times New Roman" w:cs="Times New Roman"/>
                <w:bCs/>
                <w:color w:val="000000" w:themeColor="text1"/>
                <w:sz w:val="21"/>
                <w:szCs w:val="21"/>
                <w:lang w:val="en-US" w:bidi="ar-SA"/>
              </w:rPr>
              <w:t>停车场为地面停车位，周围有绿化，停车位较分散，启动时间较短，加强通风</w:t>
            </w:r>
          </w:p>
        </w:tc>
        <w:tc>
          <w:tcPr>
            <w:tcW w:w="1011" w:type="pct"/>
            <w:vMerge w:val="continue"/>
            <w:tcBorders>
              <w:left w:val="single" w:color="000000" w:sz="4" w:space="0"/>
            </w:tcBorders>
            <w:vAlign w:val="center"/>
          </w:tcPr>
          <w:p w14:paraId="12374E8C">
            <w:pPr>
              <w:pStyle w:val="40"/>
              <w:jc w:val="center"/>
              <w:rPr>
                <w:rFonts w:ascii="Times New Roman" w:hAnsi="Times New Roman"/>
                <w:bCs/>
                <w:color w:val="000000" w:themeColor="text1"/>
                <w:sz w:val="21"/>
                <w:szCs w:val="21"/>
                <w:lang w:val="en-US" w:bidi="ar"/>
              </w:rPr>
            </w:pPr>
          </w:p>
        </w:tc>
      </w:tr>
      <w:tr w14:paraId="2B8BF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18" w:type="pct"/>
            <w:vMerge w:val="continue"/>
            <w:tcBorders>
              <w:bottom w:val="single" w:color="000000" w:sz="4" w:space="0"/>
              <w:right w:val="single" w:color="000000" w:sz="4" w:space="0"/>
            </w:tcBorders>
            <w:vAlign w:val="center"/>
          </w:tcPr>
          <w:p w14:paraId="4CEC693B">
            <w:pPr>
              <w:pStyle w:val="40"/>
              <w:jc w:val="center"/>
              <w:rPr>
                <w:rFonts w:ascii="Times New Roman" w:hAnsi="Times New Roman" w:cs="Times New Roman"/>
                <w:color w:val="000000" w:themeColor="text1"/>
                <w:sz w:val="21"/>
                <w:szCs w:val="21"/>
              </w:rPr>
            </w:pPr>
          </w:p>
        </w:tc>
        <w:tc>
          <w:tcPr>
            <w:tcW w:w="1136" w:type="pct"/>
            <w:tcBorders>
              <w:top w:val="single" w:color="000000" w:sz="4" w:space="0"/>
              <w:left w:val="single" w:color="000000" w:sz="4" w:space="0"/>
              <w:bottom w:val="single" w:color="000000" w:sz="4" w:space="0"/>
              <w:right w:val="single" w:color="000000" w:sz="4" w:space="0"/>
            </w:tcBorders>
            <w:vAlign w:val="center"/>
          </w:tcPr>
          <w:p w14:paraId="248DC9B0">
            <w:pPr>
              <w:pStyle w:val="40"/>
              <w:jc w:val="center"/>
              <w:rPr>
                <w:rFonts w:ascii="Times New Roman" w:hAnsi="Times New Roman" w:cs="Times New Roman"/>
                <w:color w:val="000000" w:themeColor="text1"/>
                <w:spacing w:val="-4"/>
                <w:sz w:val="21"/>
                <w:szCs w:val="21"/>
                <w:lang w:val="en-US"/>
              </w:rPr>
            </w:pPr>
            <w:r>
              <w:rPr>
                <w:rFonts w:ascii="Times New Roman" w:hAnsi="Times New Roman" w:cs="Times New Roman"/>
                <w:sz w:val="21"/>
                <w:szCs w:val="21"/>
                <w:lang w:val="en-US"/>
              </w:rPr>
              <w:t>食堂油烟</w:t>
            </w:r>
          </w:p>
        </w:tc>
        <w:tc>
          <w:tcPr>
            <w:tcW w:w="1038" w:type="pct"/>
            <w:tcBorders>
              <w:top w:val="single" w:color="000000" w:sz="4" w:space="0"/>
              <w:left w:val="single" w:color="000000" w:sz="4" w:space="0"/>
              <w:bottom w:val="single" w:color="000000" w:sz="4" w:space="0"/>
              <w:right w:val="single" w:color="000000" w:sz="4" w:space="0"/>
            </w:tcBorders>
            <w:vAlign w:val="center"/>
          </w:tcPr>
          <w:p w14:paraId="6E7F22D3">
            <w:pPr>
              <w:jc w:val="center"/>
              <w:rPr>
                <w:rFonts w:ascii="Times New Roman" w:hAnsi="Times New Roman" w:cs="Times New Roman" w:eastAsiaTheme="minorEastAsia"/>
                <w:color w:val="000000" w:themeColor="text1"/>
                <w:sz w:val="21"/>
                <w:szCs w:val="21"/>
                <w:lang w:val="en-US"/>
              </w:rPr>
            </w:pPr>
            <w:r>
              <w:rPr>
                <w:rFonts w:hint="eastAsia" w:ascii="Times New Roman" w:hAnsi="Times New Roman" w:cs="Times New Roman"/>
                <w:sz w:val="21"/>
                <w:szCs w:val="21"/>
                <w:lang w:val="en-US"/>
              </w:rPr>
              <w:t>油烟废气</w:t>
            </w:r>
          </w:p>
        </w:tc>
        <w:tc>
          <w:tcPr>
            <w:tcW w:w="996" w:type="pct"/>
            <w:tcBorders>
              <w:top w:val="single" w:color="000000" w:sz="4" w:space="0"/>
              <w:left w:val="single" w:color="000000" w:sz="4" w:space="0"/>
              <w:bottom w:val="single" w:color="000000" w:sz="4" w:space="0"/>
              <w:right w:val="single" w:color="000000" w:sz="4" w:space="0"/>
            </w:tcBorders>
            <w:vAlign w:val="center"/>
          </w:tcPr>
          <w:p w14:paraId="1E67FA35">
            <w:pPr>
              <w:jc w:val="center"/>
              <w:rPr>
                <w:rFonts w:ascii="Times New Roman" w:hAnsi="Times New Roman" w:cs="Times New Roman"/>
                <w:bCs/>
                <w:color w:val="000000" w:themeColor="text1"/>
                <w:sz w:val="21"/>
                <w:szCs w:val="21"/>
                <w:lang w:val="en-US" w:bidi="ar-SA"/>
              </w:rPr>
            </w:pPr>
            <w:r>
              <w:rPr>
                <w:rFonts w:ascii="Times New Roman" w:hAnsi="Times New Roman" w:cs="Times New Roman"/>
                <w:sz w:val="21"/>
                <w:szCs w:val="21"/>
              </w:rPr>
              <w:t>去除率不低于</w:t>
            </w:r>
            <w:r>
              <w:rPr>
                <w:rFonts w:ascii="Times New Roman" w:hAnsi="Times New Roman" w:cs="Times New Roman"/>
                <w:sz w:val="21"/>
                <w:szCs w:val="21"/>
                <w:lang w:val="en-US"/>
              </w:rPr>
              <w:t>8</w:t>
            </w:r>
            <w:r>
              <w:rPr>
                <w:rFonts w:hint="eastAsia" w:ascii="Times New Roman" w:hAnsi="Times New Roman" w:cs="Times New Roman"/>
                <w:sz w:val="21"/>
                <w:szCs w:val="21"/>
                <w:lang w:val="en-US"/>
              </w:rPr>
              <w:t>5</w:t>
            </w:r>
            <w:r>
              <w:rPr>
                <w:rFonts w:ascii="Times New Roman" w:hAnsi="Times New Roman" w:cs="Times New Roman"/>
                <w:sz w:val="21"/>
                <w:szCs w:val="21"/>
              </w:rPr>
              <w:t>%油烟净化器过滤后，经屋顶高空排放</w:t>
            </w:r>
          </w:p>
        </w:tc>
        <w:tc>
          <w:tcPr>
            <w:tcW w:w="1011" w:type="pct"/>
            <w:tcBorders>
              <w:left w:val="single" w:color="000000" w:sz="4" w:space="0"/>
            </w:tcBorders>
            <w:vAlign w:val="center"/>
          </w:tcPr>
          <w:p w14:paraId="15F678FB">
            <w:pPr>
              <w:pStyle w:val="40"/>
              <w:jc w:val="center"/>
              <w:rPr>
                <w:rFonts w:ascii="Times New Roman" w:hAnsi="Times New Roman"/>
                <w:bCs/>
                <w:color w:val="000000" w:themeColor="text1"/>
                <w:sz w:val="21"/>
                <w:szCs w:val="21"/>
                <w:lang w:val="en-US" w:bidi="ar"/>
              </w:rPr>
            </w:pPr>
            <w:r>
              <w:rPr>
                <w:rFonts w:ascii="Times New Roman" w:hAnsi="Times New Roman" w:cs="Times New Roman"/>
                <w:sz w:val="21"/>
                <w:szCs w:val="21"/>
              </w:rPr>
              <w:t>《饮食业油烟排放标准（试行）》</w:t>
            </w:r>
            <w:r>
              <w:rPr>
                <w:rFonts w:hint="eastAsia" w:ascii="Times New Roman" w:hAnsi="Times New Roman" w:cs="Times New Roman"/>
                <w:sz w:val="21"/>
                <w:szCs w:val="21"/>
              </w:rPr>
              <w:t>（</w:t>
            </w:r>
            <w:r>
              <w:rPr>
                <w:rFonts w:ascii="Times New Roman" w:hAnsi="Times New Roman" w:cs="Times New Roman"/>
                <w:sz w:val="21"/>
                <w:szCs w:val="21"/>
              </w:rPr>
              <w:t>GB18483-2001</w:t>
            </w:r>
            <w:r>
              <w:rPr>
                <w:rFonts w:hint="eastAsia" w:ascii="Times New Roman" w:hAnsi="Times New Roman" w:cs="Times New Roman"/>
                <w:sz w:val="21"/>
                <w:szCs w:val="21"/>
              </w:rPr>
              <w:t>）</w:t>
            </w:r>
          </w:p>
        </w:tc>
      </w:tr>
      <w:tr w14:paraId="5221E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4" w:hRule="atLeast"/>
          <w:jc w:val="center"/>
        </w:trPr>
        <w:tc>
          <w:tcPr>
            <w:tcW w:w="818" w:type="pct"/>
            <w:vMerge w:val="restart"/>
            <w:tcBorders>
              <w:top w:val="single" w:color="000000" w:sz="4" w:space="0"/>
              <w:right w:val="single" w:color="000000" w:sz="4" w:space="0"/>
            </w:tcBorders>
            <w:vAlign w:val="center"/>
          </w:tcPr>
          <w:p w14:paraId="32C53D6B">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地表水环境</w:t>
            </w:r>
          </w:p>
        </w:tc>
        <w:tc>
          <w:tcPr>
            <w:tcW w:w="1136" w:type="pct"/>
            <w:tcBorders>
              <w:top w:val="single" w:color="000000" w:sz="4" w:space="0"/>
              <w:left w:val="single" w:color="000000" w:sz="4" w:space="0"/>
              <w:right w:val="single" w:color="000000" w:sz="4" w:space="0"/>
            </w:tcBorders>
            <w:vAlign w:val="center"/>
          </w:tcPr>
          <w:p w14:paraId="53D20B56">
            <w:pPr>
              <w:pStyle w:val="40"/>
              <w:jc w:val="center"/>
              <w:rPr>
                <w:rFonts w:ascii="Times New Roman" w:hAnsi="Times New Roman" w:cs="Times New Roman"/>
                <w:color w:val="000000" w:themeColor="text1"/>
                <w:sz w:val="21"/>
                <w:szCs w:val="21"/>
                <w:lang w:val="en-US"/>
              </w:rPr>
            </w:pPr>
            <w:r>
              <w:rPr>
                <w:rFonts w:ascii="Times New Roman" w:hAnsi="Times New Roman" w:cs="Times New Roman" w:eastAsiaTheme="minorEastAsia"/>
                <w:color w:val="000000" w:themeColor="text1"/>
                <w:sz w:val="21"/>
                <w:szCs w:val="21"/>
                <w:lang w:val="en-US"/>
              </w:rPr>
              <w:t>D</w:t>
            </w:r>
            <w:r>
              <w:rPr>
                <w:rFonts w:hint="eastAsia" w:ascii="Times New Roman" w:hAnsi="Times New Roman" w:cs="Times New Roman" w:eastAsiaTheme="minorEastAsia"/>
                <w:color w:val="000000" w:themeColor="text1"/>
                <w:sz w:val="21"/>
                <w:szCs w:val="21"/>
                <w:lang w:val="en-US"/>
              </w:rPr>
              <w:t>W</w:t>
            </w:r>
            <w:r>
              <w:rPr>
                <w:rFonts w:ascii="Times New Roman" w:hAnsi="Times New Roman" w:cs="Times New Roman" w:eastAsiaTheme="minorEastAsia"/>
                <w:color w:val="000000" w:themeColor="text1"/>
                <w:sz w:val="21"/>
                <w:szCs w:val="21"/>
                <w:lang w:val="en-US"/>
              </w:rPr>
              <w:t>001</w:t>
            </w:r>
            <w:r>
              <w:rPr>
                <w:rFonts w:hint="eastAsia" w:ascii="Times New Roman" w:hAnsi="Times New Roman" w:cs="Times New Roman" w:eastAsiaTheme="minorEastAsia"/>
                <w:color w:val="000000" w:themeColor="text1"/>
                <w:sz w:val="21"/>
                <w:szCs w:val="21"/>
                <w:lang w:val="en-US"/>
              </w:rPr>
              <w:t>综合</w:t>
            </w:r>
            <w:r>
              <w:rPr>
                <w:rFonts w:ascii="Times New Roman" w:hAnsi="Times New Roman" w:cs="Times New Roman" w:eastAsiaTheme="minorEastAsia"/>
                <w:color w:val="000000" w:themeColor="text1"/>
                <w:sz w:val="21"/>
                <w:szCs w:val="21"/>
                <w:lang w:val="en-US"/>
              </w:rPr>
              <w:t>污水</w:t>
            </w:r>
            <w:r>
              <w:rPr>
                <w:rFonts w:hint="eastAsia" w:ascii="Times New Roman" w:hAnsi="Times New Roman" w:cs="Times New Roman" w:eastAsiaTheme="minorEastAsia"/>
                <w:color w:val="000000" w:themeColor="text1"/>
                <w:sz w:val="21"/>
                <w:szCs w:val="21"/>
                <w:lang w:val="en-US"/>
              </w:rPr>
              <w:t>处理站</w:t>
            </w:r>
            <w:r>
              <w:rPr>
                <w:rFonts w:ascii="Times New Roman" w:hAnsi="Times New Roman" w:cs="Times New Roman" w:eastAsiaTheme="minorEastAsia"/>
                <w:color w:val="000000" w:themeColor="text1"/>
                <w:sz w:val="21"/>
                <w:szCs w:val="21"/>
                <w:lang w:val="en-US"/>
              </w:rPr>
              <w:t>排放口</w:t>
            </w:r>
          </w:p>
        </w:tc>
        <w:tc>
          <w:tcPr>
            <w:tcW w:w="1038" w:type="pct"/>
            <w:tcBorders>
              <w:top w:val="single" w:color="000000" w:sz="4" w:space="0"/>
              <w:left w:val="single" w:color="000000" w:sz="4" w:space="0"/>
              <w:bottom w:val="single" w:color="000000" w:sz="4" w:space="0"/>
              <w:right w:val="single" w:color="000000" w:sz="4" w:space="0"/>
            </w:tcBorders>
            <w:vAlign w:val="center"/>
          </w:tcPr>
          <w:p w14:paraId="3C09B770">
            <w:pPr>
              <w:widowControl/>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综合废水</w:t>
            </w:r>
          </w:p>
        </w:tc>
        <w:tc>
          <w:tcPr>
            <w:tcW w:w="1928" w:type="dxa"/>
            <w:tcBorders>
              <w:top w:val="single" w:color="000000" w:sz="4" w:space="0"/>
              <w:left w:val="single" w:color="000000" w:sz="4" w:space="0"/>
              <w:bottom w:val="single" w:color="000000" w:sz="4" w:space="0"/>
              <w:right w:val="single" w:color="000000" w:sz="4" w:space="0"/>
            </w:tcBorders>
            <w:vAlign w:val="center"/>
          </w:tcPr>
          <w:p w14:paraId="5BCF0B51">
            <w:pPr>
              <w:widowControl/>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本项目传染性废水经传染病预处理设施（加氯消毒+脱氯工艺）处理后与业务综合楼废水一起排入综合污水处理站“格栅池→调节池→厌氧滤池→接触氧化池→二沉池→消毒池→脱氯池→排放工艺”处理后排入永福县益源污水处理厂处理</w:t>
            </w:r>
          </w:p>
        </w:tc>
        <w:tc>
          <w:tcPr>
            <w:tcW w:w="1011" w:type="pct"/>
            <w:tcBorders>
              <w:top w:val="single" w:color="000000" w:sz="4" w:space="0"/>
              <w:left w:val="single" w:color="000000" w:sz="4" w:space="0"/>
              <w:bottom w:val="single" w:color="000000" w:sz="4" w:space="0"/>
            </w:tcBorders>
            <w:vAlign w:val="center"/>
          </w:tcPr>
          <w:p w14:paraId="30F21524">
            <w:pPr>
              <w:widowControl/>
              <w:adjustRightInd w:val="0"/>
              <w:snapToGrid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《医疗机构水污染物排放标准》（GB</w:t>
            </w:r>
            <w:r>
              <w:rPr>
                <w:rFonts w:hint="eastAsia" w:ascii="Times New Roman" w:hAnsi="Times New Roman" w:cs="Times New Roman"/>
                <w:color w:val="000000" w:themeColor="text1"/>
                <w:sz w:val="21"/>
                <w:szCs w:val="21"/>
                <w:lang w:val="en-US"/>
              </w:rPr>
              <w:t xml:space="preserve"> </w:t>
            </w:r>
            <w:r>
              <w:rPr>
                <w:rFonts w:ascii="Times New Roman" w:hAnsi="Times New Roman" w:cs="Times New Roman"/>
                <w:color w:val="000000" w:themeColor="text1"/>
                <w:sz w:val="21"/>
                <w:szCs w:val="21"/>
              </w:rPr>
              <w:t>18466-2005）表2</w:t>
            </w:r>
            <w:r>
              <w:rPr>
                <w:rFonts w:hint="eastAsia" w:ascii="Times New Roman" w:hAnsi="Times New Roman" w:cs="Times New Roman"/>
                <w:color w:val="000000" w:themeColor="text1"/>
                <w:sz w:val="21"/>
                <w:szCs w:val="21"/>
              </w:rPr>
              <w:t>预处理标准</w:t>
            </w:r>
          </w:p>
        </w:tc>
      </w:tr>
      <w:tr w14:paraId="68F71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6" w:hRule="atLeast"/>
          <w:jc w:val="center"/>
        </w:trPr>
        <w:tc>
          <w:tcPr>
            <w:tcW w:w="818" w:type="pct"/>
            <w:vMerge w:val="continue"/>
            <w:tcBorders>
              <w:right w:val="single" w:color="000000" w:sz="4" w:space="0"/>
            </w:tcBorders>
            <w:vAlign w:val="center"/>
          </w:tcPr>
          <w:p w14:paraId="791F25F6">
            <w:pPr>
              <w:pStyle w:val="40"/>
              <w:jc w:val="center"/>
              <w:rPr>
                <w:rFonts w:ascii="Times New Roman" w:hAnsi="Times New Roman" w:cs="Times New Roman"/>
                <w:color w:val="000000" w:themeColor="text1"/>
                <w:sz w:val="21"/>
                <w:szCs w:val="21"/>
              </w:rPr>
            </w:pPr>
          </w:p>
        </w:tc>
        <w:tc>
          <w:tcPr>
            <w:tcW w:w="1136" w:type="pct"/>
            <w:tcBorders>
              <w:top w:val="single" w:color="000000" w:sz="4" w:space="0"/>
              <w:left w:val="single" w:color="000000" w:sz="4" w:space="0"/>
              <w:right w:val="single" w:color="000000" w:sz="4" w:space="0"/>
            </w:tcBorders>
            <w:vAlign w:val="center"/>
          </w:tcPr>
          <w:p w14:paraId="3B004C3F">
            <w:pPr>
              <w:pStyle w:val="40"/>
              <w:jc w:val="center"/>
              <w:rPr>
                <w:rFonts w:ascii="Times New Roman" w:hAnsi="Times New Roman" w:cs="Times New Roman" w:eastAsiaTheme="minorEastAsia"/>
                <w:color w:val="000000" w:themeColor="text1"/>
                <w:sz w:val="21"/>
                <w:lang w:val="en-US"/>
              </w:rPr>
            </w:pPr>
            <w:r>
              <w:rPr>
                <w:rFonts w:hint="eastAsia" w:ascii="Times New Roman" w:hAnsi="Times New Roman" w:cs="Times New Roman" w:eastAsiaTheme="minorEastAsia"/>
                <w:color w:val="000000" w:themeColor="text1"/>
                <w:sz w:val="21"/>
                <w:lang w:val="en-US"/>
              </w:rPr>
              <w:t>DW002食堂废水排放口</w:t>
            </w:r>
          </w:p>
        </w:tc>
        <w:tc>
          <w:tcPr>
            <w:tcW w:w="1038" w:type="pct"/>
            <w:tcBorders>
              <w:top w:val="single" w:color="000000" w:sz="4" w:space="0"/>
              <w:left w:val="single" w:color="000000" w:sz="4" w:space="0"/>
              <w:bottom w:val="single" w:color="000000" w:sz="4" w:space="0"/>
              <w:right w:val="single" w:color="000000" w:sz="4" w:space="0"/>
            </w:tcBorders>
            <w:vAlign w:val="center"/>
          </w:tcPr>
          <w:p w14:paraId="1579ECB9">
            <w:pPr>
              <w:widowControl/>
              <w:jc w:val="center"/>
              <w:rPr>
                <w:rFonts w:ascii="Times New Roman" w:hAnsi="Times New Roman" w:cs="Times New Roman" w:eastAsiaTheme="minorEastAsia"/>
                <w:color w:val="000000" w:themeColor="text1"/>
                <w:sz w:val="21"/>
                <w:lang w:val="en-US"/>
              </w:rPr>
            </w:pPr>
            <w:r>
              <w:rPr>
                <w:rFonts w:hint="eastAsia" w:ascii="Times New Roman" w:hAnsi="Times New Roman" w:cs="Times New Roman" w:eastAsiaTheme="minorEastAsia"/>
                <w:color w:val="000000" w:themeColor="text1"/>
                <w:sz w:val="21"/>
                <w:lang w:val="en-US"/>
              </w:rPr>
              <w:t>食堂废水</w:t>
            </w:r>
          </w:p>
        </w:tc>
        <w:tc>
          <w:tcPr>
            <w:tcW w:w="1928" w:type="dxa"/>
            <w:tcBorders>
              <w:top w:val="single" w:color="000000" w:sz="4" w:space="0"/>
              <w:left w:val="single" w:color="000000" w:sz="4" w:space="0"/>
              <w:bottom w:val="single" w:color="000000" w:sz="4" w:space="0"/>
              <w:right w:val="single" w:color="000000" w:sz="4" w:space="0"/>
            </w:tcBorders>
            <w:vAlign w:val="center"/>
          </w:tcPr>
          <w:p w14:paraId="017B34E6">
            <w:pPr>
              <w:widowControl/>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食堂废水依托原有项目隔油池+化粪池处理后，排入永福县益源污水处理厂</w:t>
            </w:r>
          </w:p>
        </w:tc>
        <w:tc>
          <w:tcPr>
            <w:tcW w:w="1011" w:type="pct"/>
            <w:tcBorders>
              <w:top w:val="single" w:color="000000" w:sz="4" w:space="0"/>
              <w:left w:val="single" w:color="000000" w:sz="4" w:space="0"/>
              <w:bottom w:val="single" w:color="000000" w:sz="4" w:space="0"/>
            </w:tcBorders>
            <w:vAlign w:val="center"/>
          </w:tcPr>
          <w:p w14:paraId="6EA91E2A">
            <w:pPr>
              <w:widowControl/>
              <w:adjustRightInd w:val="0"/>
              <w:snapToGrid w:val="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《污水综合排放标准》（GB 8978-1996）表4三级标准</w:t>
            </w:r>
          </w:p>
        </w:tc>
      </w:tr>
      <w:tr w14:paraId="1B9AF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18" w:type="pct"/>
            <w:tcBorders>
              <w:top w:val="single" w:color="000000" w:sz="4" w:space="0"/>
              <w:bottom w:val="single" w:color="000000" w:sz="4" w:space="0"/>
              <w:right w:val="single" w:color="000000" w:sz="4" w:space="0"/>
            </w:tcBorders>
            <w:vAlign w:val="center"/>
          </w:tcPr>
          <w:p w14:paraId="6B31DB9B">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声环境</w:t>
            </w:r>
          </w:p>
        </w:tc>
        <w:tc>
          <w:tcPr>
            <w:tcW w:w="1136" w:type="pct"/>
            <w:tcBorders>
              <w:top w:val="single" w:color="000000" w:sz="4" w:space="0"/>
              <w:left w:val="single" w:color="000000" w:sz="4" w:space="0"/>
              <w:bottom w:val="single" w:color="000000" w:sz="4" w:space="0"/>
              <w:right w:val="single" w:color="000000" w:sz="4" w:space="0"/>
            </w:tcBorders>
            <w:vAlign w:val="center"/>
          </w:tcPr>
          <w:p w14:paraId="72C2BBCC">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设备噪声</w:t>
            </w:r>
          </w:p>
        </w:tc>
        <w:tc>
          <w:tcPr>
            <w:tcW w:w="1038" w:type="pct"/>
            <w:tcBorders>
              <w:top w:val="single" w:color="000000" w:sz="4" w:space="0"/>
              <w:left w:val="single" w:color="000000" w:sz="4" w:space="0"/>
              <w:bottom w:val="single" w:color="000000" w:sz="4" w:space="0"/>
              <w:right w:val="single" w:color="000000" w:sz="4" w:space="0"/>
            </w:tcBorders>
            <w:vAlign w:val="center"/>
          </w:tcPr>
          <w:p w14:paraId="33AB6FEE">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噪声</w:t>
            </w:r>
          </w:p>
        </w:tc>
        <w:tc>
          <w:tcPr>
            <w:tcW w:w="996" w:type="pct"/>
            <w:tcBorders>
              <w:top w:val="single" w:color="000000" w:sz="4" w:space="0"/>
              <w:left w:val="single" w:color="000000" w:sz="4" w:space="0"/>
              <w:bottom w:val="single" w:color="000000" w:sz="4" w:space="0"/>
              <w:right w:val="single" w:color="000000" w:sz="4" w:space="0"/>
            </w:tcBorders>
            <w:vAlign w:val="center"/>
          </w:tcPr>
          <w:p w14:paraId="52F1C9D0">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进行基础减震、合理进行平面布局、利用绿化降低噪声</w:t>
            </w:r>
          </w:p>
        </w:tc>
        <w:tc>
          <w:tcPr>
            <w:tcW w:w="1011" w:type="pct"/>
            <w:tcBorders>
              <w:top w:val="single" w:color="000000" w:sz="4" w:space="0"/>
              <w:left w:val="single" w:color="000000" w:sz="4" w:space="0"/>
              <w:bottom w:val="single" w:color="000000" w:sz="4" w:space="0"/>
            </w:tcBorders>
            <w:vAlign w:val="center"/>
          </w:tcPr>
          <w:p w14:paraId="20D80DED">
            <w:pPr>
              <w:pStyle w:val="40"/>
              <w:spacing w:before="86" w:line="242" w:lineRule="auto"/>
              <w:ind w:left="159" w:right="148"/>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《工业企业厂界环境噪声排放标准》（GB12348-2008）</w:t>
            </w:r>
            <w:r>
              <w:rPr>
                <w:rFonts w:hint="eastAsia" w:ascii="Times New Roman" w:hAnsi="Times New Roman" w:cs="Times New Roman"/>
                <w:color w:val="000000" w:themeColor="text1"/>
                <w:sz w:val="21"/>
                <w:szCs w:val="21"/>
                <w:lang w:val="en-US"/>
              </w:rPr>
              <w:t>2</w:t>
            </w:r>
            <w:r>
              <w:rPr>
                <w:rFonts w:ascii="Times New Roman" w:hAnsi="Times New Roman" w:cs="Times New Roman"/>
                <w:color w:val="000000" w:themeColor="text1"/>
                <w:sz w:val="21"/>
                <w:szCs w:val="21"/>
              </w:rPr>
              <w:t>类</w:t>
            </w:r>
            <w:r>
              <w:rPr>
                <w:rStyle w:val="34"/>
                <w:rFonts w:hint="eastAsia"/>
                <w:color w:val="000000" w:themeColor="text1"/>
              </w:rPr>
              <w:t>、</w:t>
            </w:r>
            <w:r>
              <w:rPr>
                <w:rStyle w:val="34"/>
                <w:rFonts w:hint="eastAsia"/>
                <w:color w:val="000000" w:themeColor="text1"/>
                <w:lang w:val="en-US"/>
              </w:rPr>
              <w:t>4类</w:t>
            </w:r>
            <w:r>
              <w:rPr>
                <w:rFonts w:ascii="Times New Roman" w:hAnsi="Times New Roman" w:cs="Times New Roman"/>
                <w:color w:val="000000" w:themeColor="text1"/>
                <w:sz w:val="21"/>
                <w:szCs w:val="21"/>
              </w:rPr>
              <w:t>标准</w:t>
            </w:r>
          </w:p>
        </w:tc>
      </w:tr>
      <w:tr w14:paraId="3CCBC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18" w:type="pct"/>
            <w:tcBorders>
              <w:top w:val="single" w:color="000000" w:sz="4" w:space="0"/>
              <w:right w:val="single" w:color="000000" w:sz="4" w:space="0"/>
            </w:tcBorders>
            <w:vAlign w:val="center"/>
          </w:tcPr>
          <w:p w14:paraId="23E9339C">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固体废物</w:t>
            </w:r>
          </w:p>
        </w:tc>
        <w:tc>
          <w:tcPr>
            <w:tcW w:w="4181" w:type="pct"/>
            <w:gridSpan w:val="4"/>
            <w:tcBorders>
              <w:top w:val="single" w:color="000000" w:sz="4" w:space="0"/>
              <w:left w:val="single" w:color="000000" w:sz="4" w:space="0"/>
              <w:bottom w:val="single" w:color="000000" w:sz="4" w:space="0"/>
            </w:tcBorders>
            <w:vAlign w:val="center"/>
          </w:tcPr>
          <w:p w14:paraId="446DA124">
            <w:pPr>
              <w:pStyle w:val="40"/>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rPr>
              <w:t>生活垃圾委托环卫部门清运处置；医疗废物委托桂林高能时代环境服务有限公司进行处置；</w:t>
            </w:r>
            <w:r>
              <w:rPr>
                <w:rFonts w:ascii="Times New Roman" w:hAnsi="Times New Roman" w:cs="Times New Roman"/>
                <w:color w:val="000000" w:themeColor="text1"/>
                <w:sz w:val="21"/>
                <w:szCs w:val="21"/>
              </w:rPr>
              <w:t>污泥</w:t>
            </w:r>
            <w:r>
              <w:rPr>
                <w:rFonts w:hint="eastAsia" w:ascii="Times New Roman" w:hAnsi="Times New Roman" w:cs="Times New Roman"/>
                <w:color w:val="000000" w:themeColor="text1"/>
                <w:sz w:val="21"/>
                <w:szCs w:val="21"/>
              </w:rPr>
              <w:t>及格栅渣委托桂林高能时代环境服务有限公司清理并直接运走处置，不在医院暂存，执行《危险废物贮存污染控制标准》（GB 18597-2023）；输液瓶委托广西纳尔环保科技有限公司处理，</w:t>
            </w:r>
            <w:r>
              <w:rPr>
                <w:rFonts w:hint="eastAsia" w:ascii="Times New Roman" w:hAnsi="Times New Roman" w:cs="Times New Roman"/>
                <w:color w:val="000000" w:themeColor="text1"/>
                <w:sz w:val="21"/>
                <w:szCs w:val="21"/>
                <w:lang w:val="en-US"/>
              </w:rPr>
              <w:t>执行</w:t>
            </w:r>
            <w:r>
              <w:rPr>
                <w:rFonts w:ascii="Times New Roman" w:hAnsi="Times New Roman" w:cs="Times New Roman"/>
                <w:color w:val="000000" w:themeColor="text1"/>
                <w:sz w:val="21"/>
                <w:szCs w:val="21"/>
              </w:rPr>
              <w:t>《一般工业固体废物贮存和</w:t>
            </w:r>
            <w:r>
              <w:rPr>
                <w:rFonts w:hint="eastAsia" w:ascii="Times New Roman" w:hAnsi="Times New Roman" w:cs="Times New Roman"/>
                <w:color w:val="000000" w:themeColor="text1"/>
                <w:sz w:val="21"/>
                <w:szCs w:val="21"/>
                <w:lang w:val="en-US"/>
              </w:rPr>
              <w:t>填埋</w:t>
            </w:r>
            <w:r>
              <w:rPr>
                <w:rFonts w:ascii="Times New Roman" w:hAnsi="Times New Roman" w:cs="Times New Roman"/>
                <w:color w:val="000000" w:themeColor="text1"/>
                <w:sz w:val="21"/>
                <w:szCs w:val="21"/>
              </w:rPr>
              <w:t>污染控制标准》（GB</w:t>
            </w:r>
            <w:r>
              <w:rPr>
                <w:rFonts w:hint="eastAsia" w:ascii="Times New Roman" w:hAnsi="Times New Roman" w:cs="Times New Roman"/>
                <w:color w:val="000000" w:themeColor="text1"/>
                <w:sz w:val="21"/>
                <w:szCs w:val="21"/>
                <w:lang w:val="en-US"/>
              </w:rPr>
              <w:t xml:space="preserve"> </w:t>
            </w:r>
            <w:r>
              <w:rPr>
                <w:rFonts w:ascii="Times New Roman" w:hAnsi="Times New Roman" w:cs="Times New Roman"/>
                <w:color w:val="000000" w:themeColor="text1"/>
                <w:sz w:val="21"/>
                <w:szCs w:val="21"/>
              </w:rPr>
              <w:t>18599-2020）</w:t>
            </w:r>
            <w:r>
              <w:rPr>
                <w:rFonts w:hint="eastAsia" w:ascii="Times New Roman" w:hAnsi="Times New Roman" w:cs="Times New Roman"/>
                <w:color w:val="000000" w:themeColor="text1"/>
                <w:sz w:val="21"/>
                <w:szCs w:val="21"/>
              </w:rPr>
              <w:t>。</w:t>
            </w:r>
          </w:p>
        </w:tc>
      </w:tr>
      <w:tr w14:paraId="55FB1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18" w:type="pct"/>
            <w:tcBorders>
              <w:top w:val="single" w:color="000000" w:sz="4" w:space="0"/>
              <w:bottom w:val="single" w:color="000000" w:sz="4" w:space="0"/>
              <w:right w:val="single" w:color="000000" w:sz="4" w:space="0"/>
            </w:tcBorders>
            <w:vAlign w:val="center"/>
          </w:tcPr>
          <w:p w14:paraId="70C982F6">
            <w:pPr>
              <w:pStyle w:val="4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土壤及地下水</w:t>
            </w:r>
          </w:p>
          <w:p w14:paraId="7DB2038F">
            <w:pPr>
              <w:pStyle w:val="40"/>
              <w:jc w:val="center"/>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污染防治措施</w:t>
            </w:r>
          </w:p>
        </w:tc>
        <w:tc>
          <w:tcPr>
            <w:tcW w:w="4181" w:type="pct"/>
            <w:gridSpan w:val="4"/>
            <w:tcBorders>
              <w:top w:val="single" w:color="000000" w:sz="4" w:space="0"/>
              <w:left w:val="single" w:color="000000" w:sz="4" w:space="0"/>
              <w:bottom w:val="single" w:color="000000" w:sz="4" w:space="0"/>
            </w:tcBorders>
            <w:vAlign w:val="center"/>
          </w:tcPr>
          <w:p w14:paraId="313F903E">
            <w:pPr>
              <w:pStyle w:val="6"/>
              <w:widowControl/>
              <w:ind w:firstLine="0" w:firstLineChars="0"/>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rPr>
              <w:t>①项目污水管道根据设计要求采用严格的防渗、防漏措施。</w:t>
            </w:r>
          </w:p>
          <w:p w14:paraId="6E8D67C6">
            <w:pPr>
              <w:pStyle w:val="6"/>
              <w:widowControl/>
              <w:ind w:firstLine="0" w:firstLineChars="0"/>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rPr>
              <w:t>②传染病预处理设施做好防渗、防泄漏、防雨淋措施。</w:t>
            </w:r>
          </w:p>
          <w:p w14:paraId="41D2FB2F">
            <w:pPr>
              <w:pStyle w:val="6"/>
              <w:widowControl/>
              <w:ind w:firstLine="0" w:firstLineChars="0"/>
              <w:rPr>
                <w:rFonts w:ascii="Times New Roman" w:hAnsi="Times New Roman" w:cs="Times New Roman"/>
                <w:color w:val="000000" w:themeColor="text1"/>
                <w:sz w:val="21"/>
                <w:szCs w:val="21"/>
                <w:u w:val="single"/>
              </w:rPr>
            </w:pPr>
            <w:r>
              <w:rPr>
                <w:rFonts w:hint="eastAsia" w:ascii="Times New Roman" w:hAnsi="Times New Roman" w:cs="Times New Roman"/>
                <w:color w:val="000000" w:themeColor="text1"/>
                <w:sz w:val="21"/>
                <w:szCs w:val="21"/>
                <w:u w:val="single"/>
              </w:rPr>
              <w:t>③分区防渗：对地下水、土壤存在污染风险的建设区应做好场地防渗，即根据污染可能性和影响程度划分为重点防渗区、一般防渗区。做好重点防渗区、一般防渗区的防渗、防漏工作。</w:t>
            </w:r>
          </w:p>
        </w:tc>
      </w:tr>
      <w:tr w14:paraId="4F77B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18" w:type="pct"/>
            <w:tcBorders>
              <w:top w:val="single" w:color="000000" w:sz="4" w:space="0"/>
              <w:bottom w:val="single" w:color="000000" w:sz="4" w:space="0"/>
              <w:right w:val="single" w:color="000000" w:sz="4" w:space="0"/>
            </w:tcBorders>
            <w:vAlign w:val="center"/>
          </w:tcPr>
          <w:p w14:paraId="1C714718">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生态保护措施</w:t>
            </w:r>
          </w:p>
        </w:tc>
        <w:tc>
          <w:tcPr>
            <w:tcW w:w="4181" w:type="pct"/>
            <w:gridSpan w:val="4"/>
            <w:tcBorders>
              <w:top w:val="single" w:color="000000" w:sz="4" w:space="0"/>
              <w:left w:val="single" w:color="000000" w:sz="4" w:space="0"/>
              <w:bottom w:val="single" w:color="000000" w:sz="4" w:space="0"/>
            </w:tcBorders>
            <w:vAlign w:val="center"/>
          </w:tcPr>
          <w:p w14:paraId="40C1376A">
            <w:pPr>
              <w:pStyle w:val="40"/>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加强</w:t>
            </w:r>
            <w:r>
              <w:rPr>
                <w:rFonts w:ascii="Times New Roman" w:hAnsi="Times New Roman" w:cs="Times New Roman"/>
                <w:color w:val="000000" w:themeColor="text1"/>
                <w:sz w:val="21"/>
                <w:szCs w:val="21"/>
              </w:rPr>
              <w:t>绿化</w:t>
            </w:r>
          </w:p>
        </w:tc>
      </w:tr>
      <w:tr w14:paraId="2EE78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18" w:type="pct"/>
            <w:tcBorders>
              <w:top w:val="single" w:color="000000" w:sz="4" w:space="0"/>
              <w:bottom w:val="single" w:color="000000" w:sz="4" w:space="0"/>
              <w:right w:val="single" w:color="000000" w:sz="4" w:space="0"/>
            </w:tcBorders>
            <w:vAlign w:val="center"/>
          </w:tcPr>
          <w:p w14:paraId="3E238A1E">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环境风险</w:t>
            </w:r>
          </w:p>
          <w:p w14:paraId="747676C3">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防范措施</w:t>
            </w:r>
          </w:p>
        </w:tc>
        <w:tc>
          <w:tcPr>
            <w:tcW w:w="4181" w:type="pct"/>
            <w:gridSpan w:val="4"/>
            <w:tcBorders>
              <w:top w:val="single" w:color="000000" w:sz="4" w:space="0"/>
              <w:left w:val="single" w:color="000000" w:sz="4" w:space="0"/>
              <w:bottom w:val="single" w:color="000000" w:sz="4" w:space="0"/>
            </w:tcBorders>
            <w:vAlign w:val="center"/>
          </w:tcPr>
          <w:p w14:paraId="7FB71D2F">
            <w:pPr>
              <w:snapToGrid w:val="0"/>
              <w:jc w:val="both"/>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rPr>
              <w:t>详见前文</w:t>
            </w:r>
            <w:r>
              <w:rPr>
                <w:rFonts w:hint="eastAsia" w:ascii="Times New Roman" w:hAnsi="Times New Roman" w:cs="Times New Roman"/>
                <w:color w:val="000000" w:themeColor="text1"/>
                <w:sz w:val="21"/>
                <w:szCs w:val="21"/>
                <w:lang w:val="en-US"/>
              </w:rPr>
              <w:t>8</w:t>
            </w:r>
            <w:r>
              <w:rPr>
                <w:rFonts w:hint="eastAsia" w:ascii="Times New Roman" w:hAnsi="Times New Roman" w:cs="Times New Roman"/>
                <w:color w:val="000000" w:themeColor="text1"/>
                <w:sz w:val="21"/>
                <w:szCs w:val="21"/>
              </w:rPr>
              <w:t>、环境风险分析章节</w:t>
            </w:r>
          </w:p>
        </w:tc>
      </w:tr>
      <w:tr w14:paraId="3DF0F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818" w:type="pct"/>
            <w:tcBorders>
              <w:top w:val="single" w:color="000000" w:sz="4" w:space="0"/>
              <w:right w:val="single" w:color="000000" w:sz="4" w:space="0"/>
            </w:tcBorders>
            <w:vAlign w:val="center"/>
          </w:tcPr>
          <w:p w14:paraId="035E8E7F">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其他环境</w:t>
            </w:r>
          </w:p>
          <w:p w14:paraId="5D8D4134">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管理要求</w:t>
            </w:r>
          </w:p>
        </w:tc>
        <w:tc>
          <w:tcPr>
            <w:tcW w:w="4181" w:type="pct"/>
            <w:gridSpan w:val="4"/>
            <w:tcBorders>
              <w:top w:val="single" w:color="000000" w:sz="4" w:space="0"/>
              <w:left w:val="single" w:color="000000" w:sz="4" w:space="0"/>
            </w:tcBorders>
            <w:vAlign w:val="center"/>
          </w:tcPr>
          <w:p w14:paraId="0F0B4208">
            <w:pPr>
              <w:pStyle w:val="40"/>
              <w:jc w:val="both"/>
              <w:rPr>
                <w:rFonts w:ascii="Times New Roman" w:hAnsi="Times New Roman" w:cs="Times New Roman"/>
                <w:color w:val="000000" w:themeColor="text1"/>
                <w:sz w:val="21"/>
                <w:szCs w:val="21"/>
                <w:lang w:val="en-US"/>
              </w:rPr>
            </w:pPr>
            <w:r>
              <w:rPr>
                <w:rFonts w:hint="eastAsia" w:ascii="Times New Roman" w:hAnsi="Times New Roman" w:cs="Times New Roman"/>
                <w:bCs/>
                <w:color w:val="000000" w:themeColor="text1"/>
                <w:kern w:val="2"/>
                <w:sz w:val="21"/>
                <w:szCs w:val="21"/>
              </w:rPr>
              <w:t>按照环保“三同时”制度要求，对环保设施验收通过后，项目方可投产；加强环境保护工作，建立健全的环保制度；将环保工作纳入日常生产经营活动中。</w:t>
            </w:r>
          </w:p>
        </w:tc>
      </w:tr>
    </w:tbl>
    <w:p w14:paraId="5FD0DF42">
      <w:pPr>
        <w:rPr>
          <w:rFonts w:ascii="Times New Roman" w:hAnsi="Times New Roman" w:cs="Times New Roman"/>
          <w:lang w:val="en-US"/>
        </w:rPr>
        <w:sectPr>
          <w:pgSz w:w="11910" w:h="16840"/>
          <w:pgMar w:top="1580" w:right="1300" w:bottom="1000" w:left="1300" w:header="0" w:footer="817" w:gutter="0"/>
          <w:cols w:space="720" w:num="1"/>
        </w:sectPr>
      </w:pPr>
    </w:p>
    <w:bookmarkEnd w:id="19"/>
    <w:p w14:paraId="6B11DD10">
      <w:pPr>
        <w:pStyle w:val="2"/>
        <w:ind w:left="0" w:right="0" w:firstLine="602"/>
        <w:rPr>
          <w:rFonts w:ascii="Times New Roman" w:hAnsi="Times New Roman" w:eastAsia="宋体" w:cs="Times New Roman"/>
        </w:rPr>
      </w:pPr>
      <w:bookmarkStart w:id="21" w:name="_Toc22854"/>
      <w:bookmarkStart w:id="22" w:name="_Toc24149"/>
      <w:bookmarkStart w:id="23" w:name="_Toc16340"/>
      <w:bookmarkStart w:id="24" w:name="_Toc28357"/>
      <w:r>
        <w:rPr>
          <w:rFonts w:hint="eastAsia" w:ascii="Times New Roman" w:hAnsi="Times New Roman" w:eastAsia="宋体" w:cs="Times New Roman"/>
          <w:b/>
          <w:bCs/>
          <w:sz w:val="30"/>
          <w:szCs w:val="30"/>
        </w:rPr>
        <w:t>六</w:t>
      </w:r>
      <w:r>
        <w:rPr>
          <w:rFonts w:ascii="Times New Roman" w:hAnsi="Times New Roman" w:eastAsia="宋体" w:cs="Times New Roman"/>
          <w:b/>
          <w:bCs/>
          <w:sz w:val="30"/>
          <w:szCs w:val="30"/>
        </w:rPr>
        <w:t>、结论</w:t>
      </w:r>
      <w:bookmarkEnd w:id="21"/>
      <w:bookmarkEnd w:id="22"/>
      <w:bookmarkEnd w:id="23"/>
      <w:bookmarkEnd w:id="24"/>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6"/>
      </w:tblGrid>
      <w:tr w14:paraId="335F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7" w:hRule="atLeast"/>
        </w:trPr>
        <w:tc>
          <w:tcPr>
            <w:tcW w:w="9466" w:type="dxa"/>
          </w:tcPr>
          <w:p w14:paraId="275A92D8">
            <w:pPr>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本项目在采取相应的污染治理措施后，可做到达标排放，不会改变评价区域环境功能区划的要求；在采取风险防范措施和制定应急预案后，项目的环境风险控制在可接受的范围内；建立严格的环境管理和监控系统，可有效保护环境和监控污染事故的发生。</w:t>
            </w:r>
          </w:p>
          <w:p w14:paraId="58C02ED3">
            <w:pPr>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因此，本次评价认为在严格落实本报告提出的各项环保措施、</w:t>
            </w:r>
            <w:r>
              <w:rPr>
                <w:rFonts w:hint="eastAsia" w:ascii="Times New Roman" w:hAnsi="Times New Roman" w:cs="Times New Roman"/>
                <w:sz w:val="24"/>
                <w:szCs w:val="24"/>
                <w:lang w:val="en-US"/>
              </w:rPr>
              <w:t>切</w:t>
            </w:r>
            <w:r>
              <w:rPr>
                <w:rFonts w:ascii="Times New Roman" w:hAnsi="Times New Roman" w:cs="Times New Roman"/>
                <w:sz w:val="24"/>
                <w:szCs w:val="24"/>
                <w:lang w:val="en-US"/>
              </w:rPr>
              <w:t>实执行环保“三同时”制度、保证污染物达标排放、加强环境管理的前提下，从环境保护的角度考虑，本项目的建设是可行的。</w:t>
            </w:r>
          </w:p>
          <w:p w14:paraId="5FD143FF">
            <w:pPr>
              <w:pStyle w:val="5"/>
              <w:jc w:val="both"/>
              <w:rPr>
                <w:rFonts w:cs="Times New Roman"/>
                <w:sz w:val="24"/>
                <w:szCs w:val="24"/>
                <w:lang w:val="en-US"/>
              </w:rPr>
            </w:pPr>
          </w:p>
          <w:p w14:paraId="7A2A6453">
            <w:pPr>
              <w:jc w:val="both"/>
              <w:rPr>
                <w:rFonts w:ascii="Times New Roman" w:hAnsi="Times New Roman" w:cs="Times New Roman"/>
                <w:sz w:val="24"/>
                <w:szCs w:val="24"/>
                <w:lang w:val="en-US"/>
              </w:rPr>
            </w:pPr>
          </w:p>
          <w:p w14:paraId="4757CA6C">
            <w:pPr>
              <w:pStyle w:val="5"/>
              <w:jc w:val="both"/>
              <w:rPr>
                <w:rFonts w:cs="Times New Roman"/>
                <w:sz w:val="24"/>
                <w:szCs w:val="24"/>
                <w:lang w:val="en-US"/>
              </w:rPr>
            </w:pPr>
          </w:p>
          <w:p w14:paraId="0DFD7E42">
            <w:pPr>
              <w:jc w:val="both"/>
              <w:rPr>
                <w:rFonts w:ascii="Times New Roman" w:hAnsi="Times New Roman"/>
                <w:lang w:val="en-US"/>
              </w:rPr>
            </w:pPr>
          </w:p>
          <w:p w14:paraId="50E16877">
            <w:pPr>
              <w:pStyle w:val="9"/>
              <w:spacing w:before="10"/>
              <w:ind w:firstLine="420"/>
              <w:jc w:val="center"/>
              <w:rPr>
                <w:rFonts w:ascii="Times New Roman" w:hAnsi="Times New Roman" w:eastAsia="宋体" w:cs="Times New Roman"/>
                <w:sz w:val="21"/>
                <w:szCs w:val="21"/>
                <w:lang w:val="en-US"/>
              </w:rPr>
            </w:pPr>
          </w:p>
          <w:p w14:paraId="727189CC">
            <w:pPr>
              <w:pStyle w:val="9"/>
              <w:spacing w:before="10"/>
              <w:ind w:firstLine="420"/>
              <w:jc w:val="center"/>
              <w:rPr>
                <w:rFonts w:ascii="Times New Roman" w:hAnsi="Times New Roman" w:eastAsia="宋体" w:cs="Times New Roman"/>
                <w:sz w:val="21"/>
                <w:szCs w:val="21"/>
                <w:lang w:val="en-US"/>
              </w:rPr>
            </w:pPr>
          </w:p>
          <w:p w14:paraId="08C05EE2">
            <w:pPr>
              <w:pStyle w:val="9"/>
              <w:spacing w:before="10"/>
              <w:ind w:firstLine="420"/>
              <w:jc w:val="center"/>
              <w:rPr>
                <w:rFonts w:ascii="Times New Roman" w:hAnsi="Times New Roman" w:eastAsia="宋体" w:cs="Times New Roman"/>
                <w:sz w:val="21"/>
                <w:szCs w:val="21"/>
                <w:lang w:val="en-US"/>
              </w:rPr>
            </w:pPr>
          </w:p>
          <w:p w14:paraId="5704BCAC">
            <w:pPr>
              <w:pStyle w:val="9"/>
              <w:spacing w:before="10"/>
              <w:ind w:firstLine="420"/>
              <w:jc w:val="center"/>
              <w:rPr>
                <w:rFonts w:ascii="Times New Roman" w:hAnsi="Times New Roman" w:eastAsia="宋体" w:cs="Times New Roman"/>
                <w:sz w:val="21"/>
                <w:szCs w:val="21"/>
                <w:lang w:val="en-US"/>
              </w:rPr>
            </w:pPr>
          </w:p>
          <w:p w14:paraId="6BC6F1A4">
            <w:pPr>
              <w:pStyle w:val="9"/>
              <w:spacing w:before="10"/>
              <w:ind w:firstLine="420"/>
              <w:jc w:val="center"/>
              <w:rPr>
                <w:rFonts w:ascii="Times New Roman" w:hAnsi="Times New Roman" w:eastAsia="宋体" w:cs="Times New Roman"/>
                <w:sz w:val="21"/>
                <w:szCs w:val="21"/>
                <w:lang w:val="en-US"/>
              </w:rPr>
            </w:pPr>
          </w:p>
          <w:p w14:paraId="4A3114A4">
            <w:pPr>
              <w:pStyle w:val="9"/>
              <w:spacing w:before="10"/>
              <w:ind w:firstLine="420"/>
              <w:jc w:val="center"/>
              <w:rPr>
                <w:rFonts w:ascii="Times New Roman" w:hAnsi="Times New Roman" w:eastAsia="宋体" w:cs="Times New Roman"/>
                <w:sz w:val="21"/>
                <w:szCs w:val="21"/>
                <w:lang w:val="en-US"/>
              </w:rPr>
            </w:pPr>
          </w:p>
          <w:p w14:paraId="57F1BF5A">
            <w:pPr>
              <w:pStyle w:val="9"/>
              <w:spacing w:before="10"/>
              <w:ind w:firstLine="420"/>
              <w:jc w:val="center"/>
              <w:rPr>
                <w:rFonts w:ascii="Times New Roman" w:hAnsi="Times New Roman" w:eastAsia="宋体" w:cs="Times New Roman"/>
                <w:sz w:val="21"/>
                <w:szCs w:val="21"/>
                <w:lang w:val="en-US"/>
              </w:rPr>
            </w:pPr>
          </w:p>
          <w:p w14:paraId="7046CF7C">
            <w:pPr>
              <w:pStyle w:val="9"/>
              <w:spacing w:before="10"/>
              <w:ind w:firstLine="420"/>
              <w:jc w:val="center"/>
              <w:rPr>
                <w:rFonts w:ascii="Times New Roman" w:hAnsi="Times New Roman" w:eastAsia="宋体" w:cs="Times New Roman"/>
                <w:sz w:val="21"/>
                <w:szCs w:val="21"/>
                <w:lang w:val="en-US"/>
              </w:rPr>
            </w:pPr>
          </w:p>
          <w:p w14:paraId="6792C88C">
            <w:pPr>
              <w:pStyle w:val="9"/>
              <w:spacing w:before="10"/>
              <w:ind w:firstLine="420"/>
              <w:jc w:val="center"/>
              <w:rPr>
                <w:rFonts w:ascii="Times New Roman" w:hAnsi="Times New Roman" w:eastAsia="宋体" w:cs="Times New Roman"/>
                <w:sz w:val="21"/>
                <w:szCs w:val="21"/>
                <w:lang w:val="en-US"/>
              </w:rPr>
            </w:pPr>
          </w:p>
          <w:p w14:paraId="0524907C">
            <w:pPr>
              <w:pStyle w:val="9"/>
              <w:spacing w:before="10"/>
              <w:ind w:firstLine="420"/>
              <w:jc w:val="center"/>
              <w:rPr>
                <w:rFonts w:ascii="Times New Roman" w:hAnsi="Times New Roman" w:eastAsia="宋体" w:cs="Times New Roman"/>
                <w:sz w:val="21"/>
                <w:szCs w:val="21"/>
                <w:lang w:val="en-US"/>
              </w:rPr>
            </w:pPr>
          </w:p>
          <w:p w14:paraId="66C78E8E">
            <w:pPr>
              <w:pStyle w:val="9"/>
              <w:spacing w:before="10"/>
              <w:ind w:firstLine="420"/>
              <w:jc w:val="center"/>
              <w:rPr>
                <w:rFonts w:ascii="Times New Roman" w:hAnsi="Times New Roman" w:eastAsia="宋体" w:cs="Times New Roman"/>
                <w:sz w:val="21"/>
                <w:szCs w:val="21"/>
                <w:lang w:val="en-US"/>
              </w:rPr>
            </w:pPr>
          </w:p>
          <w:p w14:paraId="10B4CF8E">
            <w:pPr>
              <w:pStyle w:val="9"/>
              <w:spacing w:before="10"/>
              <w:ind w:firstLine="420"/>
              <w:jc w:val="center"/>
              <w:rPr>
                <w:rFonts w:ascii="Times New Roman" w:hAnsi="Times New Roman" w:eastAsia="宋体" w:cs="Times New Roman"/>
                <w:sz w:val="21"/>
                <w:szCs w:val="21"/>
                <w:lang w:val="en-US"/>
              </w:rPr>
            </w:pPr>
          </w:p>
          <w:p w14:paraId="038B38A1">
            <w:pPr>
              <w:pStyle w:val="9"/>
              <w:spacing w:before="10"/>
              <w:ind w:firstLine="420"/>
              <w:jc w:val="center"/>
              <w:rPr>
                <w:rFonts w:ascii="Times New Roman" w:hAnsi="Times New Roman" w:eastAsia="宋体" w:cs="Times New Roman"/>
                <w:sz w:val="21"/>
                <w:szCs w:val="21"/>
                <w:lang w:val="en-US"/>
              </w:rPr>
            </w:pPr>
          </w:p>
          <w:p w14:paraId="0F083B41">
            <w:pPr>
              <w:pStyle w:val="9"/>
              <w:spacing w:before="10"/>
              <w:ind w:firstLine="420"/>
              <w:jc w:val="center"/>
              <w:rPr>
                <w:rFonts w:ascii="Times New Roman" w:hAnsi="Times New Roman" w:eastAsia="宋体" w:cs="Times New Roman"/>
                <w:sz w:val="21"/>
                <w:szCs w:val="21"/>
                <w:lang w:val="en-US"/>
              </w:rPr>
            </w:pPr>
          </w:p>
          <w:p w14:paraId="49D5DA05">
            <w:pPr>
              <w:pStyle w:val="9"/>
              <w:spacing w:before="10"/>
              <w:ind w:firstLine="420"/>
              <w:jc w:val="center"/>
              <w:rPr>
                <w:rFonts w:ascii="Times New Roman" w:hAnsi="Times New Roman" w:eastAsia="宋体" w:cs="Times New Roman"/>
                <w:sz w:val="21"/>
                <w:szCs w:val="21"/>
                <w:lang w:val="en-US"/>
              </w:rPr>
            </w:pPr>
          </w:p>
          <w:p w14:paraId="2C19CE81">
            <w:pPr>
              <w:pStyle w:val="9"/>
              <w:spacing w:before="10"/>
              <w:ind w:firstLine="420"/>
              <w:jc w:val="center"/>
              <w:rPr>
                <w:rFonts w:ascii="Times New Roman" w:hAnsi="Times New Roman" w:eastAsia="宋体" w:cs="Times New Roman"/>
                <w:sz w:val="21"/>
                <w:szCs w:val="21"/>
                <w:lang w:val="en-US"/>
              </w:rPr>
            </w:pPr>
          </w:p>
          <w:p w14:paraId="7513F8C9">
            <w:pPr>
              <w:pStyle w:val="9"/>
              <w:spacing w:before="10"/>
              <w:ind w:firstLine="420"/>
              <w:jc w:val="center"/>
              <w:rPr>
                <w:rFonts w:ascii="Times New Roman" w:hAnsi="Times New Roman" w:eastAsia="宋体" w:cs="Times New Roman"/>
                <w:sz w:val="21"/>
                <w:szCs w:val="21"/>
                <w:lang w:val="en-US"/>
              </w:rPr>
            </w:pPr>
          </w:p>
          <w:p w14:paraId="1A3C33A1">
            <w:pPr>
              <w:pStyle w:val="9"/>
              <w:spacing w:before="10"/>
              <w:ind w:firstLine="420"/>
              <w:jc w:val="center"/>
              <w:rPr>
                <w:rFonts w:ascii="Times New Roman" w:hAnsi="Times New Roman" w:eastAsia="宋体" w:cs="Times New Roman"/>
                <w:sz w:val="21"/>
                <w:szCs w:val="21"/>
                <w:lang w:val="en-US"/>
              </w:rPr>
            </w:pPr>
          </w:p>
          <w:p w14:paraId="12955DAA">
            <w:pPr>
              <w:pStyle w:val="9"/>
              <w:spacing w:before="10"/>
              <w:ind w:firstLine="420"/>
              <w:jc w:val="center"/>
              <w:rPr>
                <w:rFonts w:ascii="Times New Roman" w:hAnsi="Times New Roman" w:eastAsia="宋体" w:cs="Times New Roman"/>
                <w:sz w:val="21"/>
                <w:szCs w:val="21"/>
                <w:lang w:val="en-US"/>
              </w:rPr>
            </w:pPr>
          </w:p>
          <w:p w14:paraId="073702C0">
            <w:pPr>
              <w:pStyle w:val="9"/>
              <w:spacing w:before="10"/>
              <w:ind w:firstLine="420"/>
              <w:jc w:val="center"/>
              <w:rPr>
                <w:rFonts w:ascii="Times New Roman" w:hAnsi="Times New Roman" w:eastAsia="宋体" w:cs="Times New Roman"/>
                <w:sz w:val="21"/>
                <w:szCs w:val="21"/>
                <w:lang w:val="en-US"/>
              </w:rPr>
            </w:pPr>
          </w:p>
          <w:p w14:paraId="647137DF">
            <w:pPr>
              <w:pStyle w:val="9"/>
              <w:spacing w:before="10"/>
              <w:ind w:firstLine="420"/>
              <w:jc w:val="center"/>
              <w:rPr>
                <w:rFonts w:ascii="Times New Roman" w:hAnsi="Times New Roman" w:eastAsia="宋体" w:cs="Times New Roman"/>
                <w:sz w:val="21"/>
                <w:szCs w:val="21"/>
                <w:lang w:val="en-US"/>
              </w:rPr>
            </w:pPr>
          </w:p>
          <w:p w14:paraId="667941B9">
            <w:pPr>
              <w:pStyle w:val="9"/>
              <w:spacing w:before="10"/>
              <w:ind w:firstLine="420"/>
              <w:jc w:val="center"/>
              <w:rPr>
                <w:rFonts w:ascii="Times New Roman" w:hAnsi="Times New Roman" w:eastAsia="宋体" w:cs="Times New Roman"/>
                <w:sz w:val="21"/>
                <w:szCs w:val="21"/>
                <w:lang w:val="en-US"/>
              </w:rPr>
            </w:pPr>
          </w:p>
          <w:p w14:paraId="54DB3CA2">
            <w:pPr>
              <w:pStyle w:val="9"/>
              <w:spacing w:before="10"/>
              <w:ind w:firstLine="420"/>
              <w:jc w:val="center"/>
              <w:rPr>
                <w:rFonts w:ascii="Times New Roman" w:hAnsi="Times New Roman" w:eastAsia="宋体" w:cs="Times New Roman"/>
                <w:sz w:val="21"/>
                <w:szCs w:val="21"/>
                <w:lang w:val="en-US"/>
              </w:rPr>
            </w:pPr>
          </w:p>
          <w:p w14:paraId="79B1F84D">
            <w:pPr>
              <w:pStyle w:val="9"/>
              <w:spacing w:before="10"/>
              <w:ind w:firstLine="420"/>
              <w:jc w:val="center"/>
              <w:rPr>
                <w:rFonts w:ascii="Times New Roman" w:hAnsi="Times New Roman" w:eastAsia="宋体" w:cs="Times New Roman"/>
                <w:sz w:val="21"/>
                <w:szCs w:val="21"/>
                <w:lang w:val="en-US"/>
              </w:rPr>
            </w:pPr>
          </w:p>
          <w:p w14:paraId="3B8F9FED">
            <w:pPr>
              <w:pStyle w:val="9"/>
              <w:spacing w:before="10"/>
              <w:ind w:firstLine="420"/>
              <w:jc w:val="center"/>
              <w:rPr>
                <w:rFonts w:ascii="Times New Roman" w:hAnsi="Times New Roman" w:eastAsia="宋体" w:cs="Times New Roman"/>
                <w:sz w:val="21"/>
                <w:szCs w:val="21"/>
                <w:lang w:val="en-US"/>
              </w:rPr>
            </w:pPr>
          </w:p>
          <w:p w14:paraId="0FF72DFA">
            <w:pPr>
              <w:pStyle w:val="9"/>
              <w:spacing w:before="10"/>
              <w:ind w:firstLine="420"/>
              <w:jc w:val="center"/>
              <w:rPr>
                <w:rFonts w:ascii="Times New Roman" w:hAnsi="Times New Roman" w:eastAsia="宋体" w:cs="Times New Roman"/>
                <w:sz w:val="21"/>
                <w:szCs w:val="21"/>
                <w:lang w:val="en-US"/>
              </w:rPr>
            </w:pPr>
          </w:p>
          <w:p w14:paraId="18AB925C">
            <w:pPr>
              <w:pStyle w:val="9"/>
              <w:spacing w:before="10"/>
              <w:ind w:firstLine="420"/>
              <w:jc w:val="center"/>
              <w:rPr>
                <w:rFonts w:ascii="Times New Roman" w:hAnsi="Times New Roman" w:eastAsia="宋体" w:cs="Times New Roman"/>
                <w:sz w:val="21"/>
                <w:szCs w:val="21"/>
                <w:lang w:val="en-US"/>
              </w:rPr>
            </w:pPr>
          </w:p>
          <w:p w14:paraId="091A924A">
            <w:pPr>
              <w:pStyle w:val="9"/>
              <w:spacing w:before="10"/>
              <w:ind w:firstLine="420"/>
              <w:jc w:val="center"/>
              <w:rPr>
                <w:rFonts w:ascii="Times New Roman" w:hAnsi="Times New Roman" w:eastAsia="宋体" w:cs="Times New Roman"/>
                <w:sz w:val="21"/>
                <w:szCs w:val="21"/>
                <w:lang w:val="en-US"/>
              </w:rPr>
            </w:pPr>
          </w:p>
          <w:p w14:paraId="5B6AE391">
            <w:pPr>
              <w:pStyle w:val="9"/>
              <w:spacing w:before="10"/>
              <w:ind w:firstLine="420"/>
              <w:jc w:val="center"/>
              <w:rPr>
                <w:rFonts w:ascii="Times New Roman" w:hAnsi="Times New Roman" w:eastAsia="宋体" w:cs="Times New Roman"/>
                <w:sz w:val="21"/>
                <w:szCs w:val="21"/>
                <w:lang w:val="en-US"/>
              </w:rPr>
            </w:pPr>
          </w:p>
          <w:p w14:paraId="2EA924D8">
            <w:pPr>
              <w:pStyle w:val="9"/>
              <w:spacing w:before="10"/>
              <w:ind w:firstLine="420"/>
              <w:jc w:val="center"/>
              <w:rPr>
                <w:rFonts w:ascii="Times New Roman" w:hAnsi="Times New Roman" w:eastAsia="宋体" w:cs="Times New Roman"/>
                <w:sz w:val="21"/>
                <w:szCs w:val="21"/>
                <w:lang w:val="en-US"/>
              </w:rPr>
            </w:pPr>
          </w:p>
          <w:p w14:paraId="29F72CEA">
            <w:pPr>
              <w:pStyle w:val="9"/>
              <w:spacing w:before="10"/>
              <w:ind w:firstLine="420"/>
              <w:jc w:val="center"/>
              <w:rPr>
                <w:rFonts w:ascii="Times New Roman" w:hAnsi="Times New Roman" w:eastAsia="宋体" w:cs="Times New Roman"/>
                <w:sz w:val="21"/>
                <w:szCs w:val="21"/>
                <w:lang w:val="en-US"/>
              </w:rPr>
            </w:pPr>
          </w:p>
          <w:p w14:paraId="0A82DA90">
            <w:pPr>
              <w:pStyle w:val="9"/>
              <w:spacing w:before="10"/>
              <w:ind w:firstLine="420"/>
              <w:jc w:val="center"/>
              <w:rPr>
                <w:rFonts w:ascii="Times New Roman" w:hAnsi="Times New Roman" w:eastAsia="宋体" w:cs="Times New Roman"/>
                <w:sz w:val="21"/>
                <w:szCs w:val="21"/>
                <w:lang w:val="en-US"/>
              </w:rPr>
            </w:pPr>
          </w:p>
          <w:p w14:paraId="590779B6">
            <w:pPr>
              <w:pStyle w:val="9"/>
              <w:spacing w:before="10"/>
              <w:ind w:firstLine="420"/>
              <w:jc w:val="center"/>
              <w:rPr>
                <w:rFonts w:ascii="Times New Roman" w:hAnsi="Times New Roman" w:eastAsia="宋体" w:cs="Times New Roman"/>
                <w:sz w:val="21"/>
                <w:szCs w:val="21"/>
                <w:lang w:val="en-US"/>
              </w:rPr>
            </w:pPr>
          </w:p>
          <w:p w14:paraId="0ED52C30">
            <w:pPr>
              <w:pStyle w:val="9"/>
              <w:spacing w:before="10"/>
              <w:ind w:firstLine="420"/>
              <w:jc w:val="center"/>
              <w:rPr>
                <w:rFonts w:ascii="Times New Roman" w:hAnsi="Times New Roman" w:eastAsia="宋体" w:cs="Times New Roman"/>
                <w:sz w:val="21"/>
                <w:szCs w:val="21"/>
                <w:lang w:val="en-US"/>
              </w:rPr>
            </w:pPr>
          </w:p>
          <w:p w14:paraId="230CE496">
            <w:pPr>
              <w:pStyle w:val="9"/>
              <w:spacing w:before="10"/>
              <w:ind w:firstLine="420"/>
              <w:jc w:val="center"/>
              <w:rPr>
                <w:rFonts w:ascii="Times New Roman" w:hAnsi="Times New Roman" w:eastAsia="宋体" w:cs="Times New Roman"/>
                <w:sz w:val="21"/>
                <w:szCs w:val="21"/>
                <w:lang w:val="en-US"/>
              </w:rPr>
            </w:pPr>
          </w:p>
          <w:p w14:paraId="40AA1C58">
            <w:pPr>
              <w:pStyle w:val="9"/>
              <w:spacing w:before="10"/>
              <w:ind w:firstLine="420"/>
              <w:jc w:val="center"/>
              <w:rPr>
                <w:rFonts w:ascii="Times New Roman" w:hAnsi="Times New Roman" w:eastAsia="宋体" w:cs="Times New Roman"/>
                <w:sz w:val="21"/>
                <w:szCs w:val="21"/>
                <w:lang w:val="en-US"/>
              </w:rPr>
            </w:pPr>
          </w:p>
          <w:p w14:paraId="590E2B3E">
            <w:pPr>
              <w:pStyle w:val="9"/>
              <w:spacing w:before="10"/>
              <w:ind w:firstLine="420"/>
              <w:jc w:val="both"/>
              <w:rPr>
                <w:rFonts w:ascii="Times New Roman" w:hAnsi="Times New Roman" w:eastAsia="宋体" w:cs="Times New Roman"/>
                <w:sz w:val="21"/>
                <w:szCs w:val="21"/>
                <w:lang w:val="en-US"/>
              </w:rPr>
            </w:pPr>
          </w:p>
          <w:p w14:paraId="0F9DCA1C">
            <w:pPr>
              <w:pStyle w:val="9"/>
              <w:spacing w:before="10"/>
              <w:ind w:firstLine="420"/>
              <w:jc w:val="center"/>
              <w:rPr>
                <w:rFonts w:ascii="Times New Roman" w:hAnsi="Times New Roman" w:eastAsia="宋体" w:cs="Times New Roman"/>
                <w:sz w:val="21"/>
                <w:szCs w:val="21"/>
                <w:lang w:val="en-US"/>
              </w:rPr>
            </w:pPr>
          </w:p>
        </w:tc>
      </w:tr>
    </w:tbl>
    <w:p w14:paraId="6A12D40D">
      <w:pPr>
        <w:spacing w:before="55"/>
        <w:ind w:left="151" w:firstLine="640"/>
        <w:rPr>
          <w:rFonts w:ascii="Times New Roman" w:hAnsi="Times New Roman" w:cs="Times New Roman"/>
          <w:sz w:val="32"/>
        </w:rPr>
        <w:sectPr>
          <w:footerReference r:id="rId13" w:type="default"/>
          <w:footerReference r:id="rId14" w:type="even"/>
          <w:pgSz w:w="11910" w:h="16840"/>
          <w:pgMar w:top="1580" w:right="1300" w:bottom="1000" w:left="1300" w:header="0" w:footer="817" w:gutter="0"/>
          <w:cols w:space="720" w:num="1"/>
        </w:sectPr>
      </w:pPr>
    </w:p>
    <w:p w14:paraId="6F5DE6AA">
      <w:pPr>
        <w:ind w:firstLine="723"/>
        <w:rPr>
          <w:rFonts w:ascii="Times New Roman" w:hAnsi="Times New Roman" w:cs="Times New Roman"/>
          <w:b/>
          <w:bCs/>
          <w:sz w:val="36"/>
          <w:szCs w:val="36"/>
        </w:rPr>
      </w:pPr>
      <w:bookmarkStart w:id="25" w:name="_Toc8900"/>
      <w:bookmarkStart w:id="26" w:name="_Toc1527"/>
      <w:r>
        <w:rPr>
          <w:rFonts w:ascii="Times New Roman" w:hAnsi="Times New Roman" w:cs="Times New Roman"/>
          <w:b/>
          <w:bCs/>
          <w:sz w:val="36"/>
          <w:szCs w:val="36"/>
        </w:rPr>
        <w:t>附表</w:t>
      </w:r>
      <w:bookmarkEnd w:id="25"/>
      <w:bookmarkEnd w:id="26"/>
    </w:p>
    <w:p w14:paraId="0066EFD6">
      <w:pPr>
        <w:spacing w:line="360" w:lineRule="auto"/>
        <w:ind w:firstLine="643"/>
        <w:jc w:val="center"/>
        <w:rPr>
          <w:rFonts w:ascii="Times New Roman" w:hAnsi="Times New Roman" w:cs="Times New Roman"/>
          <w:b/>
          <w:bCs/>
          <w:szCs w:val="28"/>
        </w:rPr>
      </w:pPr>
      <w:bookmarkStart w:id="27" w:name="_Toc589"/>
      <w:bookmarkStart w:id="28" w:name="_Toc23210"/>
      <w:r>
        <w:rPr>
          <w:rFonts w:ascii="Times New Roman" w:hAnsi="Times New Roman" w:cs="Times New Roman"/>
          <w:b/>
          <w:bCs/>
          <w:sz w:val="32"/>
          <w:szCs w:val="32"/>
        </w:rPr>
        <w:t>建设项目污染物排放量汇总表</w:t>
      </w:r>
      <w:bookmarkEnd w:id="27"/>
      <w:bookmarkEnd w:id="28"/>
    </w:p>
    <w:tbl>
      <w:tblPr>
        <w:tblStyle w:val="27"/>
        <w:tblW w:w="528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60"/>
        <w:gridCol w:w="1479"/>
        <w:gridCol w:w="1790"/>
        <w:gridCol w:w="1321"/>
        <w:gridCol w:w="1790"/>
        <w:gridCol w:w="1633"/>
        <w:gridCol w:w="1866"/>
        <w:gridCol w:w="2081"/>
        <w:gridCol w:w="1485"/>
      </w:tblGrid>
      <w:tr w14:paraId="7CF76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549" w:type="pct"/>
            <w:tcBorders>
              <w:bottom w:val="single" w:color="000000" w:sz="4" w:space="0"/>
              <w:right w:val="single" w:color="000000" w:sz="4" w:space="0"/>
              <w:tl2br w:val="single" w:color="000000" w:sz="8" w:space="0"/>
            </w:tcBorders>
            <w:vAlign w:val="center"/>
          </w:tcPr>
          <w:p w14:paraId="080BA3C3">
            <w:pPr>
              <w:pStyle w:val="40"/>
              <w:jc w:val="center"/>
              <w:rPr>
                <w:rFonts w:ascii="Times New Roman" w:hAnsi="Times New Roman" w:cs="Times New Roman"/>
                <w:b/>
                <w:bCs/>
                <w:color w:val="000000" w:themeColor="text1"/>
                <w:sz w:val="21"/>
                <w:szCs w:val="21"/>
              </w:rPr>
            </w:pPr>
            <w:r>
              <w:rPr>
                <w:rFonts w:hint="eastAsia" w:ascii="Times New Roman" w:hAnsi="Times New Roman" w:cs="Times New Roman"/>
                <w:b/>
                <w:bCs/>
                <w:color w:val="000000" w:themeColor="text1"/>
                <w:spacing w:val="-15"/>
                <w:sz w:val="21"/>
                <w:szCs w:val="21"/>
                <w:lang w:val="en-US"/>
              </w:rPr>
              <w:t xml:space="preserve">          </w:t>
            </w:r>
            <w:r>
              <w:rPr>
                <w:rFonts w:ascii="Times New Roman" w:hAnsi="Times New Roman" w:cs="Times New Roman"/>
                <w:b/>
                <w:bCs/>
                <w:color w:val="000000" w:themeColor="text1"/>
                <w:spacing w:val="-15"/>
                <w:sz w:val="21"/>
                <w:szCs w:val="21"/>
              </w:rPr>
              <w:t>项目</w:t>
            </w:r>
          </w:p>
          <w:p w14:paraId="41961A1A">
            <w:pPr>
              <w:pStyle w:val="40"/>
              <w:ind w:left="28"/>
              <w:jc w:val="both"/>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分类</w:t>
            </w:r>
          </w:p>
        </w:tc>
        <w:tc>
          <w:tcPr>
            <w:tcW w:w="489" w:type="pct"/>
            <w:tcBorders>
              <w:left w:val="single" w:color="000000" w:sz="4" w:space="0"/>
              <w:bottom w:val="single" w:color="000000" w:sz="4" w:space="0"/>
              <w:right w:val="single" w:color="000000" w:sz="4" w:space="0"/>
            </w:tcBorders>
            <w:vAlign w:val="center"/>
          </w:tcPr>
          <w:p w14:paraId="218ABF14">
            <w:pPr>
              <w:pStyle w:val="40"/>
              <w:ind w:right="141"/>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污染物名称</w:t>
            </w:r>
          </w:p>
        </w:tc>
        <w:tc>
          <w:tcPr>
            <w:tcW w:w="592" w:type="pct"/>
            <w:tcBorders>
              <w:left w:val="single" w:color="000000" w:sz="4" w:space="0"/>
              <w:bottom w:val="single" w:color="000000" w:sz="4" w:space="0"/>
              <w:right w:val="single" w:color="000000" w:sz="4" w:space="0"/>
            </w:tcBorders>
            <w:vAlign w:val="center"/>
          </w:tcPr>
          <w:p w14:paraId="62D1350F">
            <w:pPr>
              <w:pStyle w:val="40"/>
              <w:ind w:left="60" w:right="32"/>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现有工程</w:t>
            </w:r>
          </w:p>
          <w:p w14:paraId="0EED75A4">
            <w:pPr>
              <w:pStyle w:val="40"/>
              <w:ind w:left="62" w:right="32"/>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pacing w:val="-15"/>
                <w:sz w:val="21"/>
                <w:szCs w:val="21"/>
              </w:rPr>
              <w:t>排放量</w:t>
            </w:r>
            <w:r>
              <w:rPr>
                <w:rFonts w:ascii="Times New Roman" w:hAnsi="Times New Roman" w:cs="Times New Roman"/>
                <w:b/>
                <w:bCs/>
                <w:color w:val="000000" w:themeColor="text1"/>
                <w:spacing w:val="-13"/>
                <w:sz w:val="21"/>
                <w:szCs w:val="21"/>
              </w:rPr>
              <w:t>（</w:t>
            </w:r>
            <w:r>
              <w:rPr>
                <w:rFonts w:ascii="Times New Roman" w:hAnsi="Times New Roman" w:cs="Times New Roman"/>
                <w:b/>
                <w:bCs/>
                <w:color w:val="000000" w:themeColor="text1"/>
                <w:spacing w:val="-15"/>
                <w:sz w:val="21"/>
                <w:szCs w:val="21"/>
              </w:rPr>
              <w:t>固体废物产生量</w:t>
            </w:r>
            <w:r>
              <w:rPr>
                <w:rFonts w:ascii="Times New Roman" w:hAnsi="Times New Roman" w:cs="Times New Roman"/>
                <w:b/>
                <w:bCs/>
                <w:color w:val="000000" w:themeColor="text1"/>
                <w:spacing w:val="-7"/>
                <w:sz w:val="21"/>
                <w:szCs w:val="21"/>
              </w:rPr>
              <w:t>）①</w:t>
            </w:r>
          </w:p>
        </w:tc>
        <w:tc>
          <w:tcPr>
            <w:tcW w:w="437" w:type="pct"/>
            <w:tcBorders>
              <w:left w:val="single" w:color="000000" w:sz="4" w:space="0"/>
              <w:bottom w:val="single" w:color="000000" w:sz="4" w:space="0"/>
              <w:right w:val="single" w:color="000000" w:sz="4" w:space="0"/>
            </w:tcBorders>
            <w:vAlign w:val="center"/>
          </w:tcPr>
          <w:p w14:paraId="46C6CB5A">
            <w:pPr>
              <w:pStyle w:val="40"/>
              <w:ind w:left="146" w:right="115"/>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pacing w:val="-12"/>
                <w:sz w:val="21"/>
                <w:szCs w:val="21"/>
              </w:rPr>
              <w:t xml:space="preserve">现有工程 </w:t>
            </w:r>
            <w:r>
              <w:rPr>
                <w:rFonts w:ascii="Times New Roman" w:hAnsi="Times New Roman" w:cs="Times New Roman"/>
                <w:b/>
                <w:bCs/>
                <w:color w:val="000000" w:themeColor="text1"/>
                <w:spacing w:val="-15"/>
                <w:sz w:val="21"/>
                <w:szCs w:val="21"/>
              </w:rPr>
              <w:t>许可排放量</w:t>
            </w:r>
          </w:p>
          <w:p w14:paraId="53740D11">
            <w:pPr>
              <w:pStyle w:val="40"/>
              <w:ind w:left="29"/>
              <w:jc w:val="center"/>
              <w:rPr>
                <w:rFonts w:ascii="Times New Roman" w:hAnsi="Times New Roman" w:cs="Times New Roman"/>
                <w:b/>
                <w:bCs/>
                <w:color w:val="000000" w:themeColor="text1"/>
                <w:sz w:val="21"/>
                <w:szCs w:val="21"/>
              </w:rPr>
            </w:pPr>
            <w:r>
              <w:rPr>
                <w:rFonts w:hint="eastAsia" w:ascii="Times New Roman" w:hAnsi="Times New Roman"/>
                <w:b/>
                <w:bCs/>
                <w:color w:val="000000" w:themeColor="text1"/>
                <w:sz w:val="21"/>
                <w:szCs w:val="21"/>
              </w:rPr>
              <w:t>②</w:t>
            </w:r>
          </w:p>
        </w:tc>
        <w:tc>
          <w:tcPr>
            <w:tcW w:w="592" w:type="pct"/>
            <w:tcBorders>
              <w:left w:val="single" w:color="000000" w:sz="4" w:space="0"/>
              <w:bottom w:val="single" w:color="000000" w:sz="4" w:space="0"/>
              <w:right w:val="single" w:color="000000" w:sz="4" w:space="0"/>
            </w:tcBorders>
            <w:vAlign w:val="center"/>
          </w:tcPr>
          <w:p w14:paraId="2626290F">
            <w:pPr>
              <w:pStyle w:val="40"/>
              <w:ind w:left="56" w:right="32"/>
              <w:jc w:val="center"/>
              <w:rPr>
                <w:rFonts w:ascii="Times New Roman" w:hAnsi="Times New Roman" w:cs="Times New Roman"/>
                <w:b/>
                <w:bCs/>
                <w:color w:val="000000" w:themeColor="text1"/>
                <w:sz w:val="21"/>
                <w:szCs w:val="21"/>
              </w:rPr>
            </w:pPr>
            <w:r>
              <w:rPr>
                <w:rFonts w:hint="eastAsia" w:ascii="Times New Roman" w:hAnsi="Times New Roman" w:cs="Times New Roman"/>
                <w:b/>
                <w:bCs/>
                <w:color w:val="000000" w:themeColor="text1"/>
                <w:sz w:val="21"/>
                <w:szCs w:val="21"/>
              </w:rPr>
              <w:t xml:space="preserve"> </w:t>
            </w:r>
            <w:r>
              <w:rPr>
                <w:rFonts w:ascii="Times New Roman" w:hAnsi="Times New Roman" w:cs="Times New Roman"/>
                <w:b/>
                <w:bCs/>
                <w:color w:val="000000" w:themeColor="text1"/>
                <w:sz w:val="21"/>
                <w:szCs w:val="21"/>
              </w:rPr>
              <w:t xml:space="preserve">  在建工程</w:t>
            </w:r>
          </w:p>
          <w:p w14:paraId="2101DCCC">
            <w:pPr>
              <w:pStyle w:val="40"/>
              <w:ind w:left="60" w:right="33"/>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pacing w:val="-15"/>
                <w:sz w:val="21"/>
                <w:szCs w:val="21"/>
              </w:rPr>
              <w:t>排放量</w:t>
            </w:r>
            <w:r>
              <w:rPr>
                <w:rFonts w:ascii="Times New Roman" w:hAnsi="Times New Roman" w:cs="Times New Roman"/>
                <w:b/>
                <w:bCs/>
                <w:color w:val="000000" w:themeColor="text1"/>
                <w:spacing w:val="-13"/>
                <w:sz w:val="21"/>
                <w:szCs w:val="21"/>
              </w:rPr>
              <w:t>（</w:t>
            </w:r>
            <w:r>
              <w:rPr>
                <w:rFonts w:ascii="Times New Roman" w:hAnsi="Times New Roman" w:cs="Times New Roman"/>
                <w:b/>
                <w:bCs/>
                <w:color w:val="000000" w:themeColor="text1"/>
                <w:spacing w:val="-14"/>
                <w:sz w:val="21"/>
                <w:szCs w:val="21"/>
              </w:rPr>
              <w:t>固体废物</w:t>
            </w:r>
            <w:r>
              <w:rPr>
                <w:rFonts w:ascii="Times New Roman" w:hAnsi="Times New Roman" w:cs="Times New Roman"/>
                <w:b/>
                <w:bCs/>
                <w:color w:val="000000" w:themeColor="text1"/>
                <w:spacing w:val="-15"/>
                <w:sz w:val="21"/>
                <w:szCs w:val="21"/>
              </w:rPr>
              <w:t>产生量</w:t>
            </w:r>
            <w:r>
              <w:rPr>
                <w:rFonts w:ascii="Times New Roman" w:hAnsi="Times New Roman" w:cs="Times New Roman"/>
                <w:b/>
                <w:bCs/>
                <w:color w:val="000000" w:themeColor="text1"/>
                <w:spacing w:val="-8"/>
                <w:sz w:val="21"/>
                <w:szCs w:val="21"/>
              </w:rPr>
              <w:t>）③</w:t>
            </w:r>
          </w:p>
        </w:tc>
        <w:tc>
          <w:tcPr>
            <w:tcW w:w="540" w:type="pct"/>
            <w:tcBorders>
              <w:left w:val="single" w:color="000000" w:sz="4" w:space="0"/>
              <w:bottom w:val="single" w:color="000000" w:sz="4" w:space="0"/>
              <w:right w:val="single" w:color="000000" w:sz="4" w:space="0"/>
            </w:tcBorders>
            <w:vAlign w:val="center"/>
          </w:tcPr>
          <w:p w14:paraId="5F80485D">
            <w:pPr>
              <w:pStyle w:val="40"/>
              <w:ind w:left="28"/>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本项目</w:t>
            </w:r>
          </w:p>
          <w:p w14:paraId="5764F1D9">
            <w:pPr>
              <w:pStyle w:val="40"/>
              <w:ind w:left="31"/>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pacing w:val="-42"/>
                <w:sz w:val="21"/>
                <w:szCs w:val="21"/>
              </w:rPr>
              <w:t>排放量</w:t>
            </w:r>
            <w:r>
              <w:rPr>
                <w:rFonts w:ascii="Times New Roman" w:hAnsi="Times New Roman" w:cs="Times New Roman"/>
                <w:b/>
                <w:bCs/>
                <w:color w:val="000000" w:themeColor="text1"/>
                <w:spacing w:val="-13"/>
                <w:sz w:val="21"/>
                <w:szCs w:val="21"/>
              </w:rPr>
              <w:t>（</w:t>
            </w:r>
            <w:r>
              <w:rPr>
                <w:rFonts w:ascii="Times New Roman" w:hAnsi="Times New Roman" w:cs="Times New Roman"/>
                <w:b/>
                <w:bCs/>
                <w:color w:val="000000" w:themeColor="text1"/>
                <w:spacing w:val="-15"/>
                <w:sz w:val="21"/>
                <w:szCs w:val="21"/>
              </w:rPr>
              <w:t>固体废物产生量</w:t>
            </w:r>
            <w:r>
              <w:rPr>
                <w:rFonts w:ascii="Times New Roman" w:hAnsi="Times New Roman" w:cs="Times New Roman"/>
                <w:b/>
                <w:bCs/>
                <w:color w:val="000000" w:themeColor="text1"/>
                <w:spacing w:val="-8"/>
                <w:sz w:val="21"/>
                <w:szCs w:val="21"/>
              </w:rPr>
              <w:t>）④</w:t>
            </w:r>
          </w:p>
        </w:tc>
        <w:tc>
          <w:tcPr>
            <w:tcW w:w="617" w:type="pct"/>
            <w:tcBorders>
              <w:left w:val="single" w:color="000000" w:sz="4" w:space="0"/>
              <w:bottom w:val="single" w:color="000000" w:sz="4" w:space="0"/>
              <w:right w:val="single" w:color="000000" w:sz="4" w:space="0"/>
            </w:tcBorders>
            <w:vAlign w:val="center"/>
          </w:tcPr>
          <w:p w14:paraId="569EF868">
            <w:pPr>
              <w:pStyle w:val="40"/>
              <w:ind w:left="53" w:right="41"/>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以新带老削减量</w:t>
            </w:r>
          </w:p>
          <w:p w14:paraId="2BACA12C">
            <w:pPr>
              <w:pStyle w:val="40"/>
              <w:ind w:left="53" w:right="41"/>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pacing w:val="-34"/>
                <w:sz w:val="21"/>
                <w:szCs w:val="21"/>
              </w:rPr>
              <w:t>（新建项目不填</w:t>
            </w:r>
            <w:r>
              <w:rPr>
                <w:rFonts w:ascii="Times New Roman" w:hAnsi="Times New Roman" w:cs="Times New Roman"/>
                <w:b/>
                <w:bCs/>
                <w:color w:val="000000" w:themeColor="text1"/>
                <w:spacing w:val="-17"/>
                <w:sz w:val="21"/>
                <w:szCs w:val="21"/>
              </w:rPr>
              <w:t>）⑤</w:t>
            </w:r>
          </w:p>
        </w:tc>
        <w:tc>
          <w:tcPr>
            <w:tcW w:w="688" w:type="pct"/>
            <w:tcBorders>
              <w:left w:val="single" w:color="000000" w:sz="4" w:space="0"/>
              <w:bottom w:val="single" w:color="000000" w:sz="4" w:space="0"/>
              <w:right w:val="single" w:color="000000" w:sz="4" w:space="0"/>
            </w:tcBorders>
            <w:vAlign w:val="center"/>
          </w:tcPr>
          <w:p w14:paraId="18AFE456">
            <w:pPr>
              <w:pStyle w:val="40"/>
              <w:ind w:left="29" w:right="18"/>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本项目建成后</w:t>
            </w:r>
          </w:p>
          <w:p w14:paraId="2ED7786E">
            <w:pPr>
              <w:pStyle w:val="40"/>
              <w:ind w:left="29" w:right="-29"/>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pacing w:val="-45"/>
                <w:sz w:val="21"/>
                <w:szCs w:val="21"/>
              </w:rPr>
              <w:t>全厂排放量</w:t>
            </w:r>
            <w:r>
              <w:rPr>
                <w:rFonts w:ascii="Times New Roman" w:hAnsi="Times New Roman" w:cs="Times New Roman"/>
                <w:b/>
                <w:bCs/>
                <w:color w:val="000000" w:themeColor="text1"/>
                <w:spacing w:val="-34"/>
                <w:sz w:val="21"/>
                <w:szCs w:val="21"/>
              </w:rPr>
              <w:t>（</w:t>
            </w:r>
            <w:r>
              <w:rPr>
                <w:rFonts w:ascii="Times New Roman" w:hAnsi="Times New Roman" w:cs="Times New Roman"/>
                <w:b/>
                <w:bCs/>
                <w:color w:val="000000" w:themeColor="text1"/>
                <w:spacing w:val="-28"/>
                <w:sz w:val="21"/>
                <w:szCs w:val="21"/>
              </w:rPr>
              <w:t>固体废物产</w:t>
            </w:r>
            <w:r>
              <w:rPr>
                <w:rFonts w:ascii="Times New Roman" w:hAnsi="Times New Roman" w:cs="Times New Roman"/>
                <w:b/>
                <w:bCs/>
                <w:color w:val="000000" w:themeColor="text1"/>
                <w:spacing w:val="-34"/>
                <w:sz w:val="21"/>
                <w:szCs w:val="21"/>
              </w:rPr>
              <w:t>生量</w:t>
            </w:r>
            <w:r>
              <w:rPr>
                <w:rFonts w:ascii="Times New Roman" w:hAnsi="Times New Roman" w:cs="Times New Roman"/>
                <w:b/>
                <w:bCs/>
                <w:color w:val="000000" w:themeColor="text1"/>
                <w:spacing w:val="-17"/>
                <w:sz w:val="21"/>
                <w:szCs w:val="21"/>
              </w:rPr>
              <w:t>）⑥</w:t>
            </w:r>
          </w:p>
        </w:tc>
        <w:tc>
          <w:tcPr>
            <w:tcW w:w="491" w:type="pct"/>
            <w:tcBorders>
              <w:left w:val="single" w:color="000000" w:sz="4" w:space="0"/>
              <w:bottom w:val="single" w:color="000000" w:sz="4" w:space="0"/>
            </w:tcBorders>
            <w:vAlign w:val="center"/>
          </w:tcPr>
          <w:p w14:paraId="1B33EEDA">
            <w:pPr>
              <w:pStyle w:val="40"/>
              <w:ind w:left="86" w:right="54"/>
              <w:jc w:val="center"/>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变化量</w:t>
            </w:r>
          </w:p>
          <w:p w14:paraId="325EE156">
            <w:pPr>
              <w:pStyle w:val="40"/>
              <w:ind w:left="20"/>
              <w:jc w:val="center"/>
              <w:rPr>
                <w:rFonts w:ascii="Times New Roman" w:hAnsi="Times New Roman" w:cs="Times New Roman"/>
                <w:b/>
                <w:bCs/>
                <w:color w:val="000000" w:themeColor="text1"/>
                <w:sz w:val="21"/>
                <w:szCs w:val="21"/>
              </w:rPr>
            </w:pPr>
            <w:r>
              <w:rPr>
                <w:rFonts w:hint="eastAsia" w:ascii="Times New Roman" w:hAnsi="Times New Roman"/>
                <w:b/>
                <w:bCs/>
                <w:color w:val="000000" w:themeColor="text1"/>
                <w:sz w:val="21"/>
                <w:szCs w:val="21"/>
              </w:rPr>
              <w:t>⑦</w:t>
            </w:r>
          </w:p>
        </w:tc>
      </w:tr>
      <w:tr w14:paraId="43BA1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549" w:type="pct"/>
            <w:tcBorders>
              <w:top w:val="single" w:color="000000" w:sz="4" w:space="0"/>
              <w:right w:val="single" w:color="000000" w:sz="4" w:space="0"/>
            </w:tcBorders>
            <w:vAlign w:val="center"/>
          </w:tcPr>
          <w:p w14:paraId="3A1C6B72">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废气</w:t>
            </w:r>
          </w:p>
        </w:tc>
        <w:tc>
          <w:tcPr>
            <w:tcW w:w="489" w:type="pct"/>
            <w:tcBorders>
              <w:top w:val="single" w:color="000000" w:sz="4" w:space="0"/>
              <w:left w:val="single" w:color="000000" w:sz="4" w:space="0"/>
              <w:bottom w:val="single" w:color="000000" w:sz="4" w:space="0"/>
              <w:right w:val="single" w:color="000000" w:sz="4" w:space="0"/>
            </w:tcBorders>
            <w:vAlign w:val="center"/>
          </w:tcPr>
          <w:p w14:paraId="6F52B560">
            <w:pPr>
              <w:jc w:val="center"/>
              <w:rPr>
                <w:rFonts w:ascii="Times New Roman" w:hAnsi="Times New Roman" w:cs="Times New Roman"/>
                <w:bCs/>
                <w:color w:val="000000" w:themeColor="text1"/>
                <w:sz w:val="21"/>
                <w:szCs w:val="21"/>
                <w:lang w:val="en-US"/>
              </w:rPr>
            </w:pPr>
            <w:r>
              <w:rPr>
                <w:rFonts w:hint="eastAsia" w:ascii="Times New Roman" w:hAnsi="Times New Roman" w:cs="Times New Roman"/>
                <w:color w:val="000000" w:themeColor="text1"/>
                <w:sz w:val="21"/>
                <w:lang w:val="en-US"/>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53051038">
            <w:pPr>
              <w:jc w:val="center"/>
              <w:rPr>
                <w:rFonts w:ascii="Times New Roman" w:hAnsi="Times New Roman" w:cs="Times New Roman"/>
                <w:bCs/>
                <w:color w:val="000000" w:themeColor="text1"/>
                <w:sz w:val="21"/>
                <w:szCs w:val="21"/>
                <w:lang w:val="en-US"/>
              </w:rPr>
            </w:pPr>
            <w:r>
              <w:rPr>
                <w:rFonts w:hint="eastAsia" w:ascii="Times New Roman" w:hAnsi="Times New Roman" w:cs="Times New Roman"/>
                <w:color w:val="000000" w:themeColor="text1"/>
                <w:sz w:val="21"/>
                <w:lang w:val="en-US"/>
              </w:rPr>
              <w:t>/</w:t>
            </w:r>
          </w:p>
        </w:tc>
        <w:tc>
          <w:tcPr>
            <w:tcW w:w="437" w:type="pct"/>
            <w:tcBorders>
              <w:top w:val="single" w:color="000000" w:sz="4" w:space="0"/>
              <w:left w:val="single" w:color="000000" w:sz="4" w:space="0"/>
              <w:bottom w:val="single" w:color="000000" w:sz="4" w:space="0"/>
              <w:right w:val="single" w:color="000000" w:sz="4" w:space="0"/>
            </w:tcBorders>
            <w:vAlign w:val="center"/>
          </w:tcPr>
          <w:p w14:paraId="044C275D">
            <w:pPr>
              <w:jc w:val="center"/>
              <w:rPr>
                <w:rFonts w:ascii="Times New Roman" w:hAnsi="Times New Roman" w:cs="Times New Roman"/>
                <w:bCs/>
                <w:color w:val="000000" w:themeColor="text1"/>
                <w:sz w:val="21"/>
                <w:szCs w:val="21"/>
                <w:lang w:val="en-US"/>
              </w:rPr>
            </w:pPr>
            <w:r>
              <w:rPr>
                <w:rFonts w:hint="eastAsia" w:ascii="Times New Roman" w:hAnsi="Times New Roman" w:cs="Times New Roman"/>
                <w:color w:val="000000" w:themeColor="text1"/>
                <w:sz w:val="21"/>
                <w:lang w:val="en-US"/>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788EC74A">
            <w:pPr>
              <w:jc w:val="center"/>
              <w:rPr>
                <w:rFonts w:ascii="Times New Roman" w:hAnsi="Times New Roman" w:cs="Times New Roman"/>
                <w:bCs/>
                <w:color w:val="000000" w:themeColor="text1"/>
                <w:sz w:val="21"/>
                <w:szCs w:val="21"/>
                <w:lang w:val="en-US"/>
              </w:rPr>
            </w:pPr>
            <w:r>
              <w:rPr>
                <w:rFonts w:hint="eastAsia" w:ascii="Times New Roman" w:hAnsi="Times New Roman" w:cs="Times New Roman"/>
                <w:color w:val="000000" w:themeColor="text1"/>
                <w:sz w:val="21"/>
                <w:lang w:val="en-US"/>
              </w:rPr>
              <w:t>/</w:t>
            </w:r>
          </w:p>
        </w:tc>
        <w:tc>
          <w:tcPr>
            <w:tcW w:w="540" w:type="pct"/>
            <w:tcBorders>
              <w:top w:val="single" w:color="000000" w:sz="4" w:space="0"/>
              <w:left w:val="single" w:color="000000" w:sz="4" w:space="0"/>
              <w:bottom w:val="single" w:color="000000" w:sz="4" w:space="0"/>
              <w:right w:val="single" w:color="000000" w:sz="4" w:space="0"/>
            </w:tcBorders>
            <w:vAlign w:val="center"/>
          </w:tcPr>
          <w:p w14:paraId="18805E0B">
            <w:pPr>
              <w:jc w:val="center"/>
              <w:rPr>
                <w:rFonts w:ascii="Times New Roman" w:hAnsi="Times New Roman" w:cs="Times New Roman"/>
                <w:bCs/>
                <w:color w:val="000000" w:themeColor="text1"/>
                <w:sz w:val="21"/>
                <w:szCs w:val="21"/>
                <w:lang w:val="en-US"/>
              </w:rPr>
            </w:pPr>
            <w:r>
              <w:rPr>
                <w:rFonts w:hint="eastAsia" w:ascii="Times New Roman" w:hAnsi="Times New Roman" w:cs="Times New Roman"/>
                <w:color w:val="000000" w:themeColor="text1"/>
                <w:sz w:val="21"/>
                <w:lang w:val="en-US"/>
              </w:rPr>
              <w:t>/</w:t>
            </w:r>
          </w:p>
        </w:tc>
        <w:tc>
          <w:tcPr>
            <w:tcW w:w="617" w:type="pct"/>
            <w:tcBorders>
              <w:top w:val="single" w:color="000000" w:sz="4" w:space="0"/>
              <w:left w:val="single" w:color="000000" w:sz="4" w:space="0"/>
              <w:bottom w:val="single" w:color="000000" w:sz="4" w:space="0"/>
              <w:right w:val="single" w:color="000000" w:sz="4" w:space="0"/>
            </w:tcBorders>
            <w:vAlign w:val="center"/>
          </w:tcPr>
          <w:p w14:paraId="0FA47EBA">
            <w:pPr>
              <w:jc w:val="center"/>
              <w:rPr>
                <w:rFonts w:ascii="Times New Roman" w:hAnsi="Times New Roman" w:cs="Times New Roman"/>
                <w:bCs/>
                <w:color w:val="000000" w:themeColor="text1"/>
                <w:sz w:val="21"/>
                <w:szCs w:val="21"/>
                <w:lang w:val="en-US"/>
              </w:rPr>
            </w:pPr>
            <w:r>
              <w:rPr>
                <w:rFonts w:hint="eastAsia" w:ascii="Times New Roman" w:hAnsi="Times New Roman" w:cs="Times New Roman"/>
                <w:color w:val="000000" w:themeColor="text1"/>
                <w:sz w:val="21"/>
                <w:lang w:val="en-US"/>
              </w:rPr>
              <w:t>/</w:t>
            </w:r>
          </w:p>
        </w:tc>
        <w:tc>
          <w:tcPr>
            <w:tcW w:w="688" w:type="pct"/>
            <w:tcBorders>
              <w:top w:val="single" w:color="000000" w:sz="4" w:space="0"/>
              <w:left w:val="single" w:color="000000" w:sz="4" w:space="0"/>
              <w:bottom w:val="single" w:color="000000" w:sz="4" w:space="0"/>
              <w:right w:val="single" w:color="000000" w:sz="4" w:space="0"/>
            </w:tcBorders>
            <w:vAlign w:val="center"/>
          </w:tcPr>
          <w:p w14:paraId="349E57EC">
            <w:pPr>
              <w:jc w:val="center"/>
              <w:rPr>
                <w:rFonts w:ascii="Times New Roman" w:hAnsi="Times New Roman" w:cs="Times New Roman"/>
                <w:bCs/>
                <w:color w:val="000000" w:themeColor="text1"/>
                <w:sz w:val="21"/>
                <w:szCs w:val="21"/>
                <w:lang w:val="en-US"/>
              </w:rPr>
            </w:pPr>
            <w:r>
              <w:rPr>
                <w:rFonts w:hint="eastAsia" w:ascii="Times New Roman" w:hAnsi="Times New Roman" w:cs="Times New Roman"/>
                <w:color w:val="000000" w:themeColor="text1"/>
                <w:sz w:val="21"/>
                <w:lang w:val="en-US"/>
              </w:rPr>
              <w:t>/</w:t>
            </w:r>
          </w:p>
        </w:tc>
        <w:tc>
          <w:tcPr>
            <w:tcW w:w="491" w:type="pct"/>
            <w:tcBorders>
              <w:top w:val="single" w:color="000000" w:sz="4" w:space="0"/>
              <w:left w:val="single" w:color="000000" w:sz="4" w:space="0"/>
              <w:bottom w:val="single" w:color="000000" w:sz="4" w:space="0"/>
            </w:tcBorders>
            <w:vAlign w:val="center"/>
          </w:tcPr>
          <w:p w14:paraId="399FD4F9">
            <w:pPr>
              <w:jc w:val="center"/>
              <w:rPr>
                <w:rFonts w:ascii="Times New Roman" w:hAnsi="Times New Roman" w:cs="Times New Roman"/>
                <w:bCs/>
                <w:color w:val="000000" w:themeColor="text1"/>
                <w:sz w:val="21"/>
                <w:szCs w:val="21"/>
                <w:lang w:val="en-US"/>
              </w:rPr>
            </w:pPr>
            <w:r>
              <w:rPr>
                <w:rFonts w:hint="eastAsia" w:ascii="Times New Roman" w:hAnsi="Times New Roman" w:cs="Times New Roman"/>
                <w:color w:val="000000" w:themeColor="text1"/>
                <w:sz w:val="21"/>
                <w:lang w:val="en-US"/>
              </w:rPr>
              <w:t>/</w:t>
            </w:r>
          </w:p>
        </w:tc>
      </w:tr>
      <w:tr w14:paraId="13590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549" w:type="pct"/>
            <w:vMerge w:val="restart"/>
            <w:tcBorders>
              <w:top w:val="single" w:color="000000" w:sz="4" w:space="0"/>
              <w:bottom w:val="single" w:color="000000" w:sz="4" w:space="0"/>
              <w:right w:val="single" w:color="000000" w:sz="4" w:space="0"/>
            </w:tcBorders>
            <w:vAlign w:val="center"/>
          </w:tcPr>
          <w:p w14:paraId="5641A5CB">
            <w:pPr>
              <w:pStyle w:val="40"/>
              <w:jc w:val="center"/>
              <w:rPr>
                <w:rFonts w:ascii="Times New Roman" w:hAnsi="Times New Roman" w:cs="Times New Roman"/>
                <w:color w:val="000000" w:themeColor="text1"/>
                <w:sz w:val="21"/>
                <w:szCs w:val="21"/>
              </w:rPr>
            </w:pPr>
          </w:p>
          <w:p w14:paraId="2F8236F6">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废水</w:t>
            </w:r>
          </w:p>
        </w:tc>
        <w:tc>
          <w:tcPr>
            <w:tcW w:w="489" w:type="pct"/>
            <w:tcBorders>
              <w:top w:val="single" w:color="000000" w:sz="4" w:space="0"/>
              <w:left w:val="single" w:color="000000" w:sz="4" w:space="0"/>
              <w:bottom w:val="single" w:color="000000" w:sz="4" w:space="0"/>
              <w:right w:val="single" w:color="000000" w:sz="4" w:space="0"/>
            </w:tcBorders>
            <w:vAlign w:val="center"/>
          </w:tcPr>
          <w:p w14:paraId="31834985">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废水量</w:t>
            </w:r>
            <w:r>
              <w:rPr>
                <w:rFonts w:hint="eastAsia" w:ascii="Times New Roman" w:hAnsi="Times New Roman" w:cs="Times New Roman"/>
                <w:color w:val="000000" w:themeColor="text1"/>
                <w:sz w:val="21"/>
                <w:szCs w:val="21"/>
                <w:lang w:val="en-US"/>
              </w:rPr>
              <w:t>（</w:t>
            </w:r>
            <w:r>
              <w:rPr>
                <w:rFonts w:ascii="Times New Roman" w:hAnsi="Times New Roman" w:cs="Times New Roman"/>
                <w:color w:val="000000" w:themeColor="text1"/>
                <w:sz w:val="21"/>
                <w:szCs w:val="21"/>
                <w:lang w:val="en-US"/>
              </w:rPr>
              <w:t>m</w:t>
            </w:r>
            <w:r>
              <w:rPr>
                <w:rFonts w:ascii="Times New Roman" w:hAnsi="Times New Roman" w:cs="Times New Roman"/>
                <w:color w:val="000000" w:themeColor="text1"/>
                <w:sz w:val="21"/>
                <w:szCs w:val="21"/>
                <w:vertAlign w:val="superscript"/>
                <w:lang w:val="en-US"/>
              </w:rPr>
              <w:t>3</w:t>
            </w:r>
            <w:r>
              <w:rPr>
                <w:rFonts w:ascii="Times New Roman" w:hAnsi="Times New Roman" w:cs="Times New Roman"/>
                <w:color w:val="000000" w:themeColor="text1"/>
                <w:sz w:val="21"/>
                <w:szCs w:val="21"/>
                <w:lang w:val="en-US"/>
              </w:rPr>
              <w:t>/a</w:t>
            </w:r>
            <w:r>
              <w:rPr>
                <w:rFonts w:hint="eastAsia" w:ascii="Times New Roman" w:hAnsi="Times New Roman" w:cs="Times New Roman"/>
                <w:color w:val="000000" w:themeColor="text1"/>
                <w:sz w:val="21"/>
                <w:szCs w:val="21"/>
                <w:lang w:val="en-US"/>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14A8381B">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68503.2</w:t>
            </w:r>
          </w:p>
        </w:tc>
        <w:tc>
          <w:tcPr>
            <w:tcW w:w="437" w:type="pct"/>
            <w:tcBorders>
              <w:top w:val="single" w:color="000000" w:sz="4" w:space="0"/>
              <w:left w:val="single" w:color="000000" w:sz="4" w:space="0"/>
              <w:bottom w:val="single" w:color="000000" w:sz="4" w:space="0"/>
              <w:right w:val="single" w:color="000000" w:sz="4" w:space="0"/>
            </w:tcBorders>
            <w:vAlign w:val="center"/>
          </w:tcPr>
          <w:p w14:paraId="147D0D8C">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68503.2</w:t>
            </w:r>
          </w:p>
        </w:tc>
        <w:tc>
          <w:tcPr>
            <w:tcW w:w="592" w:type="pct"/>
            <w:tcBorders>
              <w:top w:val="single" w:color="000000" w:sz="4" w:space="0"/>
              <w:left w:val="single" w:color="000000" w:sz="4" w:space="0"/>
              <w:bottom w:val="single" w:color="000000" w:sz="4" w:space="0"/>
              <w:right w:val="single" w:color="000000" w:sz="4" w:space="0"/>
            </w:tcBorders>
            <w:vAlign w:val="center"/>
          </w:tcPr>
          <w:p w14:paraId="1C7D6E02">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65393.4</w:t>
            </w:r>
          </w:p>
        </w:tc>
        <w:tc>
          <w:tcPr>
            <w:tcW w:w="540" w:type="pct"/>
            <w:tcBorders>
              <w:top w:val="single" w:color="000000" w:sz="4" w:space="0"/>
              <w:left w:val="single" w:color="000000" w:sz="4" w:space="0"/>
              <w:bottom w:val="single" w:color="000000" w:sz="4" w:space="0"/>
              <w:right w:val="single" w:color="000000" w:sz="4" w:space="0"/>
            </w:tcBorders>
            <w:vAlign w:val="center"/>
          </w:tcPr>
          <w:p w14:paraId="12F1F468">
            <w:pPr>
              <w:pStyle w:val="4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rPr>
              <w:t xml:space="preserve">41189.70 </w:t>
            </w:r>
          </w:p>
        </w:tc>
        <w:tc>
          <w:tcPr>
            <w:tcW w:w="617" w:type="pct"/>
            <w:tcBorders>
              <w:top w:val="single" w:color="000000" w:sz="4" w:space="0"/>
              <w:left w:val="single" w:color="000000" w:sz="4" w:space="0"/>
              <w:bottom w:val="single" w:color="000000" w:sz="4" w:space="0"/>
              <w:right w:val="single" w:color="000000" w:sz="4" w:space="0"/>
            </w:tcBorders>
            <w:vAlign w:val="center"/>
          </w:tcPr>
          <w:p w14:paraId="6739FDAA">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876</w:t>
            </w:r>
          </w:p>
        </w:tc>
        <w:tc>
          <w:tcPr>
            <w:tcW w:w="688" w:type="pct"/>
            <w:tcBorders>
              <w:top w:val="single" w:color="000000" w:sz="4" w:space="0"/>
              <w:left w:val="single" w:color="000000" w:sz="4" w:space="0"/>
              <w:bottom w:val="single" w:color="000000" w:sz="4" w:space="0"/>
              <w:right w:val="single" w:color="000000" w:sz="4" w:space="0"/>
            </w:tcBorders>
            <w:vAlign w:val="center"/>
          </w:tcPr>
          <w:p w14:paraId="36C55254">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174210.30 </w:t>
            </w:r>
          </w:p>
        </w:tc>
        <w:tc>
          <w:tcPr>
            <w:tcW w:w="491" w:type="pct"/>
            <w:tcBorders>
              <w:top w:val="single" w:color="000000" w:sz="4" w:space="0"/>
              <w:left w:val="single" w:color="000000" w:sz="4" w:space="0"/>
              <w:bottom w:val="single" w:color="000000" w:sz="4" w:space="0"/>
            </w:tcBorders>
            <w:vAlign w:val="center"/>
          </w:tcPr>
          <w:p w14:paraId="4AF425C0">
            <w:pPr>
              <w:pStyle w:val="4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rPr>
              <w:t xml:space="preserve">+105707.10 </w:t>
            </w:r>
          </w:p>
        </w:tc>
      </w:tr>
      <w:tr w14:paraId="7B65E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549" w:type="pct"/>
            <w:vMerge w:val="continue"/>
            <w:tcBorders>
              <w:top w:val="single" w:color="000000" w:sz="4" w:space="0"/>
              <w:bottom w:val="single" w:color="000000" w:sz="4" w:space="0"/>
              <w:right w:val="single" w:color="000000" w:sz="4" w:space="0"/>
            </w:tcBorders>
            <w:vAlign w:val="center"/>
          </w:tcPr>
          <w:p w14:paraId="59ECCD64">
            <w:pPr>
              <w:pStyle w:val="40"/>
              <w:jc w:val="center"/>
              <w:rPr>
                <w:rFonts w:ascii="Times New Roman" w:hAnsi="Times New Roman" w:cs="Times New Roman"/>
                <w:color w:val="000000" w:themeColor="text1"/>
                <w:sz w:val="21"/>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6C904F9D">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COD</w:t>
            </w:r>
            <w:r>
              <w:rPr>
                <w:rFonts w:hint="eastAsia" w:ascii="Times New Roman" w:hAnsi="Times New Roman" w:cs="Times New Roman"/>
                <w:color w:val="000000" w:themeColor="text1"/>
                <w:sz w:val="21"/>
                <w:szCs w:val="21"/>
                <w:lang w:val="en-US"/>
              </w:rPr>
              <w:t>（</w:t>
            </w:r>
            <w:r>
              <w:rPr>
                <w:rFonts w:ascii="Times New Roman" w:hAnsi="Times New Roman" w:cs="Times New Roman"/>
                <w:color w:val="000000" w:themeColor="text1"/>
                <w:sz w:val="21"/>
                <w:szCs w:val="21"/>
                <w:lang w:val="en-US" w:bidi="ar"/>
              </w:rPr>
              <w:t>t/a</w:t>
            </w:r>
            <w:r>
              <w:rPr>
                <w:rFonts w:hint="eastAsia" w:ascii="Times New Roman" w:hAnsi="Times New Roman" w:cs="Times New Roman"/>
                <w:color w:val="000000" w:themeColor="text1"/>
                <w:sz w:val="21"/>
                <w:szCs w:val="21"/>
                <w:lang w:val="en-US"/>
              </w:rPr>
              <w:t>）</w:t>
            </w:r>
          </w:p>
        </w:tc>
        <w:tc>
          <w:tcPr>
            <w:tcW w:w="1788" w:type="dxa"/>
            <w:tcBorders>
              <w:top w:val="single" w:color="000000" w:sz="4" w:space="0"/>
              <w:left w:val="single" w:color="000000" w:sz="4" w:space="0"/>
              <w:bottom w:val="single" w:color="000000" w:sz="4" w:space="0"/>
              <w:right w:val="single" w:color="000000" w:sz="4" w:space="0"/>
            </w:tcBorders>
            <w:vAlign w:val="center"/>
          </w:tcPr>
          <w:p w14:paraId="774B3584">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4.581 </w:t>
            </w:r>
          </w:p>
        </w:tc>
        <w:tc>
          <w:tcPr>
            <w:tcW w:w="1320" w:type="dxa"/>
            <w:tcBorders>
              <w:top w:val="single" w:color="000000" w:sz="4" w:space="0"/>
              <w:left w:val="single" w:color="000000" w:sz="4" w:space="0"/>
              <w:bottom w:val="single" w:color="000000" w:sz="4" w:space="0"/>
              <w:right w:val="single" w:color="000000" w:sz="4" w:space="0"/>
            </w:tcBorders>
            <w:vAlign w:val="center"/>
          </w:tcPr>
          <w:p w14:paraId="1B50EFFB">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4.581 </w:t>
            </w:r>
          </w:p>
        </w:tc>
        <w:tc>
          <w:tcPr>
            <w:tcW w:w="1790" w:type="dxa"/>
            <w:tcBorders>
              <w:top w:val="single" w:color="000000" w:sz="4" w:space="0"/>
              <w:left w:val="single" w:color="000000" w:sz="4" w:space="0"/>
              <w:bottom w:val="single" w:color="000000" w:sz="4" w:space="0"/>
              <w:right w:val="single" w:color="000000" w:sz="4" w:space="0"/>
            </w:tcBorders>
            <w:vAlign w:val="center"/>
          </w:tcPr>
          <w:p w14:paraId="0B1340BC">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3.924 </w:t>
            </w:r>
          </w:p>
        </w:tc>
        <w:tc>
          <w:tcPr>
            <w:tcW w:w="1631" w:type="dxa"/>
            <w:tcBorders>
              <w:top w:val="single" w:color="000000" w:sz="4" w:space="0"/>
              <w:left w:val="single" w:color="000000" w:sz="4" w:space="0"/>
              <w:bottom w:val="single" w:color="000000" w:sz="4" w:space="0"/>
              <w:right w:val="single" w:color="000000" w:sz="4" w:space="0"/>
            </w:tcBorders>
            <w:vAlign w:val="center"/>
          </w:tcPr>
          <w:p w14:paraId="7CA729E2">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2.680 </w:t>
            </w:r>
          </w:p>
        </w:tc>
        <w:tc>
          <w:tcPr>
            <w:tcW w:w="617" w:type="pct"/>
            <w:tcBorders>
              <w:top w:val="single" w:color="000000" w:sz="4" w:space="0"/>
              <w:left w:val="single" w:color="000000" w:sz="4" w:space="0"/>
              <w:bottom w:val="single" w:color="000000" w:sz="4" w:space="0"/>
              <w:right w:val="single" w:color="000000" w:sz="4" w:space="0"/>
            </w:tcBorders>
            <w:vAlign w:val="center"/>
          </w:tcPr>
          <w:p w14:paraId="33FECF25">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 xml:space="preserve">0.053 </w:t>
            </w:r>
          </w:p>
        </w:tc>
        <w:tc>
          <w:tcPr>
            <w:tcW w:w="2078" w:type="dxa"/>
            <w:tcBorders>
              <w:top w:val="single" w:color="000000" w:sz="4" w:space="0"/>
              <w:left w:val="single" w:color="000000" w:sz="4" w:space="0"/>
              <w:bottom w:val="single" w:color="000000" w:sz="4" w:space="0"/>
              <w:right w:val="single" w:color="000000" w:sz="4" w:space="0"/>
            </w:tcBorders>
            <w:vAlign w:val="center"/>
          </w:tcPr>
          <w:p w14:paraId="515D84A6">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11.132 </w:t>
            </w:r>
          </w:p>
        </w:tc>
        <w:tc>
          <w:tcPr>
            <w:tcW w:w="1483" w:type="dxa"/>
            <w:tcBorders>
              <w:top w:val="single" w:color="000000" w:sz="4" w:space="0"/>
              <w:left w:val="single" w:color="000000" w:sz="4" w:space="0"/>
              <w:bottom w:val="single" w:color="000000" w:sz="4" w:space="0"/>
            </w:tcBorders>
            <w:vAlign w:val="center"/>
          </w:tcPr>
          <w:p w14:paraId="0BB6B5B7">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+6.551 </w:t>
            </w:r>
          </w:p>
        </w:tc>
      </w:tr>
      <w:tr w14:paraId="7CCA8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549" w:type="pct"/>
            <w:vMerge w:val="continue"/>
            <w:tcBorders>
              <w:right w:val="single" w:color="000000" w:sz="4" w:space="0"/>
            </w:tcBorders>
            <w:vAlign w:val="center"/>
          </w:tcPr>
          <w:p w14:paraId="0F375FE3">
            <w:pPr>
              <w:pStyle w:val="40"/>
              <w:jc w:val="center"/>
              <w:rPr>
                <w:rFonts w:ascii="Times New Roman" w:hAnsi="Times New Roman" w:cs="Times New Roman"/>
                <w:color w:val="000000" w:themeColor="text1"/>
                <w:sz w:val="21"/>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5A662EF3">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BOD</w:t>
            </w:r>
            <w:r>
              <w:rPr>
                <w:rFonts w:hint="eastAsia" w:ascii="Times New Roman" w:hAnsi="Times New Roman" w:cs="Times New Roman"/>
                <w:color w:val="000000" w:themeColor="text1"/>
                <w:sz w:val="21"/>
                <w:szCs w:val="21"/>
                <w:lang w:val="en-US"/>
              </w:rPr>
              <w:t>（</w:t>
            </w:r>
            <w:r>
              <w:rPr>
                <w:rFonts w:ascii="Times New Roman" w:hAnsi="Times New Roman" w:cs="Times New Roman"/>
                <w:color w:val="000000" w:themeColor="text1"/>
                <w:sz w:val="21"/>
                <w:szCs w:val="21"/>
                <w:lang w:val="en-US" w:bidi="ar"/>
              </w:rPr>
              <w:t>t/a</w:t>
            </w:r>
            <w:r>
              <w:rPr>
                <w:rFonts w:hint="eastAsia" w:ascii="Times New Roman" w:hAnsi="Times New Roman" w:cs="Times New Roman"/>
                <w:color w:val="000000" w:themeColor="text1"/>
                <w:sz w:val="21"/>
                <w:szCs w:val="21"/>
                <w:lang w:val="en-US"/>
              </w:rPr>
              <w:t>）</w:t>
            </w:r>
          </w:p>
        </w:tc>
        <w:tc>
          <w:tcPr>
            <w:tcW w:w="1788" w:type="dxa"/>
            <w:tcBorders>
              <w:top w:val="single" w:color="000000" w:sz="4" w:space="0"/>
              <w:left w:val="single" w:color="000000" w:sz="4" w:space="0"/>
              <w:bottom w:val="single" w:color="000000" w:sz="4" w:space="0"/>
              <w:right w:val="single" w:color="000000" w:sz="4" w:space="0"/>
            </w:tcBorders>
            <w:vAlign w:val="center"/>
          </w:tcPr>
          <w:p w14:paraId="1D2415EB">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3.248 </w:t>
            </w:r>
          </w:p>
        </w:tc>
        <w:tc>
          <w:tcPr>
            <w:tcW w:w="1320" w:type="dxa"/>
            <w:tcBorders>
              <w:top w:val="single" w:color="000000" w:sz="4" w:space="0"/>
              <w:left w:val="single" w:color="000000" w:sz="4" w:space="0"/>
              <w:bottom w:val="single" w:color="000000" w:sz="4" w:space="0"/>
              <w:right w:val="single" w:color="000000" w:sz="4" w:space="0"/>
            </w:tcBorders>
            <w:vAlign w:val="center"/>
          </w:tcPr>
          <w:p w14:paraId="0C699298">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3.248 </w:t>
            </w:r>
          </w:p>
        </w:tc>
        <w:tc>
          <w:tcPr>
            <w:tcW w:w="1790" w:type="dxa"/>
            <w:tcBorders>
              <w:top w:val="single" w:color="000000" w:sz="4" w:space="0"/>
              <w:left w:val="single" w:color="000000" w:sz="4" w:space="0"/>
              <w:bottom w:val="single" w:color="000000" w:sz="4" w:space="0"/>
              <w:right w:val="single" w:color="000000" w:sz="4" w:space="0"/>
            </w:tcBorders>
            <w:vAlign w:val="center"/>
          </w:tcPr>
          <w:p w14:paraId="492989DD">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2.943 </w:t>
            </w:r>
          </w:p>
        </w:tc>
        <w:tc>
          <w:tcPr>
            <w:tcW w:w="1631" w:type="dxa"/>
            <w:tcBorders>
              <w:top w:val="single" w:color="000000" w:sz="4" w:space="0"/>
              <w:left w:val="single" w:color="000000" w:sz="4" w:space="0"/>
              <w:bottom w:val="single" w:color="000000" w:sz="4" w:space="0"/>
              <w:right w:val="single" w:color="000000" w:sz="4" w:space="0"/>
            </w:tcBorders>
            <w:vAlign w:val="center"/>
          </w:tcPr>
          <w:p w14:paraId="599AC969">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1.961 </w:t>
            </w:r>
          </w:p>
        </w:tc>
        <w:tc>
          <w:tcPr>
            <w:tcW w:w="617" w:type="pct"/>
            <w:tcBorders>
              <w:top w:val="single" w:color="000000" w:sz="4" w:space="0"/>
              <w:left w:val="single" w:color="000000" w:sz="4" w:space="0"/>
              <w:bottom w:val="single" w:color="000000" w:sz="4" w:space="0"/>
              <w:right w:val="single" w:color="000000" w:sz="4" w:space="0"/>
            </w:tcBorders>
            <w:vAlign w:val="center"/>
          </w:tcPr>
          <w:p w14:paraId="222DB117">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 xml:space="preserve">0.039 </w:t>
            </w:r>
          </w:p>
        </w:tc>
        <w:tc>
          <w:tcPr>
            <w:tcW w:w="2078" w:type="dxa"/>
            <w:tcBorders>
              <w:top w:val="single" w:color="000000" w:sz="4" w:space="0"/>
              <w:left w:val="single" w:color="000000" w:sz="4" w:space="0"/>
              <w:bottom w:val="single" w:color="000000" w:sz="4" w:space="0"/>
              <w:right w:val="single" w:color="000000" w:sz="4" w:space="0"/>
            </w:tcBorders>
            <w:vAlign w:val="center"/>
          </w:tcPr>
          <w:p w14:paraId="4DEF8111">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8.112 </w:t>
            </w:r>
          </w:p>
        </w:tc>
        <w:tc>
          <w:tcPr>
            <w:tcW w:w="1483" w:type="dxa"/>
            <w:tcBorders>
              <w:top w:val="single" w:color="000000" w:sz="4" w:space="0"/>
              <w:left w:val="single" w:color="000000" w:sz="4" w:space="0"/>
              <w:bottom w:val="single" w:color="000000" w:sz="4" w:space="0"/>
            </w:tcBorders>
            <w:vAlign w:val="center"/>
          </w:tcPr>
          <w:p w14:paraId="78374E7A">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+4.864 </w:t>
            </w:r>
          </w:p>
        </w:tc>
      </w:tr>
      <w:tr w14:paraId="13282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549" w:type="pct"/>
            <w:vMerge w:val="continue"/>
            <w:tcBorders>
              <w:right w:val="single" w:color="000000" w:sz="4" w:space="0"/>
            </w:tcBorders>
            <w:vAlign w:val="center"/>
          </w:tcPr>
          <w:p w14:paraId="01C3685D">
            <w:pPr>
              <w:pStyle w:val="40"/>
              <w:jc w:val="center"/>
              <w:rPr>
                <w:rFonts w:ascii="Times New Roman" w:hAnsi="Times New Roman" w:cs="Times New Roman"/>
                <w:color w:val="000000" w:themeColor="text1"/>
                <w:sz w:val="21"/>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408779A6">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SS</w:t>
            </w:r>
            <w:r>
              <w:rPr>
                <w:rFonts w:hint="eastAsia" w:ascii="Times New Roman" w:hAnsi="Times New Roman" w:cs="Times New Roman"/>
                <w:color w:val="000000" w:themeColor="text1"/>
                <w:sz w:val="21"/>
                <w:szCs w:val="21"/>
                <w:lang w:val="en-US"/>
              </w:rPr>
              <w:t>（</w:t>
            </w:r>
            <w:r>
              <w:rPr>
                <w:rFonts w:ascii="Times New Roman" w:hAnsi="Times New Roman" w:cs="Times New Roman"/>
                <w:color w:val="000000" w:themeColor="text1"/>
                <w:sz w:val="21"/>
                <w:szCs w:val="21"/>
                <w:lang w:val="en-US" w:bidi="ar"/>
              </w:rPr>
              <w:t>t/a</w:t>
            </w:r>
            <w:r>
              <w:rPr>
                <w:rFonts w:hint="eastAsia" w:ascii="Times New Roman" w:hAnsi="Times New Roman" w:cs="Times New Roman"/>
                <w:color w:val="000000" w:themeColor="text1"/>
                <w:sz w:val="21"/>
                <w:szCs w:val="21"/>
                <w:lang w:val="en-US"/>
              </w:rPr>
              <w:t>）</w:t>
            </w:r>
            <w:r>
              <w:rPr>
                <w:rFonts w:hint="eastAsia" w:ascii="Times New Roman" w:hAnsi="Times New Roman" w:cs="Times New Roman"/>
                <w:color w:val="000000" w:themeColor="text1"/>
                <w:sz w:val="21"/>
                <w:szCs w:val="21"/>
                <w:lang w:val="en-US" w:bidi="ar"/>
              </w:rPr>
              <w:t xml:space="preserve"> </w:t>
            </w:r>
          </w:p>
        </w:tc>
        <w:tc>
          <w:tcPr>
            <w:tcW w:w="1788" w:type="dxa"/>
            <w:tcBorders>
              <w:top w:val="single" w:color="000000" w:sz="4" w:space="0"/>
              <w:left w:val="single" w:color="000000" w:sz="4" w:space="0"/>
              <w:bottom w:val="single" w:color="000000" w:sz="4" w:space="0"/>
              <w:right w:val="single" w:color="000000" w:sz="4" w:space="0"/>
            </w:tcBorders>
            <w:vAlign w:val="center"/>
          </w:tcPr>
          <w:p w14:paraId="2852A22F">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0.962 </w:t>
            </w:r>
          </w:p>
        </w:tc>
        <w:tc>
          <w:tcPr>
            <w:tcW w:w="1320" w:type="dxa"/>
            <w:tcBorders>
              <w:top w:val="single" w:color="000000" w:sz="4" w:space="0"/>
              <w:left w:val="single" w:color="000000" w:sz="4" w:space="0"/>
              <w:bottom w:val="single" w:color="000000" w:sz="4" w:space="0"/>
              <w:right w:val="single" w:color="000000" w:sz="4" w:space="0"/>
            </w:tcBorders>
            <w:vAlign w:val="center"/>
          </w:tcPr>
          <w:p w14:paraId="0524BD7E">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0.962 </w:t>
            </w:r>
          </w:p>
        </w:tc>
        <w:tc>
          <w:tcPr>
            <w:tcW w:w="1790" w:type="dxa"/>
            <w:tcBorders>
              <w:top w:val="single" w:color="000000" w:sz="4" w:space="0"/>
              <w:left w:val="single" w:color="000000" w:sz="4" w:space="0"/>
              <w:bottom w:val="single" w:color="000000" w:sz="4" w:space="0"/>
              <w:right w:val="single" w:color="000000" w:sz="4" w:space="0"/>
            </w:tcBorders>
            <w:vAlign w:val="center"/>
          </w:tcPr>
          <w:p w14:paraId="6D864B22">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0.785 </w:t>
            </w:r>
          </w:p>
        </w:tc>
        <w:tc>
          <w:tcPr>
            <w:tcW w:w="1631" w:type="dxa"/>
            <w:tcBorders>
              <w:top w:val="single" w:color="000000" w:sz="4" w:space="0"/>
              <w:left w:val="single" w:color="000000" w:sz="4" w:space="0"/>
              <w:bottom w:val="single" w:color="000000" w:sz="4" w:space="0"/>
              <w:right w:val="single" w:color="000000" w:sz="4" w:space="0"/>
            </w:tcBorders>
            <w:vAlign w:val="center"/>
          </w:tcPr>
          <w:p w14:paraId="53FD58AD">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0.548 </w:t>
            </w:r>
          </w:p>
        </w:tc>
        <w:tc>
          <w:tcPr>
            <w:tcW w:w="617" w:type="pct"/>
            <w:tcBorders>
              <w:top w:val="single" w:color="000000" w:sz="4" w:space="0"/>
              <w:left w:val="single" w:color="000000" w:sz="4" w:space="0"/>
              <w:bottom w:val="single" w:color="000000" w:sz="4" w:space="0"/>
              <w:right w:val="single" w:color="000000" w:sz="4" w:space="0"/>
            </w:tcBorders>
            <w:vAlign w:val="center"/>
          </w:tcPr>
          <w:p w14:paraId="393FD278">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 xml:space="preserve">0.011 </w:t>
            </w:r>
          </w:p>
        </w:tc>
        <w:tc>
          <w:tcPr>
            <w:tcW w:w="2078" w:type="dxa"/>
            <w:tcBorders>
              <w:top w:val="single" w:color="000000" w:sz="4" w:space="0"/>
              <w:left w:val="single" w:color="000000" w:sz="4" w:space="0"/>
              <w:bottom w:val="single" w:color="000000" w:sz="4" w:space="0"/>
              <w:right w:val="single" w:color="000000" w:sz="4" w:space="0"/>
            </w:tcBorders>
            <w:vAlign w:val="center"/>
          </w:tcPr>
          <w:p w14:paraId="607A1577">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2.284 </w:t>
            </w:r>
          </w:p>
        </w:tc>
        <w:tc>
          <w:tcPr>
            <w:tcW w:w="1483" w:type="dxa"/>
            <w:tcBorders>
              <w:top w:val="single" w:color="000000" w:sz="4" w:space="0"/>
              <w:left w:val="single" w:color="000000" w:sz="4" w:space="0"/>
              <w:bottom w:val="single" w:color="000000" w:sz="4" w:space="0"/>
            </w:tcBorders>
            <w:vAlign w:val="center"/>
          </w:tcPr>
          <w:p w14:paraId="46966832">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+1.322 </w:t>
            </w:r>
          </w:p>
        </w:tc>
      </w:tr>
      <w:tr w14:paraId="23F20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549" w:type="pct"/>
            <w:vMerge w:val="continue"/>
            <w:tcBorders>
              <w:right w:val="single" w:color="000000" w:sz="4" w:space="0"/>
            </w:tcBorders>
            <w:vAlign w:val="center"/>
          </w:tcPr>
          <w:p w14:paraId="06F5E5CE">
            <w:pPr>
              <w:pStyle w:val="40"/>
              <w:jc w:val="center"/>
              <w:rPr>
                <w:rFonts w:ascii="Times New Roman" w:hAnsi="Times New Roman" w:cs="Times New Roman"/>
                <w:color w:val="000000" w:themeColor="text1"/>
                <w:sz w:val="21"/>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227DBD3F">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NH</w:t>
            </w:r>
            <w:r>
              <w:rPr>
                <w:rFonts w:ascii="Times New Roman" w:hAnsi="Times New Roman" w:cs="Times New Roman"/>
                <w:color w:val="000000" w:themeColor="text1"/>
                <w:sz w:val="21"/>
                <w:szCs w:val="21"/>
                <w:vertAlign w:val="subscript"/>
                <w:lang w:val="en-US"/>
              </w:rPr>
              <w:t>3</w:t>
            </w:r>
            <w:r>
              <w:rPr>
                <w:rFonts w:ascii="Times New Roman" w:hAnsi="Times New Roman" w:cs="Times New Roman"/>
                <w:color w:val="000000" w:themeColor="text1"/>
                <w:sz w:val="21"/>
                <w:szCs w:val="21"/>
                <w:lang w:val="en-US"/>
              </w:rPr>
              <w:t>-N</w:t>
            </w:r>
            <w:r>
              <w:rPr>
                <w:rFonts w:hint="eastAsia" w:ascii="Times New Roman" w:hAnsi="Times New Roman" w:cs="Times New Roman"/>
                <w:color w:val="000000" w:themeColor="text1"/>
                <w:sz w:val="21"/>
                <w:szCs w:val="21"/>
                <w:lang w:val="en-US"/>
              </w:rPr>
              <w:t>（</w:t>
            </w:r>
            <w:r>
              <w:rPr>
                <w:rFonts w:ascii="Times New Roman" w:hAnsi="Times New Roman" w:cs="Times New Roman"/>
                <w:color w:val="000000" w:themeColor="text1"/>
                <w:sz w:val="21"/>
                <w:szCs w:val="21"/>
                <w:lang w:val="en-US" w:bidi="ar"/>
              </w:rPr>
              <w:t>t/a</w:t>
            </w:r>
            <w:r>
              <w:rPr>
                <w:rFonts w:hint="eastAsia" w:ascii="Times New Roman" w:hAnsi="Times New Roman" w:cs="Times New Roman"/>
                <w:color w:val="000000" w:themeColor="text1"/>
                <w:sz w:val="21"/>
                <w:szCs w:val="21"/>
                <w:lang w:val="en-US"/>
              </w:rPr>
              <w:t>）</w:t>
            </w:r>
          </w:p>
        </w:tc>
        <w:tc>
          <w:tcPr>
            <w:tcW w:w="1788" w:type="dxa"/>
            <w:tcBorders>
              <w:top w:val="single" w:color="000000" w:sz="4" w:space="0"/>
              <w:left w:val="single" w:color="000000" w:sz="4" w:space="0"/>
              <w:bottom w:val="single" w:color="000000" w:sz="4" w:space="0"/>
              <w:right w:val="single" w:color="000000" w:sz="4" w:space="0"/>
            </w:tcBorders>
            <w:vAlign w:val="center"/>
          </w:tcPr>
          <w:p w14:paraId="4CD1D036">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1.060 </w:t>
            </w:r>
          </w:p>
        </w:tc>
        <w:tc>
          <w:tcPr>
            <w:tcW w:w="1320" w:type="dxa"/>
            <w:tcBorders>
              <w:top w:val="single" w:color="000000" w:sz="4" w:space="0"/>
              <w:left w:val="single" w:color="000000" w:sz="4" w:space="0"/>
              <w:bottom w:val="single" w:color="000000" w:sz="4" w:space="0"/>
              <w:right w:val="single" w:color="000000" w:sz="4" w:space="0"/>
            </w:tcBorders>
            <w:vAlign w:val="center"/>
          </w:tcPr>
          <w:p w14:paraId="282D758B">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1.060 </w:t>
            </w:r>
          </w:p>
        </w:tc>
        <w:tc>
          <w:tcPr>
            <w:tcW w:w="1790" w:type="dxa"/>
            <w:tcBorders>
              <w:top w:val="single" w:color="000000" w:sz="4" w:space="0"/>
              <w:left w:val="single" w:color="000000" w:sz="4" w:space="0"/>
              <w:bottom w:val="single" w:color="000000" w:sz="4" w:space="0"/>
              <w:right w:val="single" w:color="000000" w:sz="4" w:space="0"/>
            </w:tcBorders>
            <w:vAlign w:val="center"/>
          </w:tcPr>
          <w:p w14:paraId="73032BBC">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0.981 </w:t>
            </w:r>
          </w:p>
        </w:tc>
        <w:tc>
          <w:tcPr>
            <w:tcW w:w="1631" w:type="dxa"/>
            <w:tcBorders>
              <w:top w:val="single" w:color="000000" w:sz="4" w:space="0"/>
              <w:left w:val="single" w:color="000000" w:sz="4" w:space="0"/>
              <w:bottom w:val="single" w:color="000000" w:sz="4" w:space="0"/>
              <w:right w:val="single" w:color="000000" w:sz="4" w:space="0"/>
            </w:tcBorders>
            <w:vAlign w:val="center"/>
          </w:tcPr>
          <w:p w14:paraId="5BB1CE1F">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0.648 </w:t>
            </w:r>
          </w:p>
        </w:tc>
        <w:tc>
          <w:tcPr>
            <w:tcW w:w="617" w:type="pct"/>
            <w:tcBorders>
              <w:top w:val="single" w:color="000000" w:sz="4" w:space="0"/>
              <w:left w:val="single" w:color="000000" w:sz="4" w:space="0"/>
              <w:bottom w:val="single" w:color="000000" w:sz="4" w:space="0"/>
              <w:right w:val="single" w:color="000000" w:sz="4" w:space="0"/>
            </w:tcBorders>
            <w:vAlign w:val="center"/>
          </w:tcPr>
          <w:p w14:paraId="4F3D5ACB">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 xml:space="preserve">0.013 </w:t>
            </w:r>
          </w:p>
        </w:tc>
        <w:tc>
          <w:tcPr>
            <w:tcW w:w="2078" w:type="dxa"/>
            <w:tcBorders>
              <w:top w:val="single" w:color="000000" w:sz="4" w:space="0"/>
              <w:left w:val="single" w:color="000000" w:sz="4" w:space="0"/>
              <w:bottom w:val="single" w:color="000000" w:sz="4" w:space="0"/>
              <w:right w:val="single" w:color="000000" w:sz="4" w:space="0"/>
            </w:tcBorders>
            <w:vAlign w:val="center"/>
          </w:tcPr>
          <w:p w14:paraId="7FD10E49">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2.675 </w:t>
            </w:r>
          </w:p>
        </w:tc>
        <w:tc>
          <w:tcPr>
            <w:tcW w:w="1483" w:type="dxa"/>
            <w:tcBorders>
              <w:top w:val="single" w:color="000000" w:sz="4" w:space="0"/>
              <w:left w:val="single" w:color="000000" w:sz="4" w:space="0"/>
              <w:bottom w:val="single" w:color="000000" w:sz="4" w:space="0"/>
            </w:tcBorders>
            <w:vAlign w:val="center"/>
          </w:tcPr>
          <w:p w14:paraId="121DFFFB">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 xml:space="preserve">+1.615 </w:t>
            </w:r>
          </w:p>
        </w:tc>
      </w:tr>
      <w:tr w14:paraId="446A4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549" w:type="pct"/>
            <w:vMerge w:val="restart"/>
            <w:tcBorders>
              <w:top w:val="single" w:color="000000" w:sz="4" w:space="0"/>
              <w:right w:val="single" w:color="000000" w:sz="4" w:space="0"/>
            </w:tcBorders>
            <w:vAlign w:val="center"/>
          </w:tcPr>
          <w:p w14:paraId="16A70ED7">
            <w:pPr>
              <w:pStyle w:val="40"/>
              <w:jc w:val="center"/>
              <w:rPr>
                <w:rFonts w:ascii="Times New Roman" w:hAnsi="Times New Roman" w:cs="Times New Roman"/>
                <w:color w:val="000000" w:themeColor="text1"/>
                <w:sz w:val="21"/>
                <w:szCs w:val="21"/>
              </w:rPr>
            </w:pPr>
          </w:p>
          <w:p w14:paraId="21F11CDB">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一般工业固体废物</w:t>
            </w:r>
          </w:p>
        </w:tc>
        <w:tc>
          <w:tcPr>
            <w:tcW w:w="489" w:type="pct"/>
            <w:tcBorders>
              <w:top w:val="single" w:color="000000" w:sz="4" w:space="0"/>
              <w:left w:val="single" w:color="000000" w:sz="4" w:space="0"/>
              <w:bottom w:val="single" w:color="000000" w:sz="4" w:space="0"/>
              <w:right w:val="single" w:color="000000" w:sz="4" w:space="0"/>
            </w:tcBorders>
            <w:vAlign w:val="center"/>
          </w:tcPr>
          <w:p w14:paraId="39ECD3BA">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rPr>
              <w:t>生活垃圾</w:t>
            </w:r>
            <w:r>
              <w:rPr>
                <w:rFonts w:hint="eastAsia" w:ascii="Times New Roman" w:hAnsi="Times New Roman" w:cs="Times New Roman"/>
                <w:color w:val="000000" w:themeColor="text1"/>
                <w:sz w:val="21"/>
                <w:szCs w:val="21"/>
                <w:lang w:val="en-US"/>
              </w:rPr>
              <w:t>（</w:t>
            </w:r>
            <w:r>
              <w:rPr>
                <w:rFonts w:ascii="Times New Roman" w:hAnsi="Times New Roman" w:cs="Times New Roman"/>
                <w:color w:val="000000" w:themeColor="text1"/>
                <w:sz w:val="21"/>
                <w:szCs w:val="21"/>
                <w:lang w:val="en-US" w:bidi="ar"/>
              </w:rPr>
              <w:t>t/a</w:t>
            </w:r>
            <w:r>
              <w:rPr>
                <w:rFonts w:hint="eastAsia" w:ascii="Times New Roman" w:hAnsi="Times New Roman" w:cs="Times New Roman"/>
                <w:color w:val="000000" w:themeColor="text1"/>
                <w:sz w:val="21"/>
                <w:szCs w:val="21"/>
                <w:lang w:val="en-US"/>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4D835C10">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267</w:t>
            </w:r>
          </w:p>
        </w:tc>
        <w:tc>
          <w:tcPr>
            <w:tcW w:w="437" w:type="pct"/>
            <w:tcBorders>
              <w:top w:val="single" w:color="000000" w:sz="4" w:space="0"/>
              <w:left w:val="single" w:color="000000" w:sz="4" w:space="0"/>
              <w:bottom w:val="single" w:color="000000" w:sz="4" w:space="0"/>
              <w:right w:val="single" w:color="000000" w:sz="4" w:space="0"/>
            </w:tcBorders>
            <w:vAlign w:val="center"/>
          </w:tcPr>
          <w:p w14:paraId="436FB551">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267</w:t>
            </w:r>
          </w:p>
        </w:tc>
        <w:tc>
          <w:tcPr>
            <w:tcW w:w="592" w:type="pct"/>
            <w:tcBorders>
              <w:top w:val="single" w:color="000000" w:sz="4" w:space="0"/>
              <w:left w:val="single" w:color="000000" w:sz="4" w:space="0"/>
              <w:bottom w:val="single" w:color="000000" w:sz="4" w:space="0"/>
              <w:right w:val="single" w:color="000000" w:sz="4" w:space="0"/>
            </w:tcBorders>
            <w:vAlign w:val="center"/>
          </w:tcPr>
          <w:p w14:paraId="2F8BC6A8">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46</w:t>
            </w:r>
          </w:p>
        </w:tc>
        <w:tc>
          <w:tcPr>
            <w:tcW w:w="540" w:type="pct"/>
            <w:tcBorders>
              <w:top w:val="single" w:color="000000" w:sz="4" w:space="0"/>
              <w:left w:val="single" w:color="000000" w:sz="4" w:space="0"/>
              <w:bottom w:val="single" w:color="000000" w:sz="4" w:space="0"/>
              <w:right w:val="single" w:color="000000" w:sz="4" w:space="0"/>
            </w:tcBorders>
            <w:vAlign w:val="center"/>
          </w:tcPr>
          <w:p w14:paraId="2050F9E5">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78.147</w:t>
            </w:r>
          </w:p>
        </w:tc>
        <w:tc>
          <w:tcPr>
            <w:tcW w:w="617" w:type="pct"/>
            <w:tcBorders>
              <w:top w:val="single" w:color="000000" w:sz="4" w:space="0"/>
              <w:left w:val="single" w:color="000000" w:sz="4" w:space="0"/>
              <w:bottom w:val="single" w:color="000000" w:sz="4" w:space="0"/>
              <w:right w:val="single" w:color="000000" w:sz="4" w:space="0"/>
            </w:tcBorders>
            <w:vAlign w:val="center"/>
          </w:tcPr>
          <w:p w14:paraId="5D8F7804">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lang w:val="en-US"/>
              </w:rPr>
              <w:t>0</w:t>
            </w:r>
          </w:p>
        </w:tc>
        <w:tc>
          <w:tcPr>
            <w:tcW w:w="688" w:type="pct"/>
            <w:tcBorders>
              <w:top w:val="single" w:color="000000" w:sz="4" w:space="0"/>
              <w:left w:val="single" w:color="000000" w:sz="4" w:space="0"/>
              <w:bottom w:val="single" w:color="000000" w:sz="4" w:space="0"/>
              <w:right w:val="single" w:color="000000" w:sz="4" w:space="0"/>
            </w:tcBorders>
            <w:vAlign w:val="center"/>
          </w:tcPr>
          <w:p w14:paraId="63FC29A3">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391.147</w:t>
            </w:r>
          </w:p>
        </w:tc>
        <w:tc>
          <w:tcPr>
            <w:tcW w:w="491" w:type="pct"/>
            <w:tcBorders>
              <w:top w:val="single" w:color="000000" w:sz="4" w:space="0"/>
              <w:left w:val="single" w:color="000000" w:sz="4" w:space="0"/>
              <w:bottom w:val="single" w:color="000000" w:sz="4" w:space="0"/>
            </w:tcBorders>
            <w:vAlign w:val="center"/>
          </w:tcPr>
          <w:p w14:paraId="5BD6398A">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rPr>
              <w:t>+</w:t>
            </w:r>
            <w:r>
              <w:rPr>
                <w:rFonts w:hint="eastAsia" w:ascii="Times New Roman" w:hAnsi="Times New Roman" w:cs="Times New Roman"/>
                <w:color w:val="000000" w:themeColor="text1"/>
                <w:sz w:val="21"/>
                <w:szCs w:val="21"/>
                <w:lang w:val="en-US" w:bidi="ar"/>
              </w:rPr>
              <w:t>124.147</w:t>
            </w:r>
          </w:p>
        </w:tc>
      </w:tr>
      <w:tr w14:paraId="49798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549" w:type="pct"/>
            <w:vMerge w:val="continue"/>
            <w:tcBorders>
              <w:right w:val="single" w:color="000000" w:sz="4" w:space="0"/>
            </w:tcBorders>
            <w:vAlign w:val="center"/>
          </w:tcPr>
          <w:p w14:paraId="3D77EE30">
            <w:pPr>
              <w:pStyle w:val="40"/>
              <w:jc w:val="center"/>
              <w:rPr>
                <w:rFonts w:ascii="Times New Roman" w:hAnsi="Times New Roman" w:cs="Times New Roman"/>
                <w:color w:val="000000" w:themeColor="text1"/>
                <w:sz w:val="21"/>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3CF96C5F">
            <w:pPr>
              <w:pStyle w:val="40"/>
              <w:jc w:val="center"/>
              <w:rPr>
                <w:rFonts w:ascii="Times New Roman" w:hAnsi="Times New Roman" w:cs="Times New Roman"/>
                <w:color w:val="000000" w:themeColor="text1"/>
                <w:sz w:val="21"/>
              </w:rPr>
            </w:pPr>
            <w:r>
              <w:rPr>
                <w:rFonts w:hint="eastAsia" w:ascii="Times New Roman" w:hAnsi="Times New Roman" w:cs="Times New Roman"/>
                <w:color w:val="000000" w:themeColor="text1"/>
                <w:sz w:val="21"/>
              </w:rPr>
              <w:t>输液瓶</w:t>
            </w:r>
            <w:r>
              <w:rPr>
                <w:rFonts w:hint="eastAsia" w:ascii="Times New Roman" w:hAnsi="Times New Roman" w:cs="Times New Roman"/>
                <w:color w:val="000000" w:themeColor="text1"/>
                <w:sz w:val="21"/>
                <w:szCs w:val="21"/>
                <w:lang w:val="en-US"/>
              </w:rPr>
              <w:t>（</w:t>
            </w:r>
            <w:r>
              <w:rPr>
                <w:rFonts w:ascii="Times New Roman" w:hAnsi="Times New Roman" w:cs="Times New Roman"/>
                <w:color w:val="000000" w:themeColor="text1"/>
                <w:sz w:val="21"/>
                <w:szCs w:val="21"/>
                <w:lang w:val="en-US" w:bidi="ar"/>
              </w:rPr>
              <w:t>t/a</w:t>
            </w:r>
            <w:r>
              <w:rPr>
                <w:rFonts w:hint="eastAsia" w:ascii="Times New Roman" w:hAnsi="Times New Roman" w:cs="Times New Roman"/>
                <w:color w:val="000000" w:themeColor="text1"/>
                <w:sz w:val="21"/>
                <w:szCs w:val="21"/>
                <w:lang w:val="en-US"/>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47BF568C">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10.2</w:t>
            </w:r>
          </w:p>
        </w:tc>
        <w:tc>
          <w:tcPr>
            <w:tcW w:w="437" w:type="pct"/>
            <w:tcBorders>
              <w:top w:val="single" w:color="000000" w:sz="4" w:space="0"/>
              <w:left w:val="single" w:color="000000" w:sz="4" w:space="0"/>
              <w:bottom w:val="single" w:color="000000" w:sz="4" w:space="0"/>
              <w:right w:val="single" w:color="000000" w:sz="4" w:space="0"/>
            </w:tcBorders>
            <w:vAlign w:val="center"/>
          </w:tcPr>
          <w:p w14:paraId="12681121">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10.2</w:t>
            </w:r>
          </w:p>
        </w:tc>
        <w:tc>
          <w:tcPr>
            <w:tcW w:w="592" w:type="pct"/>
            <w:tcBorders>
              <w:top w:val="single" w:color="000000" w:sz="4" w:space="0"/>
              <w:left w:val="single" w:color="000000" w:sz="4" w:space="0"/>
              <w:bottom w:val="single" w:color="000000" w:sz="4" w:space="0"/>
              <w:right w:val="single" w:color="000000" w:sz="4" w:space="0"/>
            </w:tcBorders>
            <w:vAlign w:val="center"/>
          </w:tcPr>
          <w:p w14:paraId="3D65D16A">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4.6</w:t>
            </w:r>
          </w:p>
        </w:tc>
        <w:tc>
          <w:tcPr>
            <w:tcW w:w="540" w:type="pct"/>
            <w:tcBorders>
              <w:top w:val="single" w:color="000000" w:sz="4" w:space="0"/>
              <w:left w:val="single" w:color="000000" w:sz="4" w:space="0"/>
              <w:bottom w:val="single" w:color="000000" w:sz="4" w:space="0"/>
              <w:right w:val="single" w:color="000000" w:sz="4" w:space="0"/>
            </w:tcBorders>
            <w:vAlign w:val="center"/>
          </w:tcPr>
          <w:p w14:paraId="061FB2B7">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4.5</w:t>
            </w:r>
          </w:p>
        </w:tc>
        <w:tc>
          <w:tcPr>
            <w:tcW w:w="617" w:type="pct"/>
            <w:tcBorders>
              <w:top w:val="single" w:color="000000" w:sz="4" w:space="0"/>
              <w:left w:val="single" w:color="000000" w:sz="4" w:space="0"/>
              <w:bottom w:val="single" w:color="000000" w:sz="4" w:space="0"/>
              <w:right w:val="single" w:color="000000" w:sz="4" w:space="0"/>
            </w:tcBorders>
            <w:vAlign w:val="center"/>
          </w:tcPr>
          <w:p w14:paraId="0917DCD8">
            <w:pPr>
              <w:pStyle w:val="40"/>
              <w:jc w:val="center"/>
              <w:rPr>
                <w:rFonts w:ascii="Times New Roman" w:hAnsi="Times New Roman" w:cs="Times New Roman"/>
                <w:color w:val="000000" w:themeColor="text1"/>
                <w:sz w:val="21"/>
                <w:lang w:val="en-US"/>
              </w:rPr>
            </w:pPr>
            <w:r>
              <w:rPr>
                <w:rFonts w:ascii="Times New Roman" w:hAnsi="Times New Roman" w:cs="Times New Roman"/>
                <w:color w:val="000000" w:themeColor="text1"/>
                <w:sz w:val="21"/>
                <w:lang w:val="en-US"/>
              </w:rPr>
              <w:t>0</w:t>
            </w:r>
          </w:p>
        </w:tc>
        <w:tc>
          <w:tcPr>
            <w:tcW w:w="688" w:type="pct"/>
            <w:tcBorders>
              <w:top w:val="single" w:color="000000" w:sz="4" w:space="0"/>
              <w:left w:val="single" w:color="000000" w:sz="4" w:space="0"/>
              <w:bottom w:val="single" w:color="000000" w:sz="4" w:space="0"/>
              <w:right w:val="single" w:color="000000" w:sz="4" w:space="0"/>
            </w:tcBorders>
            <w:vAlign w:val="center"/>
          </w:tcPr>
          <w:p w14:paraId="737FED15">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19.3</w:t>
            </w:r>
          </w:p>
        </w:tc>
        <w:tc>
          <w:tcPr>
            <w:tcW w:w="491" w:type="pct"/>
            <w:tcBorders>
              <w:top w:val="single" w:color="000000" w:sz="4" w:space="0"/>
              <w:left w:val="single" w:color="000000" w:sz="4" w:space="0"/>
              <w:bottom w:val="single" w:color="000000" w:sz="4" w:space="0"/>
            </w:tcBorders>
            <w:vAlign w:val="center"/>
          </w:tcPr>
          <w:p w14:paraId="0DB73BB0">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rPr>
              <w:t>+</w:t>
            </w:r>
            <w:r>
              <w:rPr>
                <w:rFonts w:hint="eastAsia" w:ascii="Times New Roman" w:hAnsi="Times New Roman" w:cs="Times New Roman"/>
                <w:color w:val="000000" w:themeColor="text1"/>
                <w:sz w:val="21"/>
                <w:szCs w:val="21"/>
                <w:lang w:val="en-US" w:bidi="ar"/>
              </w:rPr>
              <w:t>9.1</w:t>
            </w:r>
          </w:p>
        </w:tc>
      </w:tr>
      <w:tr w14:paraId="0FD06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549" w:type="pct"/>
            <w:vMerge w:val="restart"/>
            <w:tcBorders>
              <w:top w:val="single" w:color="000000" w:sz="4" w:space="0"/>
              <w:right w:val="single" w:color="000000" w:sz="4" w:space="0"/>
            </w:tcBorders>
            <w:vAlign w:val="center"/>
          </w:tcPr>
          <w:p w14:paraId="5678A393">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危险废物</w:t>
            </w:r>
          </w:p>
        </w:tc>
        <w:tc>
          <w:tcPr>
            <w:tcW w:w="489" w:type="pct"/>
            <w:tcBorders>
              <w:top w:val="single" w:color="000000" w:sz="4" w:space="0"/>
              <w:left w:val="single" w:color="000000" w:sz="4" w:space="0"/>
              <w:bottom w:val="single" w:color="000000" w:sz="4" w:space="0"/>
              <w:right w:val="single" w:color="000000" w:sz="4" w:space="0"/>
            </w:tcBorders>
            <w:vAlign w:val="center"/>
          </w:tcPr>
          <w:p w14:paraId="6D281F22">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医疗废物</w:t>
            </w:r>
            <w:r>
              <w:rPr>
                <w:rFonts w:hint="eastAsia" w:ascii="Times New Roman" w:hAnsi="Times New Roman" w:cs="Times New Roman"/>
                <w:color w:val="000000" w:themeColor="text1"/>
                <w:sz w:val="21"/>
                <w:szCs w:val="21"/>
                <w:lang w:val="en-US"/>
              </w:rPr>
              <w:t>（</w:t>
            </w:r>
            <w:r>
              <w:rPr>
                <w:rFonts w:ascii="Times New Roman" w:hAnsi="Times New Roman" w:cs="Times New Roman"/>
                <w:color w:val="000000" w:themeColor="text1"/>
                <w:sz w:val="21"/>
                <w:szCs w:val="21"/>
                <w:lang w:val="en-US" w:bidi="ar"/>
              </w:rPr>
              <w:t>t/a</w:t>
            </w:r>
            <w:r>
              <w:rPr>
                <w:rFonts w:hint="eastAsia" w:ascii="Times New Roman" w:hAnsi="Times New Roman" w:cs="Times New Roman"/>
                <w:color w:val="000000" w:themeColor="text1"/>
                <w:sz w:val="21"/>
                <w:szCs w:val="21"/>
                <w:lang w:val="en-US"/>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373F484C">
            <w:pPr>
              <w:pStyle w:val="4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rPr>
              <w:t>48</w:t>
            </w:r>
          </w:p>
        </w:tc>
        <w:tc>
          <w:tcPr>
            <w:tcW w:w="437" w:type="pct"/>
            <w:tcBorders>
              <w:top w:val="single" w:color="000000" w:sz="4" w:space="0"/>
              <w:left w:val="single" w:color="000000" w:sz="4" w:space="0"/>
              <w:bottom w:val="single" w:color="000000" w:sz="4" w:space="0"/>
              <w:right w:val="single" w:color="000000" w:sz="4" w:space="0"/>
            </w:tcBorders>
            <w:vAlign w:val="center"/>
          </w:tcPr>
          <w:p w14:paraId="11C569A6">
            <w:pPr>
              <w:pStyle w:val="4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rPr>
              <w:t>48</w:t>
            </w:r>
          </w:p>
        </w:tc>
        <w:tc>
          <w:tcPr>
            <w:tcW w:w="592" w:type="pct"/>
            <w:tcBorders>
              <w:top w:val="single" w:color="000000" w:sz="4" w:space="0"/>
              <w:left w:val="single" w:color="000000" w:sz="4" w:space="0"/>
              <w:bottom w:val="single" w:color="000000" w:sz="4" w:space="0"/>
              <w:right w:val="single" w:color="000000" w:sz="4" w:space="0"/>
            </w:tcBorders>
            <w:vAlign w:val="center"/>
          </w:tcPr>
          <w:p w14:paraId="5D72B735">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71.15</w:t>
            </w:r>
          </w:p>
        </w:tc>
        <w:tc>
          <w:tcPr>
            <w:tcW w:w="540" w:type="pct"/>
            <w:tcBorders>
              <w:top w:val="single" w:color="000000" w:sz="4" w:space="0"/>
              <w:left w:val="single" w:color="000000" w:sz="4" w:space="0"/>
              <w:bottom w:val="single" w:color="000000" w:sz="4" w:space="0"/>
              <w:right w:val="single" w:color="000000" w:sz="4" w:space="0"/>
            </w:tcBorders>
            <w:vAlign w:val="center"/>
          </w:tcPr>
          <w:p w14:paraId="14EB450C">
            <w:pPr>
              <w:pStyle w:val="40"/>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34.923</w:t>
            </w:r>
          </w:p>
        </w:tc>
        <w:tc>
          <w:tcPr>
            <w:tcW w:w="617" w:type="pct"/>
            <w:tcBorders>
              <w:top w:val="single" w:color="000000" w:sz="4" w:space="0"/>
              <w:left w:val="single" w:color="000000" w:sz="4" w:space="0"/>
              <w:bottom w:val="single" w:color="000000" w:sz="4" w:space="0"/>
              <w:right w:val="single" w:color="000000" w:sz="4" w:space="0"/>
            </w:tcBorders>
            <w:vAlign w:val="center"/>
          </w:tcPr>
          <w:p w14:paraId="20C49A34">
            <w:pPr>
              <w:pStyle w:val="4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lang w:val="en-US"/>
              </w:rPr>
              <w:t>0</w:t>
            </w:r>
          </w:p>
        </w:tc>
        <w:tc>
          <w:tcPr>
            <w:tcW w:w="688" w:type="pct"/>
            <w:tcBorders>
              <w:top w:val="single" w:color="000000" w:sz="4" w:space="0"/>
              <w:left w:val="single" w:color="000000" w:sz="4" w:space="0"/>
              <w:bottom w:val="single" w:color="000000" w:sz="4" w:space="0"/>
              <w:right w:val="single" w:color="000000" w:sz="4" w:space="0"/>
            </w:tcBorders>
            <w:vAlign w:val="center"/>
          </w:tcPr>
          <w:p w14:paraId="315C8340">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154.073</w:t>
            </w:r>
          </w:p>
        </w:tc>
        <w:tc>
          <w:tcPr>
            <w:tcW w:w="491" w:type="pct"/>
            <w:tcBorders>
              <w:top w:val="single" w:color="000000" w:sz="4" w:space="0"/>
              <w:left w:val="single" w:color="000000" w:sz="4" w:space="0"/>
              <w:bottom w:val="single" w:color="000000" w:sz="4" w:space="0"/>
            </w:tcBorders>
            <w:vAlign w:val="center"/>
          </w:tcPr>
          <w:p w14:paraId="4523F73B">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rPr>
              <w:t>+</w:t>
            </w:r>
            <w:r>
              <w:rPr>
                <w:rFonts w:hint="eastAsia" w:ascii="Times New Roman" w:hAnsi="Times New Roman" w:cs="Times New Roman"/>
                <w:color w:val="000000" w:themeColor="text1"/>
                <w:sz w:val="21"/>
                <w:szCs w:val="21"/>
                <w:lang w:val="en-US" w:bidi="ar"/>
              </w:rPr>
              <w:t>106.073</w:t>
            </w:r>
          </w:p>
        </w:tc>
      </w:tr>
      <w:tr w14:paraId="5D758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549" w:type="pct"/>
            <w:vMerge w:val="continue"/>
            <w:tcBorders>
              <w:right w:val="single" w:color="000000" w:sz="4" w:space="0"/>
            </w:tcBorders>
            <w:vAlign w:val="center"/>
          </w:tcPr>
          <w:p w14:paraId="495DD088">
            <w:pPr>
              <w:pStyle w:val="40"/>
              <w:jc w:val="center"/>
              <w:rPr>
                <w:rFonts w:ascii="Times New Roman" w:hAnsi="Times New Roman" w:cs="Times New Roman"/>
                <w:color w:val="000000" w:themeColor="text1"/>
                <w:sz w:val="21"/>
                <w:szCs w:val="21"/>
              </w:rPr>
            </w:pPr>
            <w:bookmarkStart w:id="29" w:name="_Toc23019"/>
            <w:bookmarkStart w:id="30" w:name="_Toc14356"/>
          </w:p>
        </w:tc>
        <w:tc>
          <w:tcPr>
            <w:tcW w:w="489" w:type="pct"/>
            <w:tcBorders>
              <w:top w:val="single" w:color="000000" w:sz="4" w:space="0"/>
              <w:left w:val="single" w:color="000000" w:sz="4" w:space="0"/>
              <w:bottom w:val="single" w:color="000000" w:sz="4" w:space="0"/>
              <w:right w:val="single" w:color="000000" w:sz="4" w:space="0"/>
            </w:tcBorders>
            <w:vAlign w:val="center"/>
          </w:tcPr>
          <w:p w14:paraId="2F15DE6E">
            <w:pPr>
              <w:pStyle w:val="4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污泥及格栅渣</w:t>
            </w:r>
            <w:r>
              <w:rPr>
                <w:rFonts w:hint="eastAsia" w:ascii="Times New Roman" w:hAnsi="Times New Roman" w:cs="Times New Roman"/>
                <w:color w:val="000000" w:themeColor="text1"/>
                <w:sz w:val="21"/>
                <w:szCs w:val="21"/>
                <w:lang w:val="en-US"/>
              </w:rPr>
              <w:t>（</w:t>
            </w:r>
            <w:r>
              <w:rPr>
                <w:rFonts w:ascii="Times New Roman" w:hAnsi="Times New Roman" w:cs="Times New Roman"/>
                <w:color w:val="000000" w:themeColor="text1"/>
                <w:sz w:val="21"/>
                <w:szCs w:val="21"/>
                <w:lang w:val="en-US" w:bidi="ar"/>
              </w:rPr>
              <w:t>t/a</w:t>
            </w:r>
            <w:r>
              <w:rPr>
                <w:rFonts w:hint="eastAsia" w:ascii="Times New Roman" w:hAnsi="Times New Roman" w:cs="Times New Roman"/>
                <w:color w:val="000000" w:themeColor="text1"/>
                <w:sz w:val="21"/>
                <w:szCs w:val="21"/>
                <w:lang w:val="en-US"/>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7502E073">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4.16</w:t>
            </w:r>
          </w:p>
        </w:tc>
        <w:tc>
          <w:tcPr>
            <w:tcW w:w="437" w:type="pct"/>
            <w:tcBorders>
              <w:top w:val="single" w:color="000000" w:sz="4" w:space="0"/>
              <w:left w:val="single" w:color="000000" w:sz="4" w:space="0"/>
              <w:bottom w:val="single" w:color="000000" w:sz="4" w:space="0"/>
              <w:right w:val="single" w:color="000000" w:sz="4" w:space="0"/>
            </w:tcBorders>
            <w:vAlign w:val="center"/>
          </w:tcPr>
          <w:p w14:paraId="0A69885A">
            <w:pPr>
              <w:pStyle w:val="40"/>
              <w:jc w:val="center"/>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lang w:val="en-US"/>
              </w:rPr>
              <w:t>4.16</w:t>
            </w:r>
          </w:p>
        </w:tc>
        <w:tc>
          <w:tcPr>
            <w:tcW w:w="592" w:type="pct"/>
            <w:tcBorders>
              <w:top w:val="single" w:color="000000" w:sz="4" w:space="0"/>
              <w:left w:val="single" w:color="000000" w:sz="4" w:space="0"/>
              <w:bottom w:val="single" w:color="000000" w:sz="4" w:space="0"/>
              <w:right w:val="single" w:color="000000" w:sz="4" w:space="0"/>
            </w:tcBorders>
            <w:vAlign w:val="center"/>
          </w:tcPr>
          <w:p w14:paraId="0DA09FD1">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2.48</w:t>
            </w:r>
          </w:p>
        </w:tc>
        <w:tc>
          <w:tcPr>
            <w:tcW w:w="540" w:type="pct"/>
            <w:tcBorders>
              <w:top w:val="single" w:color="000000" w:sz="4" w:space="0"/>
              <w:left w:val="single" w:color="000000" w:sz="4" w:space="0"/>
              <w:bottom w:val="single" w:color="000000" w:sz="4" w:space="0"/>
              <w:right w:val="single" w:color="000000" w:sz="4" w:space="0"/>
            </w:tcBorders>
            <w:vAlign w:val="center"/>
          </w:tcPr>
          <w:p w14:paraId="661FD477">
            <w:pPr>
              <w:pStyle w:val="4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6.00</w:t>
            </w:r>
          </w:p>
        </w:tc>
        <w:tc>
          <w:tcPr>
            <w:tcW w:w="617" w:type="pct"/>
            <w:tcBorders>
              <w:top w:val="single" w:color="000000" w:sz="4" w:space="0"/>
              <w:left w:val="single" w:color="000000" w:sz="4" w:space="0"/>
              <w:bottom w:val="single" w:color="000000" w:sz="4" w:space="0"/>
              <w:right w:val="single" w:color="000000" w:sz="4" w:space="0"/>
            </w:tcBorders>
            <w:vAlign w:val="center"/>
          </w:tcPr>
          <w:p w14:paraId="6E26B444">
            <w:pPr>
              <w:pStyle w:val="40"/>
              <w:jc w:val="center"/>
              <w:rPr>
                <w:rFonts w:ascii="Times New Roman" w:hAnsi="Times New Roman" w:cs="Times New Roman"/>
                <w:color w:val="000000" w:themeColor="text1"/>
                <w:sz w:val="21"/>
                <w:lang w:val="en-US"/>
              </w:rPr>
            </w:pPr>
            <w:r>
              <w:rPr>
                <w:rFonts w:ascii="Times New Roman" w:hAnsi="Times New Roman" w:cs="Times New Roman"/>
                <w:color w:val="000000" w:themeColor="text1"/>
                <w:sz w:val="21"/>
                <w:lang w:val="en-US"/>
              </w:rPr>
              <w:t>0</w:t>
            </w:r>
          </w:p>
        </w:tc>
        <w:tc>
          <w:tcPr>
            <w:tcW w:w="2081" w:type="dxa"/>
            <w:tcBorders>
              <w:top w:val="single" w:color="000000" w:sz="4" w:space="0"/>
              <w:left w:val="single" w:color="000000" w:sz="4" w:space="0"/>
              <w:bottom w:val="single" w:color="000000" w:sz="4" w:space="0"/>
              <w:right w:val="single" w:color="000000" w:sz="4" w:space="0"/>
            </w:tcBorders>
            <w:vAlign w:val="center"/>
          </w:tcPr>
          <w:p w14:paraId="5DDE8924">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12.64</w:t>
            </w:r>
          </w:p>
        </w:tc>
        <w:tc>
          <w:tcPr>
            <w:tcW w:w="1485" w:type="dxa"/>
            <w:tcBorders>
              <w:top w:val="single" w:color="000000" w:sz="4" w:space="0"/>
              <w:left w:val="single" w:color="000000" w:sz="4" w:space="0"/>
              <w:bottom w:val="single" w:color="000000" w:sz="4" w:space="0"/>
            </w:tcBorders>
            <w:vAlign w:val="center"/>
          </w:tcPr>
          <w:p w14:paraId="3D400E68">
            <w:pPr>
              <w:widowControl/>
              <w:jc w:val="center"/>
              <w:textAlignment w:val="center"/>
              <w:rPr>
                <w:rFonts w:ascii="Times New Roman" w:hAnsi="Times New Roman" w:cs="Times New Roman"/>
                <w:color w:val="000000" w:themeColor="text1"/>
                <w:sz w:val="21"/>
                <w:szCs w:val="21"/>
                <w:lang w:val="en-US" w:bidi="ar"/>
              </w:rPr>
            </w:pPr>
            <w:r>
              <w:rPr>
                <w:rFonts w:hint="eastAsia" w:ascii="Times New Roman" w:hAnsi="Times New Roman" w:cs="Times New Roman"/>
                <w:color w:val="000000" w:themeColor="text1"/>
                <w:sz w:val="21"/>
                <w:szCs w:val="21"/>
                <w:lang w:val="en-US" w:bidi="ar"/>
              </w:rPr>
              <w:t>+8.48</w:t>
            </w:r>
          </w:p>
        </w:tc>
      </w:tr>
    </w:tbl>
    <w:p w14:paraId="65E34C96">
      <w:pPr>
        <w:rPr>
          <w:rFonts w:ascii="Times New Roman" w:hAnsi="Times New Roman"/>
        </w:rPr>
      </w:pPr>
      <w:r>
        <w:rPr>
          <w:rFonts w:ascii="Times New Roman" w:hAnsi="Times New Roman"/>
        </w:rPr>
        <w:t>注：⑥=①+③+④-⑤；⑦=⑥-①</w:t>
      </w:r>
      <w:bookmarkEnd w:id="29"/>
      <w:bookmarkEnd w:id="30"/>
      <w:r>
        <w:rPr>
          <w:rFonts w:ascii="Times New Roman" w:hAnsi="Times New Roman"/>
        </w:rPr>
        <w:t xml:space="preserve"> </w:t>
      </w:r>
    </w:p>
    <w:sectPr>
      <w:footerReference r:id="rId15" w:type="default"/>
      <w:footerReference r:id="rId16" w:type="even"/>
      <w:pgSz w:w="16840" w:h="11910" w:orient="landscape"/>
      <w:pgMar w:top="1300" w:right="1580" w:bottom="1300" w:left="1000" w:header="0" w:footer="8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83E5">
    <w:pPr>
      <w:pStyle w:val="9"/>
      <w:spacing w:line="14" w:lineRule="auto"/>
      <w:rPr>
        <w:rFonts w:hint="eastAsia"/>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A2F38">
    <w:pPr>
      <w:pStyle w:val="9"/>
      <w:spacing w:line="14" w:lineRule="auto"/>
      <w:rPr>
        <w:rFonts w:hint="eastAsia"/>
        <w:sz w:val="20"/>
      </w:rPr>
    </w:pPr>
    <w:r>
      <w:rPr>
        <w:rFonts w:hint="eastAsia"/>
        <w:sz w:val="20"/>
      </w:rPr>
      <w:pict>
        <v:shape id="_x0000_s1054" o:spid="_x0000_s105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03E7DAA2">
                <w:pPr>
                  <w:pStyle w:val="17"/>
                  <w:rPr>
                    <w:rFonts w:hint="eastAsia"/>
                  </w:rPr>
                </w:pPr>
                <w:r>
                  <w:fldChar w:fldCharType="begin"/>
                </w:r>
                <w:r>
                  <w:instrText xml:space="preserve"> PAGE  \* MERGEFORMAT </w:instrText>
                </w:r>
                <w:r>
                  <w:fldChar w:fldCharType="separate"/>
                </w:r>
                <w:r>
                  <w:t>44</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EECBC">
    <w:pPr>
      <w:pStyle w:val="9"/>
      <w:spacing w:line="14" w:lineRule="auto"/>
      <w:rPr>
        <w:rFonts w:hint="eastAsia"/>
        <w:sz w:val="20"/>
      </w:rPr>
    </w:pPr>
    <w:r>
      <w:rPr>
        <w:rFonts w:hint="eastAsia"/>
        <w:sz w:val="20"/>
      </w:rPr>
      <w:pict>
        <v:shape id="_x0000_s1055" o:spid="_x0000_s105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59C84B5B">
                <w:pPr>
                  <w:pStyle w:val="17"/>
                  <w:rPr>
                    <w:rFonts w:hint="eastAsia"/>
                  </w:rPr>
                </w:pPr>
                <w:r>
                  <w:fldChar w:fldCharType="begin"/>
                </w:r>
                <w:r>
                  <w:instrText xml:space="preserve"> PAGE  \* MERGEFORMAT </w:instrText>
                </w:r>
                <w:r>
                  <w:fldChar w:fldCharType="separate"/>
                </w:r>
                <w:r>
                  <w:t>45</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098F">
    <w:pPr>
      <w:pStyle w:val="9"/>
      <w:spacing w:line="14" w:lineRule="auto"/>
      <w:rPr>
        <w:rFonts w:hint="eastAsia"/>
        <w:sz w:val="20"/>
      </w:rPr>
    </w:pPr>
    <w:r>
      <w:rPr>
        <w:rFonts w:hint="eastAsia"/>
        <w:sz w:val="20"/>
      </w:rPr>
      <w:pict>
        <v:shape id="_x0000_s1056" o:spid="_x0000_s1056"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36F49FEA">
                <w:pPr>
                  <w:pStyle w:val="17"/>
                  <w:rPr>
                    <w:rFonts w:hint="eastAsia"/>
                  </w:rPr>
                </w:pPr>
                <w:r>
                  <w:fldChar w:fldCharType="begin"/>
                </w:r>
                <w:r>
                  <w:instrText xml:space="preserve"> PAGE  \* MERGEFORMAT </w:instrText>
                </w:r>
                <w:r>
                  <w:fldChar w:fldCharType="separate"/>
                </w:r>
                <w:r>
                  <w:t>1</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113BE">
    <w:pPr>
      <w:pStyle w:val="9"/>
      <w:spacing w:line="14" w:lineRule="auto"/>
      <w:ind w:firstLine="600"/>
      <w:rPr>
        <w:rFonts w:hint="eastAsia"/>
        <w:sz w:val="20"/>
      </w:rPr>
    </w:pPr>
    <w:r>
      <w:rPr>
        <w:rFonts w:hint="eastAsia"/>
        <w:sz w:val="20"/>
      </w:rPr>
      <w:pict>
        <v:shape id="_x0000_s1057" o:spid="_x0000_s1057"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779A3CF3">
                <w:pPr>
                  <w:pStyle w:val="17"/>
                  <w:rPr>
                    <w:rFonts w:hint="eastAsia"/>
                  </w:rPr>
                </w:pPr>
                <w:r>
                  <w:fldChar w:fldCharType="begin"/>
                </w:r>
                <w:r>
                  <w:instrText xml:space="preserve"> PAGE  \* MERGEFORMAT </w:instrText>
                </w:r>
                <w:r>
                  <w:fldChar w:fldCharType="separate"/>
                </w:r>
                <w:r>
                  <w:t>1</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111D">
    <w:pPr>
      <w:pStyle w:val="9"/>
      <w:spacing w:line="14" w:lineRule="auto"/>
      <w:ind w:firstLine="600"/>
      <w:rPr>
        <w:rFonts w:hint="eastAsia"/>
        <w:sz w:val="20"/>
      </w:rPr>
    </w:pPr>
    <w:r>
      <w:rPr>
        <w:rFonts w:hint="eastAsia"/>
        <w:sz w:val="20"/>
      </w:rPr>
      <w:pict>
        <v:shape id="_x0000_s1058" o:spid="_x0000_s105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5D1F93D3">
                <w:pPr>
                  <w:pStyle w:val="17"/>
                  <w:rPr>
                    <w:rFonts w:hint="eastAsia"/>
                  </w:rPr>
                </w:pPr>
                <w:r>
                  <w:fldChar w:fldCharType="begin"/>
                </w:r>
                <w:r>
                  <w:instrText xml:space="preserve"> PAGE  \* MERGEFORMAT </w:instrText>
                </w:r>
                <w:r>
                  <w:fldChar w:fldCharType="separate"/>
                </w:r>
                <w:r>
                  <w:t>46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4031">
    <w:pPr>
      <w:pStyle w:val="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7BA66">
    <w:pPr>
      <w:pStyle w:val="9"/>
      <w:spacing w:line="14" w:lineRule="auto"/>
      <w:rPr>
        <w:rFonts w:hint="eastAsia"/>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31652">
    <w:pPr>
      <w:pStyle w:val="9"/>
      <w:spacing w:line="14" w:lineRule="auto"/>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551B">
    <w:pPr>
      <w:pStyle w:val="9"/>
      <w:spacing w:line="14" w:lineRule="auto"/>
      <w:rPr>
        <w:rFonts w:hint="eastAsia"/>
        <w:sz w:val="20"/>
      </w:rPr>
    </w:pPr>
    <w:r>
      <w:rPr>
        <w:rFonts w:hint="eastAsia"/>
        <w:sz w:val="20"/>
      </w:rPr>
      <w:pict>
        <v:shape id="_x0000_s1049" o:spid="_x0000_s1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40300CED">
                <w:pPr>
                  <w:pStyle w:val="17"/>
                  <w:rPr>
                    <w:rFonts w:hint="eastAsia"/>
                  </w:rPr>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3E36">
    <w:pPr>
      <w:pStyle w:val="9"/>
      <w:spacing w:line="14" w:lineRule="auto"/>
      <w:rPr>
        <w:rFonts w:hint="eastAsia"/>
        <w:sz w:val="20"/>
      </w:rPr>
    </w:pPr>
    <w:r>
      <w:rPr>
        <w:rFonts w:hint="eastAsia"/>
        <w:sz w:val="20"/>
      </w:rPr>
      <w:pict>
        <v:shape id="_x0000_s1050" o:spid="_x0000_s1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7C6AFAC1">
                <w:pPr>
                  <w:pStyle w:val="17"/>
                  <w:rPr>
                    <w:rFonts w:hint="eastAsia"/>
                  </w:rPr>
                </w:pPr>
                <w:r>
                  <w:fldChar w:fldCharType="begin"/>
                </w:r>
                <w:r>
                  <w:instrText xml:space="preserve"> PAGE  \* MERGEFORMAT </w:instrText>
                </w:r>
                <w:r>
                  <w:fldChar w:fldCharType="separate"/>
                </w:r>
                <w:r>
                  <w:t>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AD129">
    <w:pPr>
      <w:pStyle w:val="9"/>
      <w:spacing w:line="14" w:lineRule="auto"/>
      <w:rPr>
        <w:rFonts w:hint="eastAsia"/>
        <w:sz w:val="20"/>
      </w:rPr>
    </w:pPr>
    <w:r>
      <w:rPr>
        <w:rFonts w:hint="eastAsia"/>
        <w:sz w:val="20"/>
      </w:rPr>
      <w:pict>
        <v:shape id="_x0000_s1051" o:spid="_x0000_s1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5F87E23A">
                <w:pPr>
                  <w:pStyle w:val="17"/>
                  <w:rPr>
                    <w:rFonts w:hint="eastAsia"/>
                  </w:rPr>
                </w:pPr>
                <w:r>
                  <w:fldChar w:fldCharType="begin"/>
                </w:r>
                <w:r>
                  <w:instrText xml:space="preserve"> PAGE  \* MERGEFORMAT </w:instrText>
                </w:r>
                <w:r>
                  <w:fldChar w:fldCharType="separate"/>
                </w:r>
                <w:r>
                  <w:t>19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6C75A">
    <w:pPr>
      <w:pStyle w:val="9"/>
      <w:spacing w:line="14" w:lineRule="auto"/>
      <w:rPr>
        <w:rFonts w:hint="eastAsia"/>
        <w:sz w:val="20"/>
      </w:rPr>
    </w:pPr>
    <w:r>
      <w:rPr>
        <w:rFonts w:hint="eastAsia"/>
        <w:sz w:val="20"/>
      </w:rPr>
      <w:pict>
        <v:shape id="_x0000_s1052" o:spid="_x0000_s1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198D07D7">
                <w:pPr>
                  <w:pStyle w:val="17"/>
                  <w:rPr>
                    <w:rFonts w:hint="eastAsia"/>
                  </w:rPr>
                </w:pPr>
                <w:r>
                  <w:fldChar w:fldCharType="begin"/>
                </w:r>
                <w:r>
                  <w:instrText xml:space="preserve"> PAGE  \* MERGEFORMAT </w:instrText>
                </w:r>
                <w:r>
                  <w:fldChar w:fldCharType="separate"/>
                </w:r>
                <w:r>
                  <w:t>18</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77550">
    <w:pPr>
      <w:pStyle w:val="9"/>
      <w:spacing w:line="14" w:lineRule="auto"/>
      <w:rPr>
        <w:rFonts w:hint="eastAsia"/>
        <w:sz w:val="20"/>
      </w:rPr>
    </w:pPr>
    <w:r>
      <w:rPr>
        <w:rFonts w:hint="eastAsia"/>
        <w:sz w:val="20"/>
      </w:rPr>
      <w:pict>
        <v:shape id="_x0000_s1053" o:spid="_x0000_s105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0E586B7E">
                <w:pPr>
                  <w:pStyle w:val="17"/>
                  <w:rPr>
                    <w:rFonts w:hint="eastAsia"/>
                  </w:rPr>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7BC20"/>
    <w:multiLevelType w:val="singleLevel"/>
    <w:tmpl w:val="9707BC20"/>
    <w:lvl w:ilvl="0" w:tentative="0">
      <w:start w:val="1"/>
      <w:numFmt w:val="decimal"/>
      <w:lvlText w:val="%1."/>
      <w:lvlJc w:val="left"/>
      <w:pPr>
        <w:tabs>
          <w:tab w:val="left" w:pos="312"/>
        </w:tabs>
      </w:pPr>
    </w:lvl>
  </w:abstractNum>
  <w:abstractNum w:abstractNumId="1">
    <w:nsid w:val="AED9932C"/>
    <w:multiLevelType w:val="singleLevel"/>
    <w:tmpl w:val="AED9932C"/>
    <w:lvl w:ilvl="0" w:tentative="0">
      <w:start w:val="5"/>
      <w:numFmt w:val="decimal"/>
      <w:suff w:val="nothing"/>
      <w:lvlText w:val="（%1）"/>
      <w:lvlJc w:val="left"/>
    </w:lvl>
  </w:abstractNum>
  <w:abstractNum w:abstractNumId="2">
    <w:nsid w:val="C5CC1D95"/>
    <w:multiLevelType w:val="singleLevel"/>
    <w:tmpl w:val="C5CC1D95"/>
    <w:lvl w:ilvl="0" w:tentative="0">
      <w:start w:val="1"/>
      <w:numFmt w:val="decimal"/>
      <w:suff w:val="nothing"/>
      <w:lvlText w:val="%1、"/>
      <w:lvlJc w:val="left"/>
    </w:lvl>
  </w:abstractNum>
  <w:abstractNum w:abstractNumId="3">
    <w:nsid w:val="F8560FBF"/>
    <w:multiLevelType w:val="singleLevel"/>
    <w:tmpl w:val="F8560FBF"/>
    <w:lvl w:ilvl="0" w:tentative="0">
      <w:start w:val="4"/>
      <w:numFmt w:val="decimal"/>
      <w:suff w:val="nothing"/>
      <w:lvlText w:val="%1）"/>
      <w:lvlJc w:val="left"/>
    </w:lvl>
  </w:abstractNum>
  <w:abstractNum w:abstractNumId="4">
    <w:nsid w:val="05FD0BCC"/>
    <w:multiLevelType w:val="singleLevel"/>
    <w:tmpl w:val="05FD0BCC"/>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5">
    <w:nsid w:val="341C8CF6"/>
    <w:multiLevelType w:val="singleLevel"/>
    <w:tmpl w:val="341C8CF6"/>
    <w:lvl w:ilvl="0" w:tentative="0">
      <w:start w:val="5"/>
      <w:numFmt w:val="decimal"/>
      <w:suff w:val="nothing"/>
      <w:lvlText w:val="%1、"/>
      <w:lvlJc w:val="left"/>
    </w:lvl>
  </w:abstractNum>
  <w:abstractNum w:abstractNumId="6">
    <w:nsid w:val="4D07C6A1"/>
    <w:multiLevelType w:val="singleLevel"/>
    <w:tmpl w:val="4D07C6A1"/>
    <w:lvl w:ilvl="0" w:tentative="0">
      <w:start w:val="5"/>
      <w:numFmt w:val="decimal"/>
      <w:suff w:val="nothing"/>
      <w:lvlText w:val="%1、"/>
      <w:lvlJc w:val="left"/>
    </w:lvl>
  </w:abstractNum>
  <w:abstractNum w:abstractNumId="7">
    <w:nsid w:val="689A308E"/>
    <w:multiLevelType w:val="singleLevel"/>
    <w:tmpl w:val="689A308E"/>
    <w:lvl w:ilvl="0" w:tentative="0">
      <w:start w:val="2"/>
      <w:numFmt w:val="decimal"/>
      <w:suff w:val="nothing"/>
      <w:lvlText w:val="（%1）"/>
      <w:lvlJc w:val="left"/>
    </w:lvl>
  </w:abstractNum>
  <w:num w:numId="1">
    <w:abstractNumId w:val="4"/>
  </w:num>
  <w:num w:numId="2">
    <w:abstractNumId w:val="0"/>
  </w:num>
  <w:num w:numId="3">
    <w:abstractNumId w:val="2"/>
  </w:num>
  <w:num w:numId="4">
    <w:abstractNumId w:val="7"/>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NjODY4N2UxNzBiMmIxY2Q3ZTIyM2NmMTkzOWNlYmEifQ=="/>
  </w:docVars>
  <w:rsids>
    <w:rsidRoot w:val="00172A27"/>
    <w:rsid w:val="00000D44"/>
    <w:rsid w:val="0000334E"/>
    <w:rsid w:val="000074EE"/>
    <w:rsid w:val="000125B3"/>
    <w:rsid w:val="000134F8"/>
    <w:rsid w:val="00014B35"/>
    <w:rsid w:val="000162A6"/>
    <w:rsid w:val="000203D7"/>
    <w:rsid w:val="00020B9E"/>
    <w:rsid w:val="000225CE"/>
    <w:rsid w:val="00027505"/>
    <w:rsid w:val="00031148"/>
    <w:rsid w:val="00031D2A"/>
    <w:rsid w:val="000359D6"/>
    <w:rsid w:val="00036F01"/>
    <w:rsid w:val="0004204C"/>
    <w:rsid w:val="0004208F"/>
    <w:rsid w:val="000434BF"/>
    <w:rsid w:val="00044655"/>
    <w:rsid w:val="00044D94"/>
    <w:rsid w:val="00045721"/>
    <w:rsid w:val="00045DEE"/>
    <w:rsid w:val="0004658F"/>
    <w:rsid w:val="000473E5"/>
    <w:rsid w:val="00047720"/>
    <w:rsid w:val="00047B36"/>
    <w:rsid w:val="00047F32"/>
    <w:rsid w:val="00052ED8"/>
    <w:rsid w:val="00060A7C"/>
    <w:rsid w:val="000620BF"/>
    <w:rsid w:val="00062AF5"/>
    <w:rsid w:val="0006699A"/>
    <w:rsid w:val="00070CEF"/>
    <w:rsid w:val="00071878"/>
    <w:rsid w:val="00074943"/>
    <w:rsid w:val="00074A0A"/>
    <w:rsid w:val="0007697F"/>
    <w:rsid w:val="00077194"/>
    <w:rsid w:val="00080C83"/>
    <w:rsid w:val="00081703"/>
    <w:rsid w:val="00082B2A"/>
    <w:rsid w:val="00082CBF"/>
    <w:rsid w:val="00083999"/>
    <w:rsid w:val="0008432A"/>
    <w:rsid w:val="00093EDD"/>
    <w:rsid w:val="00094048"/>
    <w:rsid w:val="00094BAB"/>
    <w:rsid w:val="0009519E"/>
    <w:rsid w:val="00095A52"/>
    <w:rsid w:val="000A1A8E"/>
    <w:rsid w:val="000A3BA7"/>
    <w:rsid w:val="000A41BA"/>
    <w:rsid w:val="000B1081"/>
    <w:rsid w:val="000B2C16"/>
    <w:rsid w:val="000B36B0"/>
    <w:rsid w:val="000C6357"/>
    <w:rsid w:val="000C6E41"/>
    <w:rsid w:val="000C7F5B"/>
    <w:rsid w:val="000D0B1A"/>
    <w:rsid w:val="000D1976"/>
    <w:rsid w:val="000D4785"/>
    <w:rsid w:val="000D5D98"/>
    <w:rsid w:val="000E03FC"/>
    <w:rsid w:val="000E081A"/>
    <w:rsid w:val="000E13AA"/>
    <w:rsid w:val="000E4C11"/>
    <w:rsid w:val="000E55F5"/>
    <w:rsid w:val="000F05B8"/>
    <w:rsid w:val="000F0EDC"/>
    <w:rsid w:val="000F24D2"/>
    <w:rsid w:val="000F2934"/>
    <w:rsid w:val="000F3CAC"/>
    <w:rsid w:val="000F3F79"/>
    <w:rsid w:val="00100391"/>
    <w:rsid w:val="0010410A"/>
    <w:rsid w:val="001067C4"/>
    <w:rsid w:val="001153DD"/>
    <w:rsid w:val="001172A0"/>
    <w:rsid w:val="0012083A"/>
    <w:rsid w:val="00124259"/>
    <w:rsid w:val="001244FD"/>
    <w:rsid w:val="00133CC8"/>
    <w:rsid w:val="001344F7"/>
    <w:rsid w:val="001357DB"/>
    <w:rsid w:val="00136325"/>
    <w:rsid w:val="00136390"/>
    <w:rsid w:val="00137701"/>
    <w:rsid w:val="0014095E"/>
    <w:rsid w:val="001410A5"/>
    <w:rsid w:val="00142856"/>
    <w:rsid w:val="00145F49"/>
    <w:rsid w:val="0014770B"/>
    <w:rsid w:val="00150DAB"/>
    <w:rsid w:val="00151C74"/>
    <w:rsid w:val="00153A73"/>
    <w:rsid w:val="001565AB"/>
    <w:rsid w:val="00161143"/>
    <w:rsid w:val="001628CC"/>
    <w:rsid w:val="00170422"/>
    <w:rsid w:val="00170607"/>
    <w:rsid w:val="00172A27"/>
    <w:rsid w:val="00173934"/>
    <w:rsid w:val="0017400D"/>
    <w:rsid w:val="00174194"/>
    <w:rsid w:val="00174E5F"/>
    <w:rsid w:val="00176BF1"/>
    <w:rsid w:val="00181221"/>
    <w:rsid w:val="001822D8"/>
    <w:rsid w:val="0018578A"/>
    <w:rsid w:val="0019185D"/>
    <w:rsid w:val="00191E33"/>
    <w:rsid w:val="00191FD2"/>
    <w:rsid w:val="0019387B"/>
    <w:rsid w:val="00196DAF"/>
    <w:rsid w:val="0019718B"/>
    <w:rsid w:val="00197EEF"/>
    <w:rsid w:val="001A1914"/>
    <w:rsid w:val="001A205F"/>
    <w:rsid w:val="001A2459"/>
    <w:rsid w:val="001A3286"/>
    <w:rsid w:val="001A5811"/>
    <w:rsid w:val="001A647D"/>
    <w:rsid w:val="001A68F5"/>
    <w:rsid w:val="001A71DC"/>
    <w:rsid w:val="001A76A4"/>
    <w:rsid w:val="001A7EF5"/>
    <w:rsid w:val="001B0FC1"/>
    <w:rsid w:val="001B1DD8"/>
    <w:rsid w:val="001B1FE7"/>
    <w:rsid w:val="001B2C43"/>
    <w:rsid w:val="001B54D5"/>
    <w:rsid w:val="001B7240"/>
    <w:rsid w:val="001C0C11"/>
    <w:rsid w:val="001C116A"/>
    <w:rsid w:val="001C1B35"/>
    <w:rsid w:val="001C378C"/>
    <w:rsid w:val="001C7FAB"/>
    <w:rsid w:val="001D21E3"/>
    <w:rsid w:val="001D570B"/>
    <w:rsid w:val="001D5F84"/>
    <w:rsid w:val="001D762E"/>
    <w:rsid w:val="001D7F4D"/>
    <w:rsid w:val="001E1071"/>
    <w:rsid w:val="001E1B4E"/>
    <w:rsid w:val="001E3136"/>
    <w:rsid w:val="001F0BCF"/>
    <w:rsid w:val="001F231C"/>
    <w:rsid w:val="001F3F98"/>
    <w:rsid w:val="001F522A"/>
    <w:rsid w:val="001F6B84"/>
    <w:rsid w:val="00201D8E"/>
    <w:rsid w:val="00203827"/>
    <w:rsid w:val="00203E4A"/>
    <w:rsid w:val="0020460A"/>
    <w:rsid w:val="002046CB"/>
    <w:rsid w:val="002073BE"/>
    <w:rsid w:val="002076A3"/>
    <w:rsid w:val="00210D79"/>
    <w:rsid w:val="0021137D"/>
    <w:rsid w:val="00215627"/>
    <w:rsid w:val="0021788A"/>
    <w:rsid w:val="00220D25"/>
    <w:rsid w:val="0022126A"/>
    <w:rsid w:val="00225C50"/>
    <w:rsid w:val="002364DB"/>
    <w:rsid w:val="00242377"/>
    <w:rsid w:val="0024277C"/>
    <w:rsid w:val="00242966"/>
    <w:rsid w:val="00244038"/>
    <w:rsid w:val="00244E22"/>
    <w:rsid w:val="00247B1C"/>
    <w:rsid w:val="00250B8F"/>
    <w:rsid w:val="0025393B"/>
    <w:rsid w:val="0025568F"/>
    <w:rsid w:val="00255B4D"/>
    <w:rsid w:val="00263DB0"/>
    <w:rsid w:val="0026452F"/>
    <w:rsid w:val="002653FA"/>
    <w:rsid w:val="00272D71"/>
    <w:rsid w:val="002753E9"/>
    <w:rsid w:val="0027596D"/>
    <w:rsid w:val="00277F86"/>
    <w:rsid w:val="00281F39"/>
    <w:rsid w:val="00285566"/>
    <w:rsid w:val="00290DC7"/>
    <w:rsid w:val="00291493"/>
    <w:rsid w:val="0029595B"/>
    <w:rsid w:val="002A016B"/>
    <w:rsid w:val="002A2425"/>
    <w:rsid w:val="002A27BD"/>
    <w:rsid w:val="002A35D7"/>
    <w:rsid w:val="002A5B7B"/>
    <w:rsid w:val="002A7A29"/>
    <w:rsid w:val="002B5913"/>
    <w:rsid w:val="002B6856"/>
    <w:rsid w:val="002B77EF"/>
    <w:rsid w:val="002C2B66"/>
    <w:rsid w:val="002C4EDF"/>
    <w:rsid w:val="002C510B"/>
    <w:rsid w:val="002C595E"/>
    <w:rsid w:val="002C6F3F"/>
    <w:rsid w:val="002C775A"/>
    <w:rsid w:val="002D0153"/>
    <w:rsid w:val="002D0293"/>
    <w:rsid w:val="002D21D0"/>
    <w:rsid w:val="002D6CBF"/>
    <w:rsid w:val="002E084F"/>
    <w:rsid w:val="002E6230"/>
    <w:rsid w:val="002F0072"/>
    <w:rsid w:val="002F1344"/>
    <w:rsid w:val="002F462A"/>
    <w:rsid w:val="002F612C"/>
    <w:rsid w:val="00300010"/>
    <w:rsid w:val="003039F3"/>
    <w:rsid w:val="00303D92"/>
    <w:rsid w:val="00315AC2"/>
    <w:rsid w:val="003176D1"/>
    <w:rsid w:val="00320FD4"/>
    <w:rsid w:val="0032187D"/>
    <w:rsid w:val="00334634"/>
    <w:rsid w:val="00335303"/>
    <w:rsid w:val="00335ACC"/>
    <w:rsid w:val="003479D2"/>
    <w:rsid w:val="003509CD"/>
    <w:rsid w:val="00350CDB"/>
    <w:rsid w:val="00352148"/>
    <w:rsid w:val="00355C7A"/>
    <w:rsid w:val="00363AD4"/>
    <w:rsid w:val="00366A44"/>
    <w:rsid w:val="00371D45"/>
    <w:rsid w:val="003753E5"/>
    <w:rsid w:val="00376463"/>
    <w:rsid w:val="00380B8D"/>
    <w:rsid w:val="0038615D"/>
    <w:rsid w:val="003912EE"/>
    <w:rsid w:val="00392691"/>
    <w:rsid w:val="00392772"/>
    <w:rsid w:val="003947DD"/>
    <w:rsid w:val="003963B7"/>
    <w:rsid w:val="00397969"/>
    <w:rsid w:val="003A0E31"/>
    <w:rsid w:val="003A2D72"/>
    <w:rsid w:val="003A3943"/>
    <w:rsid w:val="003A5856"/>
    <w:rsid w:val="003A6383"/>
    <w:rsid w:val="003B3E45"/>
    <w:rsid w:val="003B407F"/>
    <w:rsid w:val="003B7DE8"/>
    <w:rsid w:val="003C1E68"/>
    <w:rsid w:val="003C334F"/>
    <w:rsid w:val="003C3561"/>
    <w:rsid w:val="003C3AE2"/>
    <w:rsid w:val="003C50EE"/>
    <w:rsid w:val="003C5215"/>
    <w:rsid w:val="003C7439"/>
    <w:rsid w:val="003D11F0"/>
    <w:rsid w:val="003D39D1"/>
    <w:rsid w:val="003D47CD"/>
    <w:rsid w:val="003D63C1"/>
    <w:rsid w:val="003E0D81"/>
    <w:rsid w:val="003E2988"/>
    <w:rsid w:val="003E58E0"/>
    <w:rsid w:val="003E6538"/>
    <w:rsid w:val="003E7165"/>
    <w:rsid w:val="003F2652"/>
    <w:rsid w:val="003F288D"/>
    <w:rsid w:val="00401283"/>
    <w:rsid w:val="0040627F"/>
    <w:rsid w:val="00407D18"/>
    <w:rsid w:val="00411539"/>
    <w:rsid w:val="00411B2F"/>
    <w:rsid w:val="00414B77"/>
    <w:rsid w:val="00415E33"/>
    <w:rsid w:val="004161DD"/>
    <w:rsid w:val="00416801"/>
    <w:rsid w:val="00421605"/>
    <w:rsid w:val="00423D7C"/>
    <w:rsid w:val="00424E34"/>
    <w:rsid w:val="00424EC1"/>
    <w:rsid w:val="0042713A"/>
    <w:rsid w:val="00431B76"/>
    <w:rsid w:val="00434636"/>
    <w:rsid w:val="00434F4D"/>
    <w:rsid w:val="00435F9A"/>
    <w:rsid w:val="00440685"/>
    <w:rsid w:val="00442E70"/>
    <w:rsid w:val="0044773A"/>
    <w:rsid w:val="00450F6B"/>
    <w:rsid w:val="00452B8F"/>
    <w:rsid w:val="004559B1"/>
    <w:rsid w:val="00456ECB"/>
    <w:rsid w:val="00457086"/>
    <w:rsid w:val="0046436C"/>
    <w:rsid w:val="004643AB"/>
    <w:rsid w:val="0046707C"/>
    <w:rsid w:val="00467173"/>
    <w:rsid w:val="004679DC"/>
    <w:rsid w:val="0047039D"/>
    <w:rsid w:val="004708E3"/>
    <w:rsid w:val="00473A42"/>
    <w:rsid w:val="004742D0"/>
    <w:rsid w:val="00475BF0"/>
    <w:rsid w:val="00477AA6"/>
    <w:rsid w:val="00480ED5"/>
    <w:rsid w:val="00483B2F"/>
    <w:rsid w:val="00484236"/>
    <w:rsid w:val="004847C9"/>
    <w:rsid w:val="00484AD5"/>
    <w:rsid w:val="004860BB"/>
    <w:rsid w:val="004867E6"/>
    <w:rsid w:val="00486B2C"/>
    <w:rsid w:val="004913BF"/>
    <w:rsid w:val="004934A6"/>
    <w:rsid w:val="004938E8"/>
    <w:rsid w:val="0049680A"/>
    <w:rsid w:val="004A0027"/>
    <w:rsid w:val="004A0971"/>
    <w:rsid w:val="004A13E1"/>
    <w:rsid w:val="004A1601"/>
    <w:rsid w:val="004A39A2"/>
    <w:rsid w:val="004A44C7"/>
    <w:rsid w:val="004A777B"/>
    <w:rsid w:val="004B0F89"/>
    <w:rsid w:val="004B335F"/>
    <w:rsid w:val="004B3F6E"/>
    <w:rsid w:val="004B6A6D"/>
    <w:rsid w:val="004B74FB"/>
    <w:rsid w:val="004C01BE"/>
    <w:rsid w:val="004C08A6"/>
    <w:rsid w:val="004C1E65"/>
    <w:rsid w:val="004C2910"/>
    <w:rsid w:val="004C5C36"/>
    <w:rsid w:val="004C5DC4"/>
    <w:rsid w:val="004C6C8B"/>
    <w:rsid w:val="004D1B76"/>
    <w:rsid w:val="004D1EB9"/>
    <w:rsid w:val="004D2E57"/>
    <w:rsid w:val="004D31D5"/>
    <w:rsid w:val="004D37BD"/>
    <w:rsid w:val="004D3905"/>
    <w:rsid w:val="004D51F2"/>
    <w:rsid w:val="004D7AC9"/>
    <w:rsid w:val="004E1070"/>
    <w:rsid w:val="004E29E0"/>
    <w:rsid w:val="004E5D7D"/>
    <w:rsid w:val="004F1500"/>
    <w:rsid w:val="004F1BA3"/>
    <w:rsid w:val="004F6C5D"/>
    <w:rsid w:val="00503D45"/>
    <w:rsid w:val="005050DC"/>
    <w:rsid w:val="00507881"/>
    <w:rsid w:val="00511FE7"/>
    <w:rsid w:val="0051237F"/>
    <w:rsid w:val="00513A38"/>
    <w:rsid w:val="00515B72"/>
    <w:rsid w:val="005161BE"/>
    <w:rsid w:val="005221A7"/>
    <w:rsid w:val="00522A45"/>
    <w:rsid w:val="00522B38"/>
    <w:rsid w:val="00524186"/>
    <w:rsid w:val="00530A75"/>
    <w:rsid w:val="0053170A"/>
    <w:rsid w:val="005317FE"/>
    <w:rsid w:val="00531CD6"/>
    <w:rsid w:val="00531D47"/>
    <w:rsid w:val="00533A5D"/>
    <w:rsid w:val="00540CE7"/>
    <w:rsid w:val="00541605"/>
    <w:rsid w:val="0054429D"/>
    <w:rsid w:val="00544526"/>
    <w:rsid w:val="00545A4E"/>
    <w:rsid w:val="00547FC0"/>
    <w:rsid w:val="0055144B"/>
    <w:rsid w:val="005548D8"/>
    <w:rsid w:val="0055531E"/>
    <w:rsid w:val="00560711"/>
    <w:rsid w:val="00561C4E"/>
    <w:rsid w:val="00562B63"/>
    <w:rsid w:val="00565B9E"/>
    <w:rsid w:val="00570F01"/>
    <w:rsid w:val="0057105A"/>
    <w:rsid w:val="00573F89"/>
    <w:rsid w:val="005759B7"/>
    <w:rsid w:val="00576F30"/>
    <w:rsid w:val="00577EF8"/>
    <w:rsid w:val="00581AC5"/>
    <w:rsid w:val="005827CC"/>
    <w:rsid w:val="0058539E"/>
    <w:rsid w:val="00591C04"/>
    <w:rsid w:val="00592149"/>
    <w:rsid w:val="005922B2"/>
    <w:rsid w:val="00593E4A"/>
    <w:rsid w:val="005A2565"/>
    <w:rsid w:val="005A355D"/>
    <w:rsid w:val="005A482E"/>
    <w:rsid w:val="005A58C9"/>
    <w:rsid w:val="005A64AC"/>
    <w:rsid w:val="005A784C"/>
    <w:rsid w:val="005B3F16"/>
    <w:rsid w:val="005B4913"/>
    <w:rsid w:val="005B7603"/>
    <w:rsid w:val="005C0187"/>
    <w:rsid w:val="005C0256"/>
    <w:rsid w:val="005C154D"/>
    <w:rsid w:val="005C317A"/>
    <w:rsid w:val="005C5721"/>
    <w:rsid w:val="005C6FCB"/>
    <w:rsid w:val="005C75EE"/>
    <w:rsid w:val="005D1258"/>
    <w:rsid w:val="005D246D"/>
    <w:rsid w:val="005D2FFD"/>
    <w:rsid w:val="005D48D7"/>
    <w:rsid w:val="005D6081"/>
    <w:rsid w:val="005E2850"/>
    <w:rsid w:val="005E53F8"/>
    <w:rsid w:val="005E5C58"/>
    <w:rsid w:val="005E782D"/>
    <w:rsid w:val="005F1220"/>
    <w:rsid w:val="005F1912"/>
    <w:rsid w:val="005F234D"/>
    <w:rsid w:val="005F5D37"/>
    <w:rsid w:val="005F60EE"/>
    <w:rsid w:val="005F774F"/>
    <w:rsid w:val="006009AC"/>
    <w:rsid w:val="00600CD3"/>
    <w:rsid w:val="006028DA"/>
    <w:rsid w:val="006037E5"/>
    <w:rsid w:val="006038DC"/>
    <w:rsid w:val="006050FA"/>
    <w:rsid w:val="00606B2B"/>
    <w:rsid w:val="0060767A"/>
    <w:rsid w:val="0062047B"/>
    <w:rsid w:val="00622186"/>
    <w:rsid w:val="0062656A"/>
    <w:rsid w:val="006301DA"/>
    <w:rsid w:val="00630E01"/>
    <w:rsid w:val="006377C5"/>
    <w:rsid w:val="00637A42"/>
    <w:rsid w:val="00641B47"/>
    <w:rsid w:val="00644E27"/>
    <w:rsid w:val="00646803"/>
    <w:rsid w:val="006469C9"/>
    <w:rsid w:val="00647F35"/>
    <w:rsid w:val="006509E2"/>
    <w:rsid w:val="006517F2"/>
    <w:rsid w:val="00652A60"/>
    <w:rsid w:val="00654385"/>
    <w:rsid w:val="006555ED"/>
    <w:rsid w:val="00661703"/>
    <w:rsid w:val="0066409E"/>
    <w:rsid w:val="006655B2"/>
    <w:rsid w:val="0066615C"/>
    <w:rsid w:val="00666FE9"/>
    <w:rsid w:val="00676A44"/>
    <w:rsid w:val="0067703F"/>
    <w:rsid w:val="00681646"/>
    <w:rsid w:val="00681721"/>
    <w:rsid w:val="00684D2B"/>
    <w:rsid w:val="00691241"/>
    <w:rsid w:val="00691ACC"/>
    <w:rsid w:val="00692E51"/>
    <w:rsid w:val="0069749B"/>
    <w:rsid w:val="00697E23"/>
    <w:rsid w:val="00697E88"/>
    <w:rsid w:val="006A065A"/>
    <w:rsid w:val="006A09BC"/>
    <w:rsid w:val="006A23F3"/>
    <w:rsid w:val="006A26CB"/>
    <w:rsid w:val="006A397D"/>
    <w:rsid w:val="006A4D64"/>
    <w:rsid w:val="006A6862"/>
    <w:rsid w:val="006A7AEC"/>
    <w:rsid w:val="006B0602"/>
    <w:rsid w:val="006B1CEE"/>
    <w:rsid w:val="006B29E9"/>
    <w:rsid w:val="006C2070"/>
    <w:rsid w:val="006C315D"/>
    <w:rsid w:val="006C452B"/>
    <w:rsid w:val="006C50C2"/>
    <w:rsid w:val="006C7BEC"/>
    <w:rsid w:val="006D1116"/>
    <w:rsid w:val="006D22F0"/>
    <w:rsid w:val="006D24ED"/>
    <w:rsid w:val="006D2778"/>
    <w:rsid w:val="006D3002"/>
    <w:rsid w:val="006D468F"/>
    <w:rsid w:val="006D47C8"/>
    <w:rsid w:val="006D63F2"/>
    <w:rsid w:val="006D78D1"/>
    <w:rsid w:val="006E28B2"/>
    <w:rsid w:val="006E2A42"/>
    <w:rsid w:val="006E727D"/>
    <w:rsid w:val="006E7BC4"/>
    <w:rsid w:val="006F076D"/>
    <w:rsid w:val="006F3487"/>
    <w:rsid w:val="006F7B23"/>
    <w:rsid w:val="007008AC"/>
    <w:rsid w:val="00702F2E"/>
    <w:rsid w:val="007030BF"/>
    <w:rsid w:val="00706BD3"/>
    <w:rsid w:val="007077C3"/>
    <w:rsid w:val="0071244F"/>
    <w:rsid w:val="007168A4"/>
    <w:rsid w:val="00716FFA"/>
    <w:rsid w:val="0071712D"/>
    <w:rsid w:val="007174BB"/>
    <w:rsid w:val="007200CD"/>
    <w:rsid w:val="007214A2"/>
    <w:rsid w:val="00724BAE"/>
    <w:rsid w:val="00726149"/>
    <w:rsid w:val="00732629"/>
    <w:rsid w:val="00732D42"/>
    <w:rsid w:val="00733277"/>
    <w:rsid w:val="007353DD"/>
    <w:rsid w:val="007363D2"/>
    <w:rsid w:val="00742FCF"/>
    <w:rsid w:val="007455CC"/>
    <w:rsid w:val="007502E5"/>
    <w:rsid w:val="00753ECE"/>
    <w:rsid w:val="00754C23"/>
    <w:rsid w:val="007566BD"/>
    <w:rsid w:val="00757C1C"/>
    <w:rsid w:val="00761892"/>
    <w:rsid w:val="0076309B"/>
    <w:rsid w:val="00764858"/>
    <w:rsid w:val="00765AED"/>
    <w:rsid w:val="007676B1"/>
    <w:rsid w:val="00770CDB"/>
    <w:rsid w:val="00770D6C"/>
    <w:rsid w:val="007719FB"/>
    <w:rsid w:val="00771F6D"/>
    <w:rsid w:val="00774C62"/>
    <w:rsid w:val="00780584"/>
    <w:rsid w:val="007815C4"/>
    <w:rsid w:val="00781F58"/>
    <w:rsid w:val="007826F6"/>
    <w:rsid w:val="00784374"/>
    <w:rsid w:val="00786C3D"/>
    <w:rsid w:val="00787B6A"/>
    <w:rsid w:val="007915C6"/>
    <w:rsid w:val="007919E7"/>
    <w:rsid w:val="00791C33"/>
    <w:rsid w:val="007933DB"/>
    <w:rsid w:val="007937F7"/>
    <w:rsid w:val="0079423B"/>
    <w:rsid w:val="00794EA6"/>
    <w:rsid w:val="007A23D7"/>
    <w:rsid w:val="007A7162"/>
    <w:rsid w:val="007B01A9"/>
    <w:rsid w:val="007B1838"/>
    <w:rsid w:val="007B2939"/>
    <w:rsid w:val="007B2DB5"/>
    <w:rsid w:val="007B3CEE"/>
    <w:rsid w:val="007B48A7"/>
    <w:rsid w:val="007B7898"/>
    <w:rsid w:val="007C0F2A"/>
    <w:rsid w:val="007C3349"/>
    <w:rsid w:val="007C6AFE"/>
    <w:rsid w:val="007C7F5B"/>
    <w:rsid w:val="007D1B3D"/>
    <w:rsid w:val="007D6741"/>
    <w:rsid w:val="007D7093"/>
    <w:rsid w:val="007E0DB6"/>
    <w:rsid w:val="007E1752"/>
    <w:rsid w:val="007E33AC"/>
    <w:rsid w:val="007E4AC9"/>
    <w:rsid w:val="007E7BEF"/>
    <w:rsid w:val="007F1445"/>
    <w:rsid w:val="007F27CB"/>
    <w:rsid w:val="007F4538"/>
    <w:rsid w:val="007F5352"/>
    <w:rsid w:val="007F6531"/>
    <w:rsid w:val="00802AAE"/>
    <w:rsid w:val="00804495"/>
    <w:rsid w:val="00804FFA"/>
    <w:rsid w:val="00806EBC"/>
    <w:rsid w:val="008122D1"/>
    <w:rsid w:val="008126C3"/>
    <w:rsid w:val="00813068"/>
    <w:rsid w:val="008150CE"/>
    <w:rsid w:val="00820D19"/>
    <w:rsid w:val="00821E72"/>
    <w:rsid w:val="0082299B"/>
    <w:rsid w:val="0082369A"/>
    <w:rsid w:val="00824F06"/>
    <w:rsid w:val="0082796B"/>
    <w:rsid w:val="00827FB7"/>
    <w:rsid w:val="00831DD0"/>
    <w:rsid w:val="008322D5"/>
    <w:rsid w:val="0083449C"/>
    <w:rsid w:val="00836814"/>
    <w:rsid w:val="00837ED6"/>
    <w:rsid w:val="00840C04"/>
    <w:rsid w:val="00845095"/>
    <w:rsid w:val="00851641"/>
    <w:rsid w:val="00851654"/>
    <w:rsid w:val="008520EA"/>
    <w:rsid w:val="008529A7"/>
    <w:rsid w:val="00852A97"/>
    <w:rsid w:val="00854937"/>
    <w:rsid w:val="00856332"/>
    <w:rsid w:val="008659DD"/>
    <w:rsid w:val="008673CE"/>
    <w:rsid w:val="00873A5C"/>
    <w:rsid w:val="0087786D"/>
    <w:rsid w:val="00881FFE"/>
    <w:rsid w:val="00884606"/>
    <w:rsid w:val="00884DAC"/>
    <w:rsid w:val="00885363"/>
    <w:rsid w:val="00885B23"/>
    <w:rsid w:val="00886123"/>
    <w:rsid w:val="008875C9"/>
    <w:rsid w:val="00891DA7"/>
    <w:rsid w:val="00892301"/>
    <w:rsid w:val="0089262A"/>
    <w:rsid w:val="00893012"/>
    <w:rsid w:val="008931EE"/>
    <w:rsid w:val="00893563"/>
    <w:rsid w:val="00894C74"/>
    <w:rsid w:val="0089683E"/>
    <w:rsid w:val="008A2845"/>
    <w:rsid w:val="008A79C5"/>
    <w:rsid w:val="008A7FB5"/>
    <w:rsid w:val="008B1D8E"/>
    <w:rsid w:val="008B22F4"/>
    <w:rsid w:val="008B2763"/>
    <w:rsid w:val="008B37DA"/>
    <w:rsid w:val="008B62FD"/>
    <w:rsid w:val="008B6DBD"/>
    <w:rsid w:val="008B6E3C"/>
    <w:rsid w:val="008B70A0"/>
    <w:rsid w:val="008C0468"/>
    <w:rsid w:val="008C0FA5"/>
    <w:rsid w:val="008C1EA4"/>
    <w:rsid w:val="008C3D34"/>
    <w:rsid w:val="008C3DCD"/>
    <w:rsid w:val="008C67FD"/>
    <w:rsid w:val="008C6EC3"/>
    <w:rsid w:val="008D03BE"/>
    <w:rsid w:val="008D2360"/>
    <w:rsid w:val="008D3CB4"/>
    <w:rsid w:val="008D4BE9"/>
    <w:rsid w:val="008D5E90"/>
    <w:rsid w:val="008D7601"/>
    <w:rsid w:val="008E18A5"/>
    <w:rsid w:val="008E3043"/>
    <w:rsid w:val="008E4F1C"/>
    <w:rsid w:val="008E7603"/>
    <w:rsid w:val="008E7907"/>
    <w:rsid w:val="008F11A1"/>
    <w:rsid w:val="008F2525"/>
    <w:rsid w:val="008F7C10"/>
    <w:rsid w:val="009008B2"/>
    <w:rsid w:val="0090270E"/>
    <w:rsid w:val="00904BD2"/>
    <w:rsid w:val="00904DD3"/>
    <w:rsid w:val="00911C1B"/>
    <w:rsid w:val="00912120"/>
    <w:rsid w:val="00920B22"/>
    <w:rsid w:val="0092154D"/>
    <w:rsid w:val="00922B3F"/>
    <w:rsid w:val="00922EC4"/>
    <w:rsid w:val="00924B8B"/>
    <w:rsid w:val="00927288"/>
    <w:rsid w:val="00930FC5"/>
    <w:rsid w:val="00931987"/>
    <w:rsid w:val="00932C18"/>
    <w:rsid w:val="009444D3"/>
    <w:rsid w:val="0095133B"/>
    <w:rsid w:val="0095363C"/>
    <w:rsid w:val="00955998"/>
    <w:rsid w:val="00956F59"/>
    <w:rsid w:val="009578C5"/>
    <w:rsid w:val="00957F7D"/>
    <w:rsid w:val="0096073F"/>
    <w:rsid w:val="0096132C"/>
    <w:rsid w:val="00961EAE"/>
    <w:rsid w:val="009620D7"/>
    <w:rsid w:val="0096352C"/>
    <w:rsid w:val="00964155"/>
    <w:rsid w:val="0096437F"/>
    <w:rsid w:val="009677E3"/>
    <w:rsid w:val="00971358"/>
    <w:rsid w:val="0097587B"/>
    <w:rsid w:val="00975928"/>
    <w:rsid w:val="00976176"/>
    <w:rsid w:val="009761BD"/>
    <w:rsid w:val="00977820"/>
    <w:rsid w:val="009804A6"/>
    <w:rsid w:val="009827B2"/>
    <w:rsid w:val="0098357D"/>
    <w:rsid w:val="0099125E"/>
    <w:rsid w:val="00993355"/>
    <w:rsid w:val="00994DE1"/>
    <w:rsid w:val="009A36FF"/>
    <w:rsid w:val="009A3979"/>
    <w:rsid w:val="009A3E90"/>
    <w:rsid w:val="009A6DE7"/>
    <w:rsid w:val="009A730A"/>
    <w:rsid w:val="009B0638"/>
    <w:rsid w:val="009B30B7"/>
    <w:rsid w:val="009B36AC"/>
    <w:rsid w:val="009B44DB"/>
    <w:rsid w:val="009C08B0"/>
    <w:rsid w:val="009C3FB5"/>
    <w:rsid w:val="009C4E6A"/>
    <w:rsid w:val="009C5E70"/>
    <w:rsid w:val="009D2B96"/>
    <w:rsid w:val="009D2EE2"/>
    <w:rsid w:val="009D396C"/>
    <w:rsid w:val="009D3AFC"/>
    <w:rsid w:val="009D702C"/>
    <w:rsid w:val="009D7C84"/>
    <w:rsid w:val="009E021A"/>
    <w:rsid w:val="009E1DED"/>
    <w:rsid w:val="009E4B27"/>
    <w:rsid w:val="009E77F4"/>
    <w:rsid w:val="009E7E40"/>
    <w:rsid w:val="009F2E6D"/>
    <w:rsid w:val="009F433C"/>
    <w:rsid w:val="009F4C1C"/>
    <w:rsid w:val="009F7251"/>
    <w:rsid w:val="00A001D0"/>
    <w:rsid w:val="00A00AD1"/>
    <w:rsid w:val="00A03467"/>
    <w:rsid w:val="00A03768"/>
    <w:rsid w:val="00A04415"/>
    <w:rsid w:val="00A050F0"/>
    <w:rsid w:val="00A10EAB"/>
    <w:rsid w:val="00A12ED5"/>
    <w:rsid w:val="00A13813"/>
    <w:rsid w:val="00A141F5"/>
    <w:rsid w:val="00A1627C"/>
    <w:rsid w:val="00A1706F"/>
    <w:rsid w:val="00A20699"/>
    <w:rsid w:val="00A223E6"/>
    <w:rsid w:val="00A2362E"/>
    <w:rsid w:val="00A260E3"/>
    <w:rsid w:val="00A26E46"/>
    <w:rsid w:val="00A338BF"/>
    <w:rsid w:val="00A34752"/>
    <w:rsid w:val="00A35408"/>
    <w:rsid w:val="00A36A99"/>
    <w:rsid w:val="00A371C5"/>
    <w:rsid w:val="00A404AA"/>
    <w:rsid w:val="00A41260"/>
    <w:rsid w:val="00A41560"/>
    <w:rsid w:val="00A4393F"/>
    <w:rsid w:val="00A46E5B"/>
    <w:rsid w:val="00A51035"/>
    <w:rsid w:val="00A5593B"/>
    <w:rsid w:val="00A57774"/>
    <w:rsid w:val="00A60B33"/>
    <w:rsid w:val="00A61142"/>
    <w:rsid w:val="00A619B1"/>
    <w:rsid w:val="00A62B20"/>
    <w:rsid w:val="00A64D8E"/>
    <w:rsid w:val="00A656CD"/>
    <w:rsid w:val="00A73453"/>
    <w:rsid w:val="00A7436B"/>
    <w:rsid w:val="00A7690B"/>
    <w:rsid w:val="00A77360"/>
    <w:rsid w:val="00A85413"/>
    <w:rsid w:val="00A85EFC"/>
    <w:rsid w:val="00A902B2"/>
    <w:rsid w:val="00A91115"/>
    <w:rsid w:val="00A91C60"/>
    <w:rsid w:val="00A93A62"/>
    <w:rsid w:val="00A96518"/>
    <w:rsid w:val="00A965E1"/>
    <w:rsid w:val="00A9796C"/>
    <w:rsid w:val="00AA1C84"/>
    <w:rsid w:val="00AA77BD"/>
    <w:rsid w:val="00AA7C7D"/>
    <w:rsid w:val="00AB097D"/>
    <w:rsid w:val="00AB1BBA"/>
    <w:rsid w:val="00AB1BDE"/>
    <w:rsid w:val="00AB2B15"/>
    <w:rsid w:val="00AB64FC"/>
    <w:rsid w:val="00AC047E"/>
    <w:rsid w:val="00AC0966"/>
    <w:rsid w:val="00AC3D94"/>
    <w:rsid w:val="00AC4CBB"/>
    <w:rsid w:val="00AC7497"/>
    <w:rsid w:val="00AD3E62"/>
    <w:rsid w:val="00AD4888"/>
    <w:rsid w:val="00AD6A5E"/>
    <w:rsid w:val="00AD6DD6"/>
    <w:rsid w:val="00AE6A0F"/>
    <w:rsid w:val="00AE6AF7"/>
    <w:rsid w:val="00AF14A3"/>
    <w:rsid w:val="00AF1B64"/>
    <w:rsid w:val="00AF31EC"/>
    <w:rsid w:val="00AF6812"/>
    <w:rsid w:val="00AF7092"/>
    <w:rsid w:val="00AF7898"/>
    <w:rsid w:val="00AF7D06"/>
    <w:rsid w:val="00B003B1"/>
    <w:rsid w:val="00B026C9"/>
    <w:rsid w:val="00B0650E"/>
    <w:rsid w:val="00B07AC1"/>
    <w:rsid w:val="00B07AFB"/>
    <w:rsid w:val="00B11098"/>
    <w:rsid w:val="00B119F9"/>
    <w:rsid w:val="00B11A06"/>
    <w:rsid w:val="00B1586B"/>
    <w:rsid w:val="00B20985"/>
    <w:rsid w:val="00B211C2"/>
    <w:rsid w:val="00B2239E"/>
    <w:rsid w:val="00B2324A"/>
    <w:rsid w:val="00B239BC"/>
    <w:rsid w:val="00B25A9D"/>
    <w:rsid w:val="00B308C0"/>
    <w:rsid w:val="00B321A3"/>
    <w:rsid w:val="00B41556"/>
    <w:rsid w:val="00B418E2"/>
    <w:rsid w:val="00B42F8D"/>
    <w:rsid w:val="00B45928"/>
    <w:rsid w:val="00B4676B"/>
    <w:rsid w:val="00B467EF"/>
    <w:rsid w:val="00B472FB"/>
    <w:rsid w:val="00B47B0C"/>
    <w:rsid w:val="00B515D3"/>
    <w:rsid w:val="00B53304"/>
    <w:rsid w:val="00B54E00"/>
    <w:rsid w:val="00B55813"/>
    <w:rsid w:val="00B561EE"/>
    <w:rsid w:val="00B56EC0"/>
    <w:rsid w:val="00B6131D"/>
    <w:rsid w:val="00B633F7"/>
    <w:rsid w:val="00B67D57"/>
    <w:rsid w:val="00B722E3"/>
    <w:rsid w:val="00B82FEC"/>
    <w:rsid w:val="00B8476E"/>
    <w:rsid w:val="00B855F1"/>
    <w:rsid w:val="00B86D8D"/>
    <w:rsid w:val="00B8702A"/>
    <w:rsid w:val="00B87A8D"/>
    <w:rsid w:val="00B87C24"/>
    <w:rsid w:val="00B90281"/>
    <w:rsid w:val="00B90E8D"/>
    <w:rsid w:val="00B91C26"/>
    <w:rsid w:val="00B93314"/>
    <w:rsid w:val="00B93EE1"/>
    <w:rsid w:val="00B962D5"/>
    <w:rsid w:val="00B977C7"/>
    <w:rsid w:val="00BA158B"/>
    <w:rsid w:val="00BA1C9A"/>
    <w:rsid w:val="00BA3836"/>
    <w:rsid w:val="00BA4583"/>
    <w:rsid w:val="00BA6537"/>
    <w:rsid w:val="00BB20C7"/>
    <w:rsid w:val="00BC12BA"/>
    <w:rsid w:val="00BC1B09"/>
    <w:rsid w:val="00BC1F0E"/>
    <w:rsid w:val="00BC2D8C"/>
    <w:rsid w:val="00BC6AA0"/>
    <w:rsid w:val="00BC6AF9"/>
    <w:rsid w:val="00BC75B7"/>
    <w:rsid w:val="00BD3409"/>
    <w:rsid w:val="00BD60CB"/>
    <w:rsid w:val="00BE0352"/>
    <w:rsid w:val="00BE251E"/>
    <w:rsid w:val="00BE271E"/>
    <w:rsid w:val="00BE711A"/>
    <w:rsid w:val="00BF11A7"/>
    <w:rsid w:val="00BF1C7A"/>
    <w:rsid w:val="00BF519F"/>
    <w:rsid w:val="00BF59CA"/>
    <w:rsid w:val="00C01B35"/>
    <w:rsid w:val="00C02576"/>
    <w:rsid w:val="00C02B48"/>
    <w:rsid w:val="00C02B60"/>
    <w:rsid w:val="00C0430C"/>
    <w:rsid w:val="00C04479"/>
    <w:rsid w:val="00C0639D"/>
    <w:rsid w:val="00C07D28"/>
    <w:rsid w:val="00C119A5"/>
    <w:rsid w:val="00C121CC"/>
    <w:rsid w:val="00C14549"/>
    <w:rsid w:val="00C14B80"/>
    <w:rsid w:val="00C15717"/>
    <w:rsid w:val="00C17A73"/>
    <w:rsid w:val="00C21541"/>
    <w:rsid w:val="00C218B9"/>
    <w:rsid w:val="00C23AC2"/>
    <w:rsid w:val="00C24172"/>
    <w:rsid w:val="00C259F3"/>
    <w:rsid w:val="00C2734A"/>
    <w:rsid w:val="00C31FC7"/>
    <w:rsid w:val="00C36DCE"/>
    <w:rsid w:val="00C377A6"/>
    <w:rsid w:val="00C40127"/>
    <w:rsid w:val="00C4144A"/>
    <w:rsid w:val="00C4190F"/>
    <w:rsid w:val="00C4196C"/>
    <w:rsid w:val="00C426DD"/>
    <w:rsid w:val="00C45587"/>
    <w:rsid w:val="00C50BAC"/>
    <w:rsid w:val="00C53BD4"/>
    <w:rsid w:val="00C53C17"/>
    <w:rsid w:val="00C5450C"/>
    <w:rsid w:val="00C55409"/>
    <w:rsid w:val="00C5733D"/>
    <w:rsid w:val="00C5743A"/>
    <w:rsid w:val="00C60859"/>
    <w:rsid w:val="00C6253E"/>
    <w:rsid w:val="00C62656"/>
    <w:rsid w:val="00C637E0"/>
    <w:rsid w:val="00C64514"/>
    <w:rsid w:val="00C6615F"/>
    <w:rsid w:val="00C66C9D"/>
    <w:rsid w:val="00C6799A"/>
    <w:rsid w:val="00C67DEE"/>
    <w:rsid w:val="00C72307"/>
    <w:rsid w:val="00C7467A"/>
    <w:rsid w:val="00C74A4D"/>
    <w:rsid w:val="00C75154"/>
    <w:rsid w:val="00C762E9"/>
    <w:rsid w:val="00C76B41"/>
    <w:rsid w:val="00C778B4"/>
    <w:rsid w:val="00C77A4E"/>
    <w:rsid w:val="00C77A92"/>
    <w:rsid w:val="00C81625"/>
    <w:rsid w:val="00C8528D"/>
    <w:rsid w:val="00C859F3"/>
    <w:rsid w:val="00C86AA1"/>
    <w:rsid w:val="00C8748A"/>
    <w:rsid w:val="00C90EC0"/>
    <w:rsid w:val="00C92319"/>
    <w:rsid w:val="00C92938"/>
    <w:rsid w:val="00C932BF"/>
    <w:rsid w:val="00C955E1"/>
    <w:rsid w:val="00C97D24"/>
    <w:rsid w:val="00CA2612"/>
    <w:rsid w:val="00CA7968"/>
    <w:rsid w:val="00CB0095"/>
    <w:rsid w:val="00CB0859"/>
    <w:rsid w:val="00CB3085"/>
    <w:rsid w:val="00CB41D6"/>
    <w:rsid w:val="00CB4637"/>
    <w:rsid w:val="00CB5A8C"/>
    <w:rsid w:val="00CC0D57"/>
    <w:rsid w:val="00CC30A3"/>
    <w:rsid w:val="00CC3F53"/>
    <w:rsid w:val="00CC4367"/>
    <w:rsid w:val="00CC59A1"/>
    <w:rsid w:val="00CC7366"/>
    <w:rsid w:val="00CD28A0"/>
    <w:rsid w:val="00CD5DCF"/>
    <w:rsid w:val="00CD691F"/>
    <w:rsid w:val="00CD7075"/>
    <w:rsid w:val="00CE1819"/>
    <w:rsid w:val="00CE5272"/>
    <w:rsid w:val="00CE5668"/>
    <w:rsid w:val="00CE7003"/>
    <w:rsid w:val="00CE72A8"/>
    <w:rsid w:val="00CF22FA"/>
    <w:rsid w:val="00CF2602"/>
    <w:rsid w:val="00CF641B"/>
    <w:rsid w:val="00CF67FB"/>
    <w:rsid w:val="00CF6842"/>
    <w:rsid w:val="00D021C5"/>
    <w:rsid w:val="00D023F7"/>
    <w:rsid w:val="00D0484E"/>
    <w:rsid w:val="00D04A48"/>
    <w:rsid w:val="00D05DB1"/>
    <w:rsid w:val="00D06E08"/>
    <w:rsid w:val="00D07476"/>
    <w:rsid w:val="00D112C9"/>
    <w:rsid w:val="00D11A92"/>
    <w:rsid w:val="00D125E8"/>
    <w:rsid w:val="00D12B8A"/>
    <w:rsid w:val="00D12F03"/>
    <w:rsid w:val="00D13293"/>
    <w:rsid w:val="00D135BD"/>
    <w:rsid w:val="00D13858"/>
    <w:rsid w:val="00D17A7C"/>
    <w:rsid w:val="00D20DA7"/>
    <w:rsid w:val="00D23776"/>
    <w:rsid w:val="00D26233"/>
    <w:rsid w:val="00D27BD7"/>
    <w:rsid w:val="00D311A2"/>
    <w:rsid w:val="00D31C7F"/>
    <w:rsid w:val="00D327AB"/>
    <w:rsid w:val="00D33DAF"/>
    <w:rsid w:val="00D33E76"/>
    <w:rsid w:val="00D33EFD"/>
    <w:rsid w:val="00D35136"/>
    <w:rsid w:val="00D35EC5"/>
    <w:rsid w:val="00D418D4"/>
    <w:rsid w:val="00D425C2"/>
    <w:rsid w:val="00D46A31"/>
    <w:rsid w:val="00D478C4"/>
    <w:rsid w:val="00D53586"/>
    <w:rsid w:val="00D56257"/>
    <w:rsid w:val="00D61893"/>
    <w:rsid w:val="00D65566"/>
    <w:rsid w:val="00D66834"/>
    <w:rsid w:val="00D67188"/>
    <w:rsid w:val="00D7002D"/>
    <w:rsid w:val="00D73940"/>
    <w:rsid w:val="00D7443C"/>
    <w:rsid w:val="00D752A7"/>
    <w:rsid w:val="00D7662A"/>
    <w:rsid w:val="00D808E0"/>
    <w:rsid w:val="00D84883"/>
    <w:rsid w:val="00D84A46"/>
    <w:rsid w:val="00D84F21"/>
    <w:rsid w:val="00D854D6"/>
    <w:rsid w:val="00D8697D"/>
    <w:rsid w:val="00D9170D"/>
    <w:rsid w:val="00D92E25"/>
    <w:rsid w:val="00D9608C"/>
    <w:rsid w:val="00DA0AF3"/>
    <w:rsid w:val="00DA1665"/>
    <w:rsid w:val="00DA37F6"/>
    <w:rsid w:val="00DA74FE"/>
    <w:rsid w:val="00DA7BA2"/>
    <w:rsid w:val="00DB0AD2"/>
    <w:rsid w:val="00DB3A06"/>
    <w:rsid w:val="00DB3DCE"/>
    <w:rsid w:val="00DB3E02"/>
    <w:rsid w:val="00DB448E"/>
    <w:rsid w:val="00DC0958"/>
    <w:rsid w:val="00DC1C76"/>
    <w:rsid w:val="00DC1E10"/>
    <w:rsid w:val="00DC31BC"/>
    <w:rsid w:val="00DC690D"/>
    <w:rsid w:val="00DD052A"/>
    <w:rsid w:val="00DD0B02"/>
    <w:rsid w:val="00DD197D"/>
    <w:rsid w:val="00DD37B3"/>
    <w:rsid w:val="00DD5931"/>
    <w:rsid w:val="00DD692A"/>
    <w:rsid w:val="00DD6DE1"/>
    <w:rsid w:val="00DE0CA8"/>
    <w:rsid w:val="00DE60BC"/>
    <w:rsid w:val="00DE7867"/>
    <w:rsid w:val="00DE7F59"/>
    <w:rsid w:val="00DF0A7B"/>
    <w:rsid w:val="00DF245E"/>
    <w:rsid w:val="00DF4AED"/>
    <w:rsid w:val="00DF63E8"/>
    <w:rsid w:val="00DF7081"/>
    <w:rsid w:val="00E03EFB"/>
    <w:rsid w:val="00E05B03"/>
    <w:rsid w:val="00E10EDF"/>
    <w:rsid w:val="00E12015"/>
    <w:rsid w:val="00E1303A"/>
    <w:rsid w:val="00E16809"/>
    <w:rsid w:val="00E217D2"/>
    <w:rsid w:val="00E226F5"/>
    <w:rsid w:val="00E2428E"/>
    <w:rsid w:val="00E262B7"/>
    <w:rsid w:val="00E27939"/>
    <w:rsid w:val="00E27B9B"/>
    <w:rsid w:val="00E27F06"/>
    <w:rsid w:val="00E30572"/>
    <w:rsid w:val="00E36173"/>
    <w:rsid w:val="00E3704D"/>
    <w:rsid w:val="00E37154"/>
    <w:rsid w:val="00E44FE5"/>
    <w:rsid w:val="00E45E4A"/>
    <w:rsid w:val="00E4602B"/>
    <w:rsid w:val="00E52E84"/>
    <w:rsid w:val="00E5315C"/>
    <w:rsid w:val="00E55E05"/>
    <w:rsid w:val="00E57D45"/>
    <w:rsid w:val="00E57F9E"/>
    <w:rsid w:val="00E6656E"/>
    <w:rsid w:val="00E66BB3"/>
    <w:rsid w:val="00E723E4"/>
    <w:rsid w:val="00E76A13"/>
    <w:rsid w:val="00E77272"/>
    <w:rsid w:val="00E77439"/>
    <w:rsid w:val="00E77A55"/>
    <w:rsid w:val="00E80446"/>
    <w:rsid w:val="00E824E7"/>
    <w:rsid w:val="00E828F2"/>
    <w:rsid w:val="00E851F2"/>
    <w:rsid w:val="00E855EB"/>
    <w:rsid w:val="00E91A74"/>
    <w:rsid w:val="00E92093"/>
    <w:rsid w:val="00E925C7"/>
    <w:rsid w:val="00E93FA6"/>
    <w:rsid w:val="00E9473F"/>
    <w:rsid w:val="00E95A65"/>
    <w:rsid w:val="00EA3122"/>
    <w:rsid w:val="00EA526C"/>
    <w:rsid w:val="00EA53A2"/>
    <w:rsid w:val="00EA5CC4"/>
    <w:rsid w:val="00EA6845"/>
    <w:rsid w:val="00EB171D"/>
    <w:rsid w:val="00EC2566"/>
    <w:rsid w:val="00EC2B49"/>
    <w:rsid w:val="00EC3957"/>
    <w:rsid w:val="00EC4E1A"/>
    <w:rsid w:val="00EC588A"/>
    <w:rsid w:val="00EC5B40"/>
    <w:rsid w:val="00ED2DC5"/>
    <w:rsid w:val="00ED4CC2"/>
    <w:rsid w:val="00ED6335"/>
    <w:rsid w:val="00ED6340"/>
    <w:rsid w:val="00EE07D3"/>
    <w:rsid w:val="00EE0CB9"/>
    <w:rsid w:val="00EE7F15"/>
    <w:rsid w:val="00EF08A5"/>
    <w:rsid w:val="00EF1259"/>
    <w:rsid w:val="00EF3550"/>
    <w:rsid w:val="00EF5C7A"/>
    <w:rsid w:val="00EF5CF7"/>
    <w:rsid w:val="00F00893"/>
    <w:rsid w:val="00F01733"/>
    <w:rsid w:val="00F0186B"/>
    <w:rsid w:val="00F047B4"/>
    <w:rsid w:val="00F0572B"/>
    <w:rsid w:val="00F14CE6"/>
    <w:rsid w:val="00F1586B"/>
    <w:rsid w:val="00F15A5C"/>
    <w:rsid w:val="00F17476"/>
    <w:rsid w:val="00F224B8"/>
    <w:rsid w:val="00F23AA5"/>
    <w:rsid w:val="00F3078F"/>
    <w:rsid w:val="00F3198F"/>
    <w:rsid w:val="00F31EF7"/>
    <w:rsid w:val="00F333BE"/>
    <w:rsid w:val="00F379A6"/>
    <w:rsid w:val="00F4105C"/>
    <w:rsid w:val="00F42EB3"/>
    <w:rsid w:val="00F460BB"/>
    <w:rsid w:val="00F50A06"/>
    <w:rsid w:val="00F5225C"/>
    <w:rsid w:val="00F5649C"/>
    <w:rsid w:val="00F56F9E"/>
    <w:rsid w:val="00F61F55"/>
    <w:rsid w:val="00F670E8"/>
    <w:rsid w:val="00F7129A"/>
    <w:rsid w:val="00F713B6"/>
    <w:rsid w:val="00F71CF5"/>
    <w:rsid w:val="00F80354"/>
    <w:rsid w:val="00F80E50"/>
    <w:rsid w:val="00F81D22"/>
    <w:rsid w:val="00F8328C"/>
    <w:rsid w:val="00F833CC"/>
    <w:rsid w:val="00F83B27"/>
    <w:rsid w:val="00F83FE4"/>
    <w:rsid w:val="00F92F97"/>
    <w:rsid w:val="00F97259"/>
    <w:rsid w:val="00F97338"/>
    <w:rsid w:val="00FA1327"/>
    <w:rsid w:val="00FA2A47"/>
    <w:rsid w:val="00FA5376"/>
    <w:rsid w:val="00FA6C3A"/>
    <w:rsid w:val="00FB1556"/>
    <w:rsid w:val="00FB1644"/>
    <w:rsid w:val="00FB186F"/>
    <w:rsid w:val="00FB1B18"/>
    <w:rsid w:val="00FB26B4"/>
    <w:rsid w:val="00FB5604"/>
    <w:rsid w:val="00FB5803"/>
    <w:rsid w:val="00FC06D7"/>
    <w:rsid w:val="00FC5FFB"/>
    <w:rsid w:val="00FD1050"/>
    <w:rsid w:val="00FD178F"/>
    <w:rsid w:val="00FD1F2A"/>
    <w:rsid w:val="00FD2B8F"/>
    <w:rsid w:val="00FD2C4D"/>
    <w:rsid w:val="00FD3F46"/>
    <w:rsid w:val="00FD5EAF"/>
    <w:rsid w:val="00FE12FF"/>
    <w:rsid w:val="00FE1368"/>
    <w:rsid w:val="00FE145C"/>
    <w:rsid w:val="00FE18E3"/>
    <w:rsid w:val="00FE2ADC"/>
    <w:rsid w:val="00FE3830"/>
    <w:rsid w:val="00FE75AD"/>
    <w:rsid w:val="00FF0468"/>
    <w:rsid w:val="00FF1192"/>
    <w:rsid w:val="00FF4219"/>
    <w:rsid w:val="00FF72D3"/>
    <w:rsid w:val="00FF7DFD"/>
    <w:rsid w:val="012F461B"/>
    <w:rsid w:val="013C06BC"/>
    <w:rsid w:val="013E61E2"/>
    <w:rsid w:val="01806916"/>
    <w:rsid w:val="018E53BB"/>
    <w:rsid w:val="019D6B21"/>
    <w:rsid w:val="01A17E30"/>
    <w:rsid w:val="020B0385"/>
    <w:rsid w:val="022A3DF3"/>
    <w:rsid w:val="02325913"/>
    <w:rsid w:val="02353A89"/>
    <w:rsid w:val="02380E83"/>
    <w:rsid w:val="02412442"/>
    <w:rsid w:val="02555ED9"/>
    <w:rsid w:val="026558D4"/>
    <w:rsid w:val="02846EFD"/>
    <w:rsid w:val="02EB2B67"/>
    <w:rsid w:val="02FC55FF"/>
    <w:rsid w:val="034A1B3D"/>
    <w:rsid w:val="035E2B6B"/>
    <w:rsid w:val="03697560"/>
    <w:rsid w:val="0372757F"/>
    <w:rsid w:val="03936D7C"/>
    <w:rsid w:val="03941958"/>
    <w:rsid w:val="03BA3FB3"/>
    <w:rsid w:val="03E06642"/>
    <w:rsid w:val="03F46FAF"/>
    <w:rsid w:val="03FD05D6"/>
    <w:rsid w:val="04081259"/>
    <w:rsid w:val="04090D29"/>
    <w:rsid w:val="04172E53"/>
    <w:rsid w:val="04223B99"/>
    <w:rsid w:val="04386D42"/>
    <w:rsid w:val="04393201"/>
    <w:rsid w:val="0440480D"/>
    <w:rsid w:val="044927F7"/>
    <w:rsid w:val="04631834"/>
    <w:rsid w:val="048E5414"/>
    <w:rsid w:val="049F51EA"/>
    <w:rsid w:val="04D329A3"/>
    <w:rsid w:val="04DB426E"/>
    <w:rsid w:val="04FB31C1"/>
    <w:rsid w:val="050C421C"/>
    <w:rsid w:val="055A7363"/>
    <w:rsid w:val="055E42E5"/>
    <w:rsid w:val="055F5529"/>
    <w:rsid w:val="05780BC2"/>
    <w:rsid w:val="05967132"/>
    <w:rsid w:val="05E732EC"/>
    <w:rsid w:val="062E7E77"/>
    <w:rsid w:val="063F6C84"/>
    <w:rsid w:val="064504DC"/>
    <w:rsid w:val="064A7E0A"/>
    <w:rsid w:val="06D66EBD"/>
    <w:rsid w:val="06D90471"/>
    <w:rsid w:val="06DF0467"/>
    <w:rsid w:val="06E415DA"/>
    <w:rsid w:val="06E554CE"/>
    <w:rsid w:val="06F4381C"/>
    <w:rsid w:val="070B300A"/>
    <w:rsid w:val="07350087"/>
    <w:rsid w:val="0735346B"/>
    <w:rsid w:val="07573D80"/>
    <w:rsid w:val="07AF2F84"/>
    <w:rsid w:val="07B71B72"/>
    <w:rsid w:val="07C41649"/>
    <w:rsid w:val="07D63618"/>
    <w:rsid w:val="0800698A"/>
    <w:rsid w:val="0812632A"/>
    <w:rsid w:val="082E5202"/>
    <w:rsid w:val="08410120"/>
    <w:rsid w:val="085A0B92"/>
    <w:rsid w:val="085D6D30"/>
    <w:rsid w:val="08697B9A"/>
    <w:rsid w:val="086E78A0"/>
    <w:rsid w:val="087E1C1F"/>
    <w:rsid w:val="088A7F5F"/>
    <w:rsid w:val="08B514E8"/>
    <w:rsid w:val="08C9044B"/>
    <w:rsid w:val="08FA3336"/>
    <w:rsid w:val="090D12BC"/>
    <w:rsid w:val="093C2154"/>
    <w:rsid w:val="096662AA"/>
    <w:rsid w:val="097655FA"/>
    <w:rsid w:val="09A24A2E"/>
    <w:rsid w:val="09B20E72"/>
    <w:rsid w:val="09B96D4E"/>
    <w:rsid w:val="09BB4602"/>
    <w:rsid w:val="09C212E7"/>
    <w:rsid w:val="09DA6CC4"/>
    <w:rsid w:val="09F61D50"/>
    <w:rsid w:val="0A014C45"/>
    <w:rsid w:val="0A0F696E"/>
    <w:rsid w:val="0A1744D8"/>
    <w:rsid w:val="0A227296"/>
    <w:rsid w:val="0A2A6BBD"/>
    <w:rsid w:val="0A487B72"/>
    <w:rsid w:val="0A5B1985"/>
    <w:rsid w:val="0AA4611C"/>
    <w:rsid w:val="0ACA3FAC"/>
    <w:rsid w:val="0ADD250A"/>
    <w:rsid w:val="0ADF6D37"/>
    <w:rsid w:val="0AFB3396"/>
    <w:rsid w:val="0B04224A"/>
    <w:rsid w:val="0B111CE7"/>
    <w:rsid w:val="0B16599D"/>
    <w:rsid w:val="0B1D5C12"/>
    <w:rsid w:val="0B422D10"/>
    <w:rsid w:val="0B621946"/>
    <w:rsid w:val="0B701CD3"/>
    <w:rsid w:val="0BA35012"/>
    <w:rsid w:val="0BA650B0"/>
    <w:rsid w:val="0BB772BD"/>
    <w:rsid w:val="0BCD419B"/>
    <w:rsid w:val="0BE5207C"/>
    <w:rsid w:val="0C2A58B2"/>
    <w:rsid w:val="0C2D3A23"/>
    <w:rsid w:val="0C406F11"/>
    <w:rsid w:val="0C79253B"/>
    <w:rsid w:val="0C873133"/>
    <w:rsid w:val="0CA77331"/>
    <w:rsid w:val="0CB952B6"/>
    <w:rsid w:val="0CCB0670"/>
    <w:rsid w:val="0CE40585"/>
    <w:rsid w:val="0CEA7519"/>
    <w:rsid w:val="0CF94F44"/>
    <w:rsid w:val="0D193741"/>
    <w:rsid w:val="0D1A46D8"/>
    <w:rsid w:val="0D36488F"/>
    <w:rsid w:val="0D4E1EA3"/>
    <w:rsid w:val="0D674D12"/>
    <w:rsid w:val="0D904269"/>
    <w:rsid w:val="0DA11FD2"/>
    <w:rsid w:val="0DB951C1"/>
    <w:rsid w:val="0DBD4932"/>
    <w:rsid w:val="0DC73AC9"/>
    <w:rsid w:val="0DCE6C0B"/>
    <w:rsid w:val="0DD56562"/>
    <w:rsid w:val="0DF70C44"/>
    <w:rsid w:val="0E034A3B"/>
    <w:rsid w:val="0E181A66"/>
    <w:rsid w:val="0E2F75DE"/>
    <w:rsid w:val="0E386917"/>
    <w:rsid w:val="0E6A4ABA"/>
    <w:rsid w:val="0E843EF7"/>
    <w:rsid w:val="0EBD110B"/>
    <w:rsid w:val="0EE21059"/>
    <w:rsid w:val="0EE7492D"/>
    <w:rsid w:val="0EF83861"/>
    <w:rsid w:val="0F1669F0"/>
    <w:rsid w:val="0F2B2436"/>
    <w:rsid w:val="0F50686F"/>
    <w:rsid w:val="0F686692"/>
    <w:rsid w:val="0FAE0909"/>
    <w:rsid w:val="0FC05D33"/>
    <w:rsid w:val="0FC11EAD"/>
    <w:rsid w:val="0FC15199"/>
    <w:rsid w:val="0FF46D31"/>
    <w:rsid w:val="100C5385"/>
    <w:rsid w:val="10204C73"/>
    <w:rsid w:val="10436E6B"/>
    <w:rsid w:val="1045335A"/>
    <w:rsid w:val="104C5445"/>
    <w:rsid w:val="10555354"/>
    <w:rsid w:val="105D423B"/>
    <w:rsid w:val="108223E1"/>
    <w:rsid w:val="10BE10ED"/>
    <w:rsid w:val="10CF1331"/>
    <w:rsid w:val="10D93432"/>
    <w:rsid w:val="11226CFB"/>
    <w:rsid w:val="113C764C"/>
    <w:rsid w:val="11410717"/>
    <w:rsid w:val="115076BF"/>
    <w:rsid w:val="11583708"/>
    <w:rsid w:val="115E4E0F"/>
    <w:rsid w:val="11871BC2"/>
    <w:rsid w:val="11AA6791"/>
    <w:rsid w:val="11BF429C"/>
    <w:rsid w:val="11CB5870"/>
    <w:rsid w:val="11DF5B8B"/>
    <w:rsid w:val="12575C7C"/>
    <w:rsid w:val="12687260"/>
    <w:rsid w:val="12741D30"/>
    <w:rsid w:val="12997599"/>
    <w:rsid w:val="12B72FF7"/>
    <w:rsid w:val="12BA4944"/>
    <w:rsid w:val="12BD508A"/>
    <w:rsid w:val="12C87092"/>
    <w:rsid w:val="12E56E05"/>
    <w:rsid w:val="13030BB1"/>
    <w:rsid w:val="13203999"/>
    <w:rsid w:val="13250FB0"/>
    <w:rsid w:val="1336140F"/>
    <w:rsid w:val="13841499"/>
    <w:rsid w:val="139254A9"/>
    <w:rsid w:val="13A122FD"/>
    <w:rsid w:val="13B47539"/>
    <w:rsid w:val="13D9666A"/>
    <w:rsid w:val="13FA68E0"/>
    <w:rsid w:val="14264FE0"/>
    <w:rsid w:val="1441006B"/>
    <w:rsid w:val="14485B60"/>
    <w:rsid w:val="144D7458"/>
    <w:rsid w:val="145F7A24"/>
    <w:rsid w:val="146A47F0"/>
    <w:rsid w:val="14736AB2"/>
    <w:rsid w:val="14B10317"/>
    <w:rsid w:val="14B55B08"/>
    <w:rsid w:val="152116FE"/>
    <w:rsid w:val="152C6FA6"/>
    <w:rsid w:val="152D239E"/>
    <w:rsid w:val="15490DDC"/>
    <w:rsid w:val="157F63C8"/>
    <w:rsid w:val="15C03212"/>
    <w:rsid w:val="16027CCE"/>
    <w:rsid w:val="16341CFD"/>
    <w:rsid w:val="163D4862"/>
    <w:rsid w:val="165140E0"/>
    <w:rsid w:val="16592C8A"/>
    <w:rsid w:val="16806F43"/>
    <w:rsid w:val="174F2A9F"/>
    <w:rsid w:val="175B01F7"/>
    <w:rsid w:val="178006E2"/>
    <w:rsid w:val="17BE7C25"/>
    <w:rsid w:val="17E31439"/>
    <w:rsid w:val="180B1642"/>
    <w:rsid w:val="186670B3"/>
    <w:rsid w:val="18691C6A"/>
    <w:rsid w:val="188E4E98"/>
    <w:rsid w:val="18A3143C"/>
    <w:rsid w:val="18B8771C"/>
    <w:rsid w:val="18D84026"/>
    <w:rsid w:val="190A1374"/>
    <w:rsid w:val="190D2724"/>
    <w:rsid w:val="19503C49"/>
    <w:rsid w:val="196654B3"/>
    <w:rsid w:val="199B15A1"/>
    <w:rsid w:val="19C81D7F"/>
    <w:rsid w:val="19CF1C75"/>
    <w:rsid w:val="1A304BE9"/>
    <w:rsid w:val="1A4E5290"/>
    <w:rsid w:val="1A62456F"/>
    <w:rsid w:val="1AC62300"/>
    <w:rsid w:val="1ACE7EED"/>
    <w:rsid w:val="1AFA71C6"/>
    <w:rsid w:val="1B043BA1"/>
    <w:rsid w:val="1B0E5853"/>
    <w:rsid w:val="1B3721C8"/>
    <w:rsid w:val="1B525773"/>
    <w:rsid w:val="1BBC26CD"/>
    <w:rsid w:val="1BC572A5"/>
    <w:rsid w:val="1BC86C12"/>
    <w:rsid w:val="1BD13B30"/>
    <w:rsid w:val="1BD9327F"/>
    <w:rsid w:val="1BF108D9"/>
    <w:rsid w:val="1C076DCF"/>
    <w:rsid w:val="1C086720"/>
    <w:rsid w:val="1C1D13BE"/>
    <w:rsid w:val="1C35049D"/>
    <w:rsid w:val="1C4F2064"/>
    <w:rsid w:val="1C4F709D"/>
    <w:rsid w:val="1C522596"/>
    <w:rsid w:val="1C5E4627"/>
    <w:rsid w:val="1C626DD1"/>
    <w:rsid w:val="1C6840AB"/>
    <w:rsid w:val="1C9A47BD"/>
    <w:rsid w:val="1CA76EDA"/>
    <w:rsid w:val="1CE15262"/>
    <w:rsid w:val="1D0C1827"/>
    <w:rsid w:val="1D1463AF"/>
    <w:rsid w:val="1D1E4AC0"/>
    <w:rsid w:val="1D2610E3"/>
    <w:rsid w:val="1D2F3DEC"/>
    <w:rsid w:val="1D376053"/>
    <w:rsid w:val="1D6D3C7F"/>
    <w:rsid w:val="1D6D7DCF"/>
    <w:rsid w:val="1D752406"/>
    <w:rsid w:val="1D82616E"/>
    <w:rsid w:val="1DA13880"/>
    <w:rsid w:val="1DB65AFB"/>
    <w:rsid w:val="1DCD1529"/>
    <w:rsid w:val="1E164317"/>
    <w:rsid w:val="1E286432"/>
    <w:rsid w:val="1E952CF3"/>
    <w:rsid w:val="1EB1373C"/>
    <w:rsid w:val="1ED2581E"/>
    <w:rsid w:val="1F1F37D8"/>
    <w:rsid w:val="1F2667DB"/>
    <w:rsid w:val="1F345780"/>
    <w:rsid w:val="1F394761"/>
    <w:rsid w:val="1F7312F5"/>
    <w:rsid w:val="1FB773A0"/>
    <w:rsid w:val="1FB8130B"/>
    <w:rsid w:val="1FDA64E5"/>
    <w:rsid w:val="1FDF0D94"/>
    <w:rsid w:val="1FE741BD"/>
    <w:rsid w:val="1FFC1FCA"/>
    <w:rsid w:val="2003329B"/>
    <w:rsid w:val="20085EE1"/>
    <w:rsid w:val="20120B0E"/>
    <w:rsid w:val="204A343A"/>
    <w:rsid w:val="20542ED4"/>
    <w:rsid w:val="20A83220"/>
    <w:rsid w:val="20A84338"/>
    <w:rsid w:val="20CF3C95"/>
    <w:rsid w:val="20E07283"/>
    <w:rsid w:val="20F6042F"/>
    <w:rsid w:val="20FB0931"/>
    <w:rsid w:val="215E27D0"/>
    <w:rsid w:val="218450BC"/>
    <w:rsid w:val="218C4119"/>
    <w:rsid w:val="21B46321"/>
    <w:rsid w:val="21C35049"/>
    <w:rsid w:val="224877AF"/>
    <w:rsid w:val="225B3948"/>
    <w:rsid w:val="228763BA"/>
    <w:rsid w:val="229D122A"/>
    <w:rsid w:val="22DF5A1D"/>
    <w:rsid w:val="22EF3388"/>
    <w:rsid w:val="234C07DB"/>
    <w:rsid w:val="237728B2"/>
    <w:rsid w:val="23903CDE"/>
    <w:rsid w:val="246C2EE2"/>
    <w:rsid w:val="24C42DE7"/>
    <w:rsid w:val="24D44E24"/>
    <w:rsid w:val="24D80578"/>
    <w:rsid w:val="24DF3BC1"/>
    <w:rsid w:val="24E46F1D"/>
    <w:rsid w:val="24E52C95"/>
    <w:rsid w:val="25392A34"/>
    <w:rsid w:val="254C7191"/>
    <w:rsid w:val="25653D41"/>
    <w:rsid w:val="25671336"/>
    <w:rsid w:val="256E33DB"/>
    <w:rsid w:val="258C3110"/>
    <w:rsid w:val="25900DE4"/>
    <w:rsid w:val="259326F1"/>
    <w:rsid w:val="25BC38F1"/>
    <w:rsid w:val="25D03C3E"/>
    <w:rsid w:val="261B4EF4"/>
    <w:rsid w:val="262B0B7B"/>
    <w:rsid w:val="26763DBC"/>
    <w:rsid w:val="268C49EB"/>
    <w:rsid w:val="268E3590"/>
    <w:rsid w:val="268F637C"/>
    <w:rsid w:val="26AC3538"/>
    <w:rsid w:val="27590075"/>
    <w:rsid w:val="27767BD4"/>
    <w:rsid w:val="277E3C36"/>
    <w:rsid w:val="27933A2F"/>
    <w:rsid w:val="27A149C1"/>
    <w:rsid w:val="27E10001"/>
    <w:rsid w:val="27F15632"/>
    <w:rsid w:val="28017DE6"/>
    <w:rsid w:val="2818512F"/>
    <w:rsid w:val="2819710A"/>
    <w:rsid w:val="282D3769"/>
    <w:rsid w:val="285269F3"/>
    <w:rsid w:val="285D1491"/>
    <w:rsid w:val="28610BE0"/>
    <w:rsid w:val="286F2FA1"/>
    <w:rsid w:val="28F1596D"/>
    <w:rsid w:val="28F506B3"/>
    <w:rsid w:val="290556B4"/>
    <w:rsid w:val="29132E46"/>
    <w:rsid w:val="29140A06"/>
    <w:rsid w:val="29510810"/>
    <w:rsid w:val="29565F0F"/>
    <w:rsid w:val="296F5223"/>
    <w:rsid w:val="29753FA3"/>
    <w:rsid w:val="29B669AE"/>
    <w:rsid w:val="29CE1F49"/>
    <w:rsid w:val="29CF181E"/>
    <w:rsid w:val="29D65941"/>
    <w:rsid w:val="29FF65A7"/>
    <w:rsid w:val="2A1B1446"/>
    <w:rsid w:val="2A5B7116"/>
    <w:rsid w:val="2A6561CA"/>
    <w:rsid w:val="2AAF30BC"/>
    <w:rsid w:val="2AC303EC"/>
    <w:rsid w:val="2AC422EA"/>
    <w:rsid w:val="2AD74E2E"/>
    <w:rsid w:val="2B056330"/>
    <w:rsid w:val="2B3C013E"/>
    <w:rsid w:val="2B4F2D00"/>
    <w:rsid w:val="2B7667C4"/>
    <w:rsid w:val="2B9F22EA"/>
    <w:rsid w:val="2BBD04C8"/>
    <w:rsid w:val="2BC12588"/>
    <w:rsid w:val="2BE27F2E"/>
    <w:rsid w:val="2BED3917"/>
    <w:rsid w:val="2BFD2B77"/>
    <w:rsid w:val="2C0058EF"/>
    <w:rsid w:val="2C1A1476"/>
    <w:rsid w:val="2C1D7930"/>
    <w:rsid w:val="2C6F7D89"/>
    <w:rsid w:val="2C9F32EA"/>
    <w:rsid w:val="2CA02FD0"/>
    <w:rsid w:val="2CA8568C"/>
    <w:rsid w:val="2CD810FA"/>
    <w:rsid w:val="2CD91D17"/>
    <w:rsid w:val="2D0D0FDB"/>
    <w:rsid w:val="2D2C734B"/>
    <w:rsid w:val="2D336CD0"/>
    <w:rsid w:val="2D5F6222"/>
    <w:rsid w:val="2D7720ED"/>
    <w:rsid w:val="2DB8000D"/>
    <w:rsid w:val="2E0028ED"/>
    <w:rsid w:val="2E05204C"/>
    <w:rsid w:val="2E33092F"/>
    <w:rsid w:val="2E8655A0"/>
    <w:rsid w:val="2E8B690A"/>
    <w:rsid w:val="2E9B152E"/>
    <w:rsid w:val="2EA076B6"/>
    <w:rsid w:val="2ED25539"/>
    <w:rsid w:val="2ED9174C"/>
    <w:rsid w:val="2F282A74"/>
    <w:rsid w:val="2F527179"/>
    <w:rsid w:val="2F560A17"/>
    <w:rsid w:val="2FAE4BFD"/>
    <w:rsid w:val="2FB00AFA"/>
    <w:rsid w:val="2FB819F0"/>
    <w:rsid w:val="2FC105A1"/>
    <w:rsid w:val="2FC16A35"/>
    <w:rsid w:val="2FCA3DCC"/>
    <w:rsid w:val="300D0A7C"/>
    <w:rsid w:val="300F0BC6"/>
    <w:rsid w:val="302C4E44"/>
    <w:rsid w:val="30314FE0"/>
    <w:rsid w:val="303813A1"/>
    <w:rsid w:val="307B55B5"/>
    <w:rsid w:val="30B005FB"/>
    <w:rsid w:val="30CB35A4"/>
    <w:rsid w:val="30ED53AB"/>
    <w:rsid w:val="310B5831"/>
    <w:rsid w:val="31305298"/>
    <w:rsid w:val="3149677F"/>
    <w:rsid w:val="314D19A6"/>
    <w:rsid w:val="31576325"/>
    <w:rsid w:val="31BB2BEF"/>
    <w:rsid w:val="31D45C76"/>
    <w:rsid w:val="31E31F80"/>
    <w:rsid w:val="3218333C"/>
    <w:rsid w:val="32537490"/>
    <w:rsid w:val="325E0A23"/>
    <w:rsid w:val="326140CD"/>
    <w:rsid w:val="328B3F8D"/>
    <w:rsid w:val="32927EB9"/>
    <w:rsid w:val="32A7291F"/>
    <w:rsid w:val="32C9490C"/>
    <w:rsid w:val="32E20814"/>
    <w:rsid w:val="331B68CE"/>
    <w:rsid w:val="332C1A8F"/>
    <w:rsid w:val="33355AFF"/>
    <w:rsid w:val="33373782"/>
    <w:rsid w:val="336456CD"/>
    <w:rsid w:val="33F97BC3"/>
    <w:rsid w:val="34086058"/>
    <w:rsid w:val="342D18BD"/>
    <w:rsid w:val="3445105A"/>
    <w:rsid w:val="3445362B"/>
    <w:rsid w:val="34620DEE"/>
    <w:rsid w:val="347B2E92"/>
    <w:rsid w:val="34A07C14"/>
    <w:rsid w:val="34A60E56"/>
    <w:rsid w:val="34CA2A1F"/>
    <w:rsid w:val="34DF575D"/>
    <w:rsid w:val="351A6043"/>
    <w:rsid w:val="353741CE"/>
    <w:rsid w:val="35B14B96"/>
    <w:rsid w:val="35BE4C29"/>
    <w:rsid w:val="362E70FA"/>
    <w:rsid w:val="362F5820"/>
    <w:rsid w:val="363932F5"/>
    <w:rsid w:val="364024FD"/>
    <w:rsid w:val="364F57B2"/>
    <w:rsid w:val="36536000"/>
    <w:rsid w:val="3676374D"/>
    <w:rsid w:val="369319BB"/>
    <w:rsid w:val="36B129D7"/>
    <w:rsid w:val="36D50E48"/>
    <w:rsid w:val="36E04406"/>
    <w:rsid w:val="36E73F55"/>
    <w:rsid w:val="37133692"/>
    <w:rsid w:val="371D6D34"/>
    <w:rsid w:val="37661A13"/>
    <w:rsid w:val="37757EA8"/>
    <w:rsid w:val="37825684"/>
    <w:rsid w:val="37865C12"/>
    <w:rsid w:val="37A66221"/>
    <w:rsid w:val="37BB3684"/>
    <w:rsid w:val="37C52A6C"/>
    <w:rsid w:val="37DE0783"/>
    <w:rsid w:val="38037262"/>
    <w:rsid w:val="38567EB0"/>
    <w:rsid w:val="385F2B33"/>
    <w:rsid w:val="386247ED"/>
    <w:rsid w:val="388D4D7E"/>
    <w:rsid w:val="389846CF"/>
    <w:rsid w:val="38B54074"/>
    <w:rsid w:val="38BC47B2"/>
    <w:rsid w:val="38C5243D"/>
    <w:rsid w:val="38C6486C"/>
    <w:rsid w:val="38D27A9E"/>
    <w:rsid w:val="38DE0C2D"/>
    <w:rsid w:val="38E3083D"/>
    <w:rsid w:val="38E86458"/>
    <w:rsid w:val="393671C3"/>
    <w:rsid w:val="395A55A8"/>
    <w:rsid w:val="395D6E46"/>
    <w:rsid w:val="395E7E49"/>
    <w:rsid w:val="397F651D"/>
    <w:rsid w:val="39846181"/>
    <w:rsid w:val="399C78CE"/>
    <w:rsid w:val="39A0784B"/>
    <w:rsid w:val="39B87EE7"/>
    <w:rsid w:val="39C20DC3"/>
    <w:rsid w:val="39C96289"/>
    <w:rsid w:val="39DF5AAD"/>
    <w:rsid w:val="3A0177D1"/>
    <w:rsid w:val="3A244DD6"/>
    <w:rsid w:val="3A382966"/>
    <w:rsid w:val="3A420995"/>
    <w:rsid w:val="3A766295"/>
    <w:rsid w:val="3A9E7716"/>
    <w:rsid w:val="3AD64558"/>
    <w:rsid w:val="3AE815A0"/>
    <w:rsid w:val="3AE83804"/>
    <w:rsid w:val="3AEB3F54"/>
    <w:rsid w:val="3AF80608"/>
    <w:rsid w:val="3B3D2A8B"/>
    <w:rsid w:val="3B64270E"/>
    <w:rsid w:val="3B731877"/>
    <w:rsid w:val="3B7B35B3"/>
    <w:rsid w:val="3B862A3B"/>
    <w:rsid w:val="3B973BF1"/>
    <w:rsid w:val="3B9D79CE"/>
    <w:rsid w:val="3BB228D8"/>
    <w:rsid w:val="3BDB0315"/>
    <w:rsid w:val="3BE56A31"/>
    <w:rsid w:val="3BE949C1"/>
    <w:rsid w:val="3C0D6901"/>
    <w:rsid w:val="3C0F5D73"/>
    <w:rsid w:val="3C9962E1"/>
    <w:rsid w:val="3CB706E6"/>
    <w:rsid w:val="3CE645E9"/>
    <w:rsid w:val="3D185AE8"/>
    <w:rsid w:val="3D195E6E"/>
    <w:rsid w:val="3D6502DC"/>
    <w:rsid w:val="3D6803A1"/>
    <w:rsid w:val="3D687B67"/>
    <w:rsid w:val="3D901B16"/>
    <w:rsid w:val="3D935886"/>
    <w:rsid w:val="3D987913"/>
    <w:rsid w:val="3DA30BE5"/>
    <w:rsid w:val="3DDE2F12"/>
    <w:rsid w:val="3E222DE5"/>
    <w:rsid w:val="3E2B0BAE"/>
    <w:rsid w:val="3E46434D"/>
    <w:rsid w:val="3E4E4FAF"/>
    <w:rsid w:val="3E773E46"/>
    <w:rsid w:val="3E976956"/>
    <w:rsid w:val="3ED462D1"/>
    <w:rsid w:val="3EE64B49"/>
    <w:rsid w:val="3F047E9E"/>
    <w:rsid w:val="3F0F224A"/>
    <w:rsid w:val="3F3B2B5C"/>
    <w:rsid w:val="3F5460F7"/>
    <w:rsid w:val="3FA33D50"/>
    <w:rsid w:val="3FCA4B09"/>
    <w:rsid w:val="402F7FC8"/>
    <w:rsid w:val="40477F08"/>
    <w:rsid w:val="40490124"/>
    <w:rsid w:val="405549F6"/>
    <w:rsid w:val="408313F4"/>
    <w:rsid w:val="4086107D"/>
    <w:rsid w:val="408847A8"/>
    <w:rsid w:val="40930FC5"/>
    <w:rsid w:val="409A7C63"/>
    <w:rsid w:val="40B30F05"/>
    <w:rsid w:val="40BC26A4"/>
    <w:rsid w:val="41182C14"/>
    <w:rsid w:val="4121618D"/>
    <w:rsid w:val="412A202E"/>
    <w:rsid w:val="4136784F"/>
    <w:rsid w:val="417E37CC"/>
    <w:rsid w:val="41901A05"/>
    <w:rsid w:val="41971386"/>
    <w:rsid w:val="419A6FE9"/>
    <w:rsid w:val="419E26BD"/>
    <w:rsid w:val="41A90E7A"/>
    <w:rsid w:val="41DE7162"/>
    <w:rsid w:val="421107CE"/>
    <w:rsid w:val="421309EA"/>
    <w:rsid w:val="424B77CF"/>
    <w:rsid w:val="424D62B1"/>
    <w:rsid w:val="42750654"/>
    <w:rsid w:val="427618A5"/>
    <w:rsid w:val="42962039"/>
    <w:rsid w:val="42A54737"/>
    <w:rsid w:val="42A87384"/>
    <w:rsid w:val="42C76941"/>
    <w:rsid w:val="42E61FBC"/>
    <w:rsid w:val="42E65764"/>
    <w:rsid w:val="42E6583C"/>
    <w:rsid w:val="42FE0076"/>
    <w:rsid w:val="43097150"/>
    <w:rsid w:val="433550C8"/>
    <w:rsid w:val="433C5D1E"/>
    <w:rsid w:val="43782C30"/>
    <w:rsid w:val="438A4CDB"/>
    <w:rsid w:val="43911BC6"/>
    <w:rsid w:val="43D15B38"/>
    <w:rsid w:val="43E46DEF"/>
    <w:rsid w:val="440F6EE4"/>
    <w:rsid w:val="441D0A5B"/>
    <w:rsid w:val="44473328"/>
    <w:rsid w:val="4456696C"/>
    <w:rsid w:val="445F7CDA"/>
    <w:rsid w:val="447C6CCE"/>
    <w:rsid w:val="44A5739E"/>
    <w:rsid w:val="44DA6522"/>
    <w:rsid w:val="451F76A5"/>
    <w:rsid w:val="453F0CAB"/>
    <w:rsid w:val="455B6291"/>
    <w:rsid w:val="457D002E"/>
    <w:rsid w:val="458863BD"/>
    <w:rsid w:val="45AE4DCE"/>
    <w:rsid w:val="45D13EB1"/>
    <w:rsid w:val="45ED1EF9"/>
    <w:rsid w:val="460646B3"/>
    <w:rsid w:val="461B7E6D"/>
    <w:rsid w:val="461C6CAE"/>
    <w:rsid w:val="46207231"/>
    <w:rsid w:val="464F08A2"/>
    <w:rsid w:val="465170DE"/>
    <w:rsid w:val="46752613"/>
    <w:rsid w:val="469C7E07"/>
    <w:rsid w:val="46AF0C46"/>
    <w:rsid w:val="46C51CB3"/>
    <w:rsid w:val="47317AB8"/>
    <w:rsid w:val="474336B9"/>
    <w:rsid w:val="47750E77"/>
    <w:rsid w:val="47783472"/>
    <w:rsid w:val="47812B84"/>
    <w:rsid w:val="479177C0"/>
    <w:rsid w:val="479A3013"/>
    <w:rsid w:val="47AC3985"/>
    <w:rsid w:val="47DB6854"/>
    <w:rsid w:val="47E26E94"/>
    <w:rsid w:val="47F77BA9"/>
    <w:rsid w:val="47FD193E"/>
    <w:rsid w:val="48092B19"/>
    <w:rsid w:val="48223734"/>
    <w:rsid w:val="486E697A"/>
    <w:rsid w:val="48DC0E54"/>
    <w:rsid w:val="48E133D2"/>
    <w:rsid w:val="48EE6600"/>
    <w:rsid w:val="490B5F77"/>
    <w:rsid w:val="492C413F"/>
    <w:rsid w:val="49382AE4"/>
    <w:rsid w:val="49404AFC"/>
    <w:rsid w:val="494D3D4B"/>
    <w:rsid w:val="494F447D"/>
    <w:rsid w:val="497756A4"/>
    <w:rsid w:val="498E3187"/>
    <w:rsid w:val="49A25371"/>
    <w:rsid w:val="49E7227D"/>
    <w:rsid w:val="4A6E4720"/>
    <w:rsid w:val="4A72484E"/>
    <w:rsid w:val="4A9A1DA8"/>
    <w:rsid w:val="4AAE6C7D"/>
    <w:rsid w:val="4AB874AF"/>
    <w:rsid w:val="4AF64A04"/>
    <w:rsid w:val="4B2317F9"/>
    <w:rsid w:val="4B66585B"/>
    <w:rsid w:val="4B8A12D9"/>
    <w:rsid w:val="4B916860"/>
    <w:rsid w:val="4BDC634E"/>
    <w:rsid w:val="4BF45C18"/>
    <w:rsid w:val="4BFA111D"/>
    <w:rsid w:val="4C172E84"/>
    <w:rsid w:val="4C190454"/>
    <w:rsid w:val="4C1C659D"/>
    <w:rsid w:val="4C2A5C4F"/>
    <w:rsid w:val="4C481A4D"/>
    <w:rsid w:val="4C4E2FA9"/>
    <w:rsid w:val="4C6A6FFC"/>
    <w:rsid w:val="4C703AE8"/>
    <w:rsid w:val="4C8A2E9A"/>
    <w:rsid w:val="4CA8714A"/>
    <w:rsid w:val="4CCD7FCE"/>
    <w:rsid w:val="4CE773D3"/>
    <w:rsid w:val="4CFB4554"/>
    <w:rsid w:val="4D1331B4"/>
    <w:rsid w:val="4D2240E1"/>
    <w:rsid w:val="4D3C2C1B"/>
    <w:rsid w:val="4D44596B"/>
    <w:rsid w:val="4D475E72"/>
    <w:rsid w:val="4D51610C"/>
    <w:rsid w:val="4D9F2566"/>
    <w:rsid w:val="4DBC3901"/>
    <w:rsid w:val="4E0F647C"/>
    <w:rsid w:val="4E200716"/>
    <w:rsid w:val="4E30647F"/>
    <w:rsid w:val="4E4B5A59"/>
    <w:rsid w:val="4E5B79A0"/>
    <w:rsid w:val="4E6572DD"/>
    <w:rsid w:val="4EA36C51"/>
    <w:rsid w:val="4EE94436"/>
    <w:rsid w:val="4EFD55F3"/>
    <w:rsid w:val="4F337FD5"/>
    <w:rsid w:val="4F512B51"/>
    <w:rsid w:val="4F7B197C"/>
    <w:rsid w:val="4F863BEA"/>
    <w:rsid w:val="4FD07F1A"/>
    <w:rsid w:val="4FEB6BC5"/>
    <w:rsid w:val="50011E81"/>
    <w:rsid w:val="50212524"/>
    <w:rsid w:val="505126D5"/>
    <w:rsid w:val="50632B3C"/>
    <w:rsid w:val="50700DB5"/>
    <w:rsid w:val="507765E7"/>
    <w:rsid w:val="508A1E77"/>
    <w:rsid w:val="508D5C10"/>
    <w:rsid w:val="50932B16"/>
    <w:rsid w:val="50C335DB"/>
    <w:rsid w:val="50D43A3A"/>
    <w:rsid w:val="50F7456B"/>
    <w:rsid w:val="5115210E"/>
    <w:rsid w:val="511915A2"/>
    <w:rsid w:val="513A1AEF"/>
    <w:rsid w:val="514566E6"/>
    <w:rsid w:val="516E2F3E"/>
    <w:rsid w:val="51BD5F8B"/>
    <w:rsid w:val="51BF0246"/>
    <w:rsid w:val="51D45C8B"/>
    <w:rsid w:val="51DB075E"/>
    <w:rsid w:val="524146A4"/>
    <w:rsid w:val="525340EC"/>
    <w:rsid w:val="526B5CF1"/>
    <w:rsid w:val="52AD3CBE"/>
    <w:rsid w:val="52B21B59"/>
    <w:rsid w:val="52B70F1D"/>
    <w:rsid w:val="5316739E"/>
    <w:rsid w:val="533D3A60"/>
    <w:rsid w:val="534722A1"/>
    <w:rsid w:val="53604842"/>
    <w:rsid w:val="538452A3"/>
    <w:rsid w:val="53875CAC"/>
    <w:rsid w:val="53AF7E46"/>
    <w:rsid w:val="53B45F18"/>
    <w:rsid w:val="53C102A5"/>
    <w:rsid w:val="53C82F88"/>
    <w:rsid w:val="53D1282D"/>
    <w:rsid w:val="540600C9"/>
    <w:rsid w:val="54144004"/>
    <w:rsid w:val="54247D08"/>
    <w:rsid w:val="54281FE0"/>
    <w:rsid w:val="5429473B"/>
    <w:rsid w:val="543A6FBC"/>
    <w:rsid w:val="54833275"/>
    <w:rsid w:val="54E24D29"/>
    <w:rsid w:val="553737B4"/>
    <w:rsid w:val="55741347"/>
    <w:rsid w:val="5579070C"/>
    <w:rsid w:val="557B150C"/>
    <w:rsid w:val="55A55D6A"/>
    <w:rsid w:val="55B1434A"/>
    <w:rsid w:val="55B6022E"/>
    <w:rsid w:val="55E21C4E"/>
    <w:rsid w:val="55E85BA2"/>
    <w:rsid w:val="55F3226C"/>
    <w:rsid w:val="560A614D"/>
    <w:rsid w:val="561722AD"/>
    <w:rsid w:val="563F5EF6"/>
    <w:rsid w:val="56570A4D"/>
    <w:rsid w:val="567E09C2"/>
    <w:rsid w:val="56B714EC"/>
    <w:rsid w:val="56D32459"/>
    <w:rsid w:val="56E6057D"/>
    <w:rsid w:val="57111330"/>
    <w:rsid w:val="572B12F6"/>
    <w:rsid w:val="574F181B"/>
    <w:rsid w:val="57803FD4"/>
    <w:rsid w:val="57852BD3"/>
    <w:rsid w:val="57BB319C"/>
    <w:rsid w:val="57BF095C"/>
    <w:rsid w:val="57C445A2"/>
    <w:rsid w:val="57E96A16"/>
    <w:rsid w:val="580E0A7C"/>
    <w:rsid w:val="583F351D"/>
    <w:rsid w:val="588E0CA6"/>
    <w:rsid w:val="58935F42"/>
    <w:rsid w:val="58B56C1C"/>
    <w:rsid w:val="58B86FF1"/>
    <w:rsid w:val="58C93C8F"/>
    <w:rsid w:val="58D26AB1"/>
    <w:rsid w:val="58D832AA"/>
    <w:rsid w:val="59100B08"/>
    <w:rsid w:val="5933785B"/>
    <w:rsid w:val="594C1AA0"/>
    <w:rsid w:val="596655D3"/>
    <w:rsid w:val="59682F71"/>
    <w:rsid w:val="59D625D1"/>
    <w:rsid w:val="59F105E2"/>
    <w:rsid w:val="59F20A8D"/>
    <w:rsid w:val="5A0B6FC8"/>
    <w:rsid w:val="5A1D5B0A"/>
    <w:rsid w:val="5A25131C"/>
    <w:rsid w:val="5A443D90"/>
    <w:rsid w:val="5A64198B"/>
    <w:rsid w:val="5A877BF1"/>
    <w:rsid w:val="5A971D60"/>
    <w:rsid w:val="5AA4622B"/>
    <w:rsid w:val="5ADF3408"/>
    <w:rsid w:val="5AE26D53"/>
    <w:rsid w:val="5AEA6650"/>
    <w:rsid w:val="5AF2343A"/>
    <w:rsid w:val="5B250086"/>
    <w:rsid w:val="5B5437AD"/>
    <w:rsid w:val="5B566908"/>
    <w:rsid w:val="5B952B1F"/>
    <w:rsid w:val="5B953F72"/>
    <w:rsid w:val="5BF641D2"/>
    <w:rsid w:val="5BF94355"/>
    <w:rsid w:val="5C164F06"/>
    <w:rsid w:val="5C1B42CB"/>
    <w:rsid w:val="5C2B67F4"/>
    <w:rsid w:val="5C3564CD"/>
    <w:rsid w:val="5C49294B"/>
    <w:rsid w:val="5C4C6EB3"/>
    <w:rsid w:val="5C983B6D"/>
    <w:rsid w:val="5CC6462E"/>
    <w:rsid w:val="5CEF7511"/>
    <w:rsid w:val="5D177D11"/>
    <w:rsid w:val="5D496142"/>
    <w:rsid w:val="5D564D71"/>
    <w:rsid w:val="5D5D1495"/>
    <w:rsid w:val="5D787A50"/>
    <w:rsid w:val="5DD62B9F"/>
    <w:rsid w:val="5E006C64"/>
    <w:rsid w:val="5E084D23"/>
    <w:rsid w:val="5E680D09"/>
    <w:rsid w:val="5E7F3237"/>
    <w:rsid w:val="5E914F0D"/>
    <w:rsid w:val="5ED7722F"/>
    <w:rsid w:val="5F0722E5"/>
    <w:rsid w:val="5F091008"/>
    <w:rsid w:val="5F2308DF"/>
    <w:rsid w:val="5F2D2C93"/>
    <w:rsid w:val="5F66784A"/>
    <w:rsid w:val="5F822615"/>
    <w:rsid w:val="5FC72C76"/>
    <w:rsid w:val="5FE147C9"/>
    <w:rsid w:val="5FEB5D7F"/>
    <w:rsid w:val="601B4E43"/>
    <w:rsid w:val="60434034"/>
    <w:rsid w:val="60DF0C6E"/>
    <w:rsid w:val="60F63558"/>
    <w:rsid w:val="610D5B0B"/>
    <w:rsid w:val="6110461A"/>
    <w:rsid w:val="61112F82"/>
    <w:rsid w:val="6146003C"/>
    <w:rsid w:val="615E35D8"/>
    <w:rsid w:val="617D45FB"/>
    <w:rsid w:val="619C3928"/>
    <w:rsid w:val="61AB60F1"/>
    <w:rsid w:val="61B800FD"/>
    <w:rsid w:val="61B8587A"/>
    <w:rsid w:val="61D373F6"/>
    <w:rsid w:val="61F9789D"/>
    <w:rsid w:val="62055C39"/>
    <w:rsid w:val="620E0CAF"/>
    <w:rsid w:val="62142292"/>
    <w:rsid w:val="621827F0"/>
    <w:rsid w:val="628C7CD0"/>
    <w:rsid w:val="62917095"/>
    <w:rsid w:val="62BE3C02"/>
    <w:rsid w:val="62BF00A6"/>
    <w:rsid w:val="62C50336"/>
    <w:rsid w:val="63040A35"/>
    <w:rsid w:val="630737FB"/>
    <w:rsid w:val="631548AB"/>
    <w:rsid w:val="63424833"/>
    <w:rsid w:val="63487F27"/>
    <w:rsid w:val="634E311E"/>
    <w:rsid w:val="63536A40"/>
    <w:rsid w:val="63586B25"/>
    <w:rsid w:val="63715118"/>
    <w:rsid w:val="6388486B"/>
    <w:rsid w:val="639E415F"/>
    <w:rsid w:val="63AC3014"/>
    <w:rsid w:val="63CB3AB3"/>
    <w:rsid w:val="63CE60C7"/>
    <w:rsid w:val="63DA7CC6"/>
    <w:rsid w:val="641A747C"/>
    <w:rsid w:val="643B74EC"/>
    <w:rsid w:val="64567A45"/>
    <w:rsid w:val="64917820"/>
    <w:rsid w:val="649B14BA"/>
    <w:rsid w:val="64BA7015"/>
    <w:rsid w:val="64ED3C52"/>
    <w:rsid w:val="64EE5074"/>
    <w:rsid w:val="64FD3107"/>
    <w:rsid w:val="651626BB"/>
    <w:rsid w:val="65862534"/>
    <w:rsid w:val="65A84023"/>
    <w:rsid w:val="65AB3C48"/>
    <w:rsid w:val="65B63AC4"/>
    <w:rsid w:val="65C87DEC"/>
    <w:rsid w:val="65CC73FA"/>
    <w:rsid w:val="65FA2A89"/>
    <w:rsid w:val="65FD149A"/>
    <w:rsid w:val="660F6217"/>
    <w:rsid w:val="661F0423"/>
    <w:rsid w:val="6646776C"/>
    <w:rsid w:val="66470679"/>
    <w:rsid w:val="66537B31"/>
    <w:rsid w:val="669D58F0"/>
    <w:rsid w:val="66EE4443"/>
    <w:rsid w:val="670C04C4"/>
    <w:rsid w:val="670C13E0"/>
    <w:rsid w:val="674E7C4A"/>
    <w:rsid w:val="676270ED"/>
    <w:rsid w:val="676E567C"/>
    <w:rsid w:val="67C67EA4"/>
    <w:rsid w:val="67C733B9"/>
    <w:rsid w:val="67D068B1"/>
    <w:rsid w:val="67E22184"/>
    <w:rsid w:val="67F0033A"/>
    <w:rsid w:val="68117FCB"/>
    <w:rsid w:val="682A5F67"/>
    <w:rsid w:val="68584DC1"/>
    <w:rsid w:val="686B26A3"/>
    <w:rsid w:val="687078C9"/>
    <w:rsid w:val="68752FB5"/>
    <w:rsid w:val="68774F7F"/>
    <w:rsid w:val="68784853"/>
    <w:rsid w:val="68842A29"/>
    <w:rsid w:val="689070BF"/>
    <w:rsid w:val="68E51EE8"/>
    <w:rsid w:val="68EB0DA5"/>
    <w:rsid w:val="68ED1356"/>
    <w:rsid w:val="68EE3E35"/>
    <w:rsid w:val="69163295"/>
    <w:rsid w:val="691C16D3"/>
    <w:rsid w:val="69253156"/>
    <w:rsid w:val="69261398"/>
    <w:rsid w:val="6955263E"/>
    <w:rsid w:val="69AF0748"/>
    <w:rsid w:val="69B55DF5"/>
    <w:rsid w:val="69D65924"/>
    <w:rsid w:val="69E04EC4"/>
    <w:rsid w:val="69F036EE"/>
    <w:rsid w:val="6A0665BA"/>
    <w:rsid w:val="6A0F3ECD"/>
    <w:rsid w:val="6A0F54E2"/>
    <w:rsid w:val="6A5B0D94"/>
    <w:rsid w:val="6A5C1CE7"/>
    <w:rsid w:val="6A6B28C1"/>
    <w:rsid w:val="6A6F2618"/>
    <w:rsid w:val="6A83303F"/>
    <w:rsid w:val="6A8D2838"/>
    <w:rsid w:val="6A902AEC"/>
    <w:rsid w:val="6A9511AE"/>
    <w:rsid w:val="6A9A31A7"/>
    <w:rsid w:val="6AA6576E"/>
    <w:rsid w:val="6ADA11B8"/>
    <w:rsid w:val="6AF4494F"/>
    <w:rsid w:val="6AF97ECD"/>
    <w:rsid w:val="6B083507"/>
    <w:rsid w:val="6B214E67"/>
    <w:rsid w:val="6B4814CB"/>
    <w:rsid w:val="6B53713B"/>
    <w:rsid w:val="6B767770"/>
    <w:rsid w:val="6B7E03D2"/>
    <w:rsid w:val="6B981494"/>
    <w:rsid w:val="6BA24C13"/>
    <w:rsid w:val="6BF74FA7"/>
    <w:rsid w:val="6C0D7039"/>
    <w:rsid w:val="6C1C5957"/>
    <w:rsid w:val="6C223877"/>
    <w:rsid w:val="6C343601"/>
    <w:rsid w:val="6C355EB2"/>
    <w:rsid w:val="6C4A6D97"/>
    <w:rsid w:val="6C5536D5"/>
    <w:rsid w:val="6C555E5A"/>
    <w:rsid w:val="6C7A6DEC"/>
    <w:rsid w:val="6C7D04E5"/>
    <w:rsid w:val="6C9205D9"/>
    <w:rsid w:val="6CBA18DE"/>
    <w:rsid w:val="6CC00615"/>
    <w:rsid w:val="6D0604F6"/>
    <w:rsid w:val="6D0A5474"/>
    <w:rsid w:val="6D1B4CA7"/>
    <w:rsid w:val="6D2A7170"/>
    <w:rsid w:val="6D43213A"/>
    <w:rsid w:val="6D6D2AAB"/>
    <w:rsid w:val="6D861215"/>
    <w:rsid w:val="6D937EFC"/>
    <w:rsid w:val="6DA87988"/>
    <w:rsid w:val="6DE94045"/>
    <w:rsid w:val="6DF64A6D"/>
    <w:rsid w:val="6DFC40F6"/>
    <w:rsid w:val="6E0E751D"/>
    <w:rsid w:val="6E3B3A3A"/>
    <w:rsid w:val="6E5D0773"/>
    <w:rsid w:val="6E91666F"/>
    <w:rsid w:val="6E9C48AC"/>
    <w:rsid w:val="6ECC4C3D"/>
    <w:rsid w:val="6EEF066F"/>
    <w:rsid w:val="6EF966EE"/>
    <w:rsid w:val="6F07001F"/>
    <w:rsid w:val="6F0A4700"/>
    <w:rsid w:val="6F0B2D0B"/>
    <w:rsid w:val="6F264071"/>
    <w:rsid w:val="6F2D6AA6"/>
    <w:rsid w:val="6F6E44D6"/>
    <w:rsid w:val="6F9B3AFB"/>
    <w:rsid w:val="6FBD2015"/>
    <w:rsid w:val="6FBD596D"/>
    <w:rsid w:val="6FC02F9C"/>
    <w:rsid w:val="6FF04DD3"/>
    <w:rsid w:val="6FFB46E7"/>
    <w:rsid w:val="70086FB6"/>
    <w:rsid w:val="700C1353"/>
    <w:rsid w:val="70131A31"/>
    <w:rsid w:val="70214F84"/>
    <w:rsid w:val="703409EC"/>
    <w:rsid w:val="70394CA3"/>
    <w:rsid w:val="704B7B38"/>
    <w:rsid w:val="7060454A"/>
    <w:rsid w:val="70924099"/>
    <w:rsid w:val="70D32524"/>
    <w:rsid w:val="70DF7B65"/>
    <w:rsid w:val="70E95052"/>
    <w:rsid w:val="70FF6F4E"/>
    <w:rsid w:val="71033854"/>
    <w:rsid w:val="71212FA7"/>
    <w:rsid w:val="712B6774"/>
    <w:rsid w:val="7137174F"/>
    <w:rsid w:val="71833060"/>
    <w:rsid w:val="71AD59C8"/>
    <w:rsid w:val="71B61D72"/>
    <w:rsid w:val="71B973FB"/>
    <w:rsid w:val="71D40497"/>
    <w:rsid w:val="71F327EC"/>
    <w:rsid w:val="72075A80"/>
    <w:rsid w:val="721E7526"/>
    <w:rsid w:val="72285F71"/>
    <w:rsid w:val="727B566C"/>
    <w:rsid w:val="728120A3"/>
    <w:rsid w:val="72B500C5"/>
    <w:rsid w:val="72BE7747"/>
    <w:rsid w:val="72E81551"/>
    <w:rsid w:val="72F4733C"/>
    <w:rsid w:val="72F57155"/>
    <w:rsid w:val="73013417"/>
    <w:rsid w:val="73263B80"/>
    <w:rsid w:val="73484A46"/>
    <w:rsid w:val="734A5346"/>
    <w:rsid w:val="735F2305"/>
    <w:rsid w:val="73610D05"/>
    <w:rsid w:val="737B0589"/>
    <w:rsid w:val="73CD470A"/>
    <w:rsid w:val="73E464BB"/>
    <w:rsid w:val="741E09A4"/>
    <w:rsid w:val="74357FD2"/>
    <w:rsid w:val="74496611"/>
    <w:rsid w:val="746A3BEA"/>
    <w:rsid w:val="748D1F8F"/>
    <w:rsid w:val="74C20C85"/>
    <w:rsid w:val="74C23A26"/>
    <w:rsid w:val="74C81A80"/>
    <w:rsid w:val="74DC2A68"/>
    <w:rsid w:val="7505614F"/>
    <w:rsid w:val="750B6C7D"/>
    <w:rsid w:val="750E5869"/>
    <w:rsid w:val="752E2E69"/>
    <w:rsid w:val="755A3C5E"/>
    <w:rsid w:val="756578D8"/>
    <w:rsid w:val="756C682A"/>
    <w:rsid w:val="757D38F4"/>
    <w:rsid w:val="757F2EB5"/>
    <w:rsid w:val="7585780C"/>
    <w:rsid w:val="75A06F7D"/>
    <w:rsid w:val="75A91106"/>
    <w:rsid w:val="75C20065"/>
    <w:rsid w:val="75D467BB"/>
    <w:rsid w:val="760140DA"/>
    <w:rsid w:val="76186B24"/>
    <w:rsid w:val="76493EDF"/>
    <w:rsid w:val="76607F98"/>
    <w:rsid w:val="76692BBB"/>
    <w:rsid w:val="76760624"/>
    <w:rsid w:val="7682521B"/>
    <w:rsid w:val="769413F2"/>
    <w:rsid w:val="76A12D0A"/>
    <w:rsid w:val="76D160A3"/>
    <w:rsid w:val="76E87C8D"/>
    <w:rsid w:val="76FC09F6"/>
    <w:rsid w:val="7731279D"/>
    <w:rsid w:val="777411B5"/>
    <w:rsid w:val="7777447D"/>
    <w:rsid w:val="779C40BA"/>
    <w:rsid w:val="77DC4DFE"/>
    <w:rsid w:val="77E32D20"/>
    <w:rsid w:val="77E55C4A"/>
    <w:rsid w:val="77E80343"/>
    <w:rsid w:val="781E731D"/>
    <w:rsid w:val="785415CF"/>
    <w:rsid w:val="785504F5"/>
    <w:rsid w:val="78630B1C"/>
    <w:rsid w:val="787671C7"/>
    <w:rsid w:val="78A3591C"/>
    <w:rsid w:val="78BE5D96"/>
    <w:rsid w:val="78C1745D"/>
    <w:rsid w:val="78F22BC3"/>
    <w:rsid w:val="78F9378E"/>
    <w:rsid w:val="790939D1"/>
    <w:rsid w:val="792151BF"/>
    <w:rsid w:val="792D4B3F"/>
    <w:rsid w:val="79570BE0"/>
    <w:rsid w:val="795A7701"/>
    <w:rsid w:val="795D5ACB"/>
    <w:rsid w:val="79952B92"/>
    <w:rsid w:val="79DC7338"/>
    <w:rsid w:val="7A112CAF"/>
    <w:rsid w:val="7A236D15"/>
    <w:rsid w:val="7A291E51"/>
    <w:rsid w:val="7A4B0BFF"/>
    <w:rsid w:val="7A601455"/>
    <w:rsid w:val="7AC01CAF"/>
    <w:rsid w:val="7B034450"/>
    <w:rsid w:val="7B225BB2"/>
    <w:rsid w:val="7B3B4776"/>
    <w:rsid w:val="7B4272F2"/>
    <w:rsid w:val="7B6442D6"/>
    <w:rsid w:val="7B7A6E08"/>
    <w:rsid w:val="7B844042"/>
    <w:rsid w:val="7BAB4A6E"/>
    <w:rsid w:val="7BAE5340"/>
    <w:rsid w:val="7BB710CB"/>
    <w:rsid w:val="7BCF12A7"/>
    <w:rsid w:val="7BD61829"/>
    <w:rsid w:val="7BD630C3"/>
    <w:rsid w:val="7BDC361F"/>
    <w:rsid w:val="7BE61DEE"/>
    <w:rsid w:val="7BE81FC4"/>
    <w:rsid w:val="7BF92FC7"/>
    <w:rsid w:val="7C2E19A1"/>
    <w:rsid w:val="7C311A02"/>
    <w:rsid w:val="7C43369E"/>
    <w:rsid w:val="7C501917"/>
    <w:rsid w:val="7C815F74"/>
    <w:rsid w:val="7CA1122B"/>
    <w:rsid w:val="7CA50B9B"/>
    <w:rsid w:val="7CAD726E"/>
    <w:rsid w:val="7CC11DEF"/>
    <w:rsid w:val="7CC5294B"/>
    <w:rsid w:val="7CE07187"/>
    <w:rsid w:val="7CE11A4C"/>
    <w:rsid w:val="7D1E08ED"/>
    <w:rsid w:val="7D4669BE"/>
    <w:rsid w:val="7D6543AE"/>
    <w:rsid w:val="7D7C1ECC"/>
    <w:rsid w:val="7DBE7EAB"/>
    <w:rsid w:val="7DCE0D3D"/>
    <w:rsid w:val="7DE24E94"/>
    <w:rsid w:val="7DF7436A"/>
    <w:rsid w:val="7E1352F2"/>
    <w:rsid w:val="7E4E6327"/>
    <w:rsid w:val="7E6A3164"/>
    <w:rsid w:val="7E922555"/>
    <w:rsid w:val="7E9A1BA7"/>
    <w:rsid w:val="7EA0305B"/>
    <w:rsid w:val="7ED06D3F"/>
    <w:rsid w:val="7EED37A2"/>
    <w:rsid w:val="7EFB200E"/>
    <w:rsid w:val="7F233313"/>
    <w:rsid w:val="7F2A4A88"/>
    <w:rsid w:val="7F2C298D"/>
    <w:rsid w:val="7F3E6456"/>
    <w:rsid w:val="7F647FD1"/>
    <w:rsid w:val="7F695E91"/>
    <w:rsid w:val="7F710522"/>
    <w:rsid w:val="7F765B38"/>
    <w:rsid w:val="7F7E49ED"/>
    <w:rsid w:val="7F862F00"/>
    <w:rsid w:val="7FE86D34"/>
    <w:rsid w:val="7FE97BDC"/>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353" w:right="2356"/>
      <w:jc w:val="center"/>
      <w:outlineLvl w:val="0"/>
    </w:pPr>
    <w:rPr>
      <w:rFonts w:ascii="微软雅黑" w:hAnsi="微软雅黑" w:eastAsia="微软雅黑" w:cs="微软雅黑"/>
      <w:sz w:val="38"/>
      <w:szCs w:val="38"/>
    </w:rPr>
  </w:style>
  <w:style w:type="paragraph" w:styleId="3">
    <w:name w:val="heading 2"/>
    <w:basedOn w:val="1"/>
    <w:next w:val="1"/>
    <w:qFormat/>
    <w:uiPriority w:val="1"/>
    <w:pPr>
      <w:ind w:left="635" w:right="654"/>
      <w:jc w:val="center"/>
      <w:outlineLvl w:val="1"/>
    </w:pPr>
    <w:rPr>
      <w:rFonts w:ascii="微软雅黑" w:hAnsi="微软雅黑" w:eastAsia="微软雅黑" w:cs="微软雅黑"/>
      <w:sz w:val="36"/>
      <w:szCs w:val="36"/>
    </w:rPr>
  </w:style>
  <w:style w:type="paragraph" w:styleId="4">
    <w:name w:val="heading 3"/>
    <w:basedOn w:val="1"/>
    <w:next w:val="1"/>
    <w:qFormat/>
    <w:uiPriority w:val="1"/>
    <w:pPr>
      <w:ind w:left="798"/>
      <w:outlineLvl w:val="2"/>
    </w:pPr>
    <w:rPr>
      <w:b/>
      <w:bCs/>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rPr>
      <w:rFonts w:ascii="Times New Roman" w:hAnsi="Times New Roman"/>
    </w:rPr>
  </w:style>
  <w:style w:type="paragraph" w:styleId="6">
    <w:name w:val="Normal Indent"/>
    <w:basedOn w:val="1"/>
    <w:qFormat/>
    <w:uiPriority w:val="0"/>
    <w:pPr>
      <w:ind w:firstLine="200" w:firstLineChars="200"/>
    </w:pPr>
    <w:rPr>
      <w:sz w:val="28"/>
    </w:rPr>
  </w:style>
  <w:style w:type="paragraph" w:styleId="7">
    <w:name w:val="Document Map"/>
    <w:basedOn w:val="1"/>
    <w:link w:val="52"/>
    <w:qFormat/>
    <w:uiPriority w:val="0"/>
    <w:rPr>
      <w:sz w:val="18"/>
      <w:szCs w:val="18"/>
    </w:rPr>
  </w:style>
  <w:style w:type="paragraph" w:styleId="8">
    <w:name w:val="annotation text"/>
    <w:basedOn w:val="1"/>
    <w:link w:val="54"/>
    <w:qFormat/>
    <w:uiPriority w:val="0"/>
  </w:style>
  <w:style w:type="paragraph" w:styleId="9">
    <w:name w:val="Body Text"/>
    <w:basedOn w:val="1"/>
    <w:next w:val="10"/>
    <w:link w:val="71"/>
    <w:qFormat/>
    <w:uiPriority w:val="1"/>
    <w:rPr>
      <w:rFonts w:ascii="黑体" w:hAnsi="黑体" w:eastAsia="黑体" w:cs="黑体"/>
      <w:sz w:val="30"/>
      <w:szCs w:val="30"/>
    </w:rPr>
  </w:style>
  <w:style w:type="paragraph" w:styleId="10">
    <w:name w:val="List Bullet 5"/>
    <w:basedOn w:val="1"/>
    <w:semiHidden/>
    <w:unhideWhenUsed/>
    <w:qFormat/>
    <w:uiPriority w:val="0"/>
    <w:pPr>
      <w:numPr>
        <w:ilvl w:val="0"/>
        <w:numId w:val="1"/>
      </w:numPr>
    </w:pPr>
  </w:style>
  <w:style w:type="paragraph" w:styleId="11">
    <w:name w:val="Body Text Indent"/>
    <w:basedOn w:val="1"/>
    <w:next w:val="12"/>
    <w:link w:val="57"/>
    <w:autoRedefine/>
    <w:qFormat/>
    <w:uiPriority w:val="0"/>
    <w:pPr>
      <w:spacing w:after="120"/>
      <w:ind w:left="420" w:leftChars="200"/>
    </w:pPr>
  </w:style>
  <w:style w:type="paragraph" w:styleId="12">
    <w:name w:val="Body Text Indent 2"/>
    <w:basedOn w:val="1"/>
    <w:next w:val="1"/>
    <w:unhideWhenUsed/>
    <w:qFormat/>
    <w:uiPriority w:val="99"/>
    <w:pPr>
      <w:spacing w:after="120" w:line="480" w:lineRule="auto"/>
      <w:ind w:left="420" w:leftChars="200"/>
    </w:pPr>
  </w:style>
  <w:style w:type="paragraph" w:styleId="13">
    <w:name w:val="toc 3"/>
    <w:basedOn w:val="1"/>
    <w:next w:val="1"/>
    <w:qFormat/>
    <w:uiPriority w:val="0"/>
    <w:pPr>
      <w:ind w:left="840" w:leftChars="400"/>
    </w:pPr>
  </w:style>
  <w:style w:type="paragraph" w:styleId="14">
    <w:name w:val="Plain Text"/>
    <w:basedOn w:val="1"/>
    <w:next w:val="15"/>
    <w:link w:val="56"/>
    <w:autoRedefine/>
    <w:qFormat/>
    <w:uiPriority w:val="0"/>
    <w:rPr>
      <w:rFonts w:hAnsi="Courier New" w:cs="Courier New"/>
      <w:sz w:val="21"/>
      <w:szCs w:val="21"/>
    </w:rPr>
  </w:style>
  <w:style w:type="paragraph" w:styleId="15">
    <w:name w:val="toc 1"/>
    <w:basedOn w:val="1"/>
    <w:next w:val="1"/>
    <w:autoRedefine/>
    <w:qFormat/>
    <w:uiPriority w:val="39"/>
  </w:style>
  <w:style w:type="paragraph" w:styleId="16">
    <w:name w:val="Balloon Text"/>
    <w:basedOn w:val="1"/>
    <w:link w:val="53"/>
    <w:autoRedefine/>
    <w:qFormat/>
    <w:uiPriority w:val="0"/>
    <w:rPr>
      <w:sz w:val="18"/>
      <w:szCs w:val="18"/>
    </w:rPr>
  </w:style>
  <w:style w:type="paragraph" w:styleId="17">
    <w:name w:val="footer"/>
    <w:basedOn w:val="1"/>
    <w:link w:val="63"/>
    <w:autoRedefine/>
    <w:qFormat/>
    <w:uiPriority w:val="0"/>
    <w:pPr>
      <w:tabs>
        <w:tab w:val="center" w:pos="4153"/>
        <w:tab w:val="right" w:pos="8306"/>
      </w:tabs>
      <w:snapToGrid w:val="0"/>
    </w:pPr>
    <w:rPr>
      <w:sz w:val="18"/>
    </w:rPr>
  </w:style>
  <w:style w:type="paragraph" w:styleId="18">
    <w:name w:val="header"/>
    <w:basedOn w:val="1"/>
    <w:link w:val="6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List"/>
    <w:basedOn w:val="1"/>
    <w:autoRedefine/>
    <w:qFormat/>
    <w:uiPriority w:val="0"/>
    <w:pPr>
      <w:autoSpaceDE/>
      <w:autoSpaceDN/>
      <w:ind w:left="200" w:hanging="200" w:hangingChars="200"/>
      <w:jc w:val="both"/>
    </w:pPr>
    <w:rPr>
      <w:rFonts w:ascii="Calibri" w:hAnsi="Calibri" w:cs="Times New Roman"/>
      <w:kern w:val="2"/>
      <w:sz w:val="21"/>
      <w:szCs w:val="24"/>
      <w:lang w:val="en-US" w:bidi="ar-SA"/>
    </w:rPr>
  </w:style>
  <w:style w:type="paragraph" w:styleId="20">
    <w:name w:val="toc 2"/>
    <w:basedOn w:val="1"/>
    <w:next w:val="1"/>
    <w:autoRedefine/>
    <w:qFormat/>
    <w:uiPriority w:val="0"/>
    <w:pPr>
      <w:ind w:left="420" w:leftChars="200"/>
    </w:pPr>
  </w:style>
  <w:style w:type="paragraph" w:styleId="21">
    <w:name w:val="Normal (Web)"/>
    <w:basedOn w:val="1"/>
    <w:autoRedefine/>
    <w:semiHidden/>
    <w:unhideWhenUsed/>
    <w:qFormat/>
    <w:uiPriority w:val="0"/>
    <w:pPr>
      <w:spacing w:beforeAutospacing="1" w:afterAutospacing="1"/>
    </w:pPr>
    <w:rPr>
      <w:rFonts w:cs="Times New Roman"/>
      <w:sz w:val="24"/>
      <w:lang w:val="en-US" w:bidi="ar-SA"/>
    </w:rPr>
  </w:style>
  <w:style w:type="paragraph" w:styleId="22">
    <w:name w:val="annotation subject"/>
    <w:basedOn w:val="8"/>
    <w:next w:val="8"/>
    <w:link w:val="55"/>
    <w:autoRedefine/>
    <w:qFormat/>
    <w:uiPriority w:val="0"/>
    <w:rPr>
      <w:b/>
      <w:bCs/>
    </w:rPr>
  </w:style>
  <w:style w:type="paragraph" w:styleId="23">
    <w:name w:val="Body Text First Indent"/>
    <w:basedOn w:val="9"/>
    <w:next w:val="24"/>
    <w:link w:val="72"/>
    <w:autoRedefine/>
    <w:semiHidden/>
    <w:unhideWhenUsed/>
    <w:qFormat/>
    <w:uiPriority w:val="0"/>
    <w:pPr>
      <w:spacing w:after="120"/>
      <w:ind w:firstLine="420" w:firstLineChars="100"/>
    </w:pPr>
    <w:rPr>
      <w:rFonts w:ascii="宋体" w:hAnsi="宋体" w:eastAsia="宋体" w:cs="宋体"/>
      <w:sz w:val="22"/>
      <w:szCs w:val="22"/>
    </w:rPr>
  </w:style>
  <w:style w:type="paragraph" w:customStyle="1" w:styleId="24">
    <w:name w:val="样式 正文首行缩进 + 首行缩进:  1 字符"/>
    <w:basedOn w:val="1"/>
    <w:next w:val="1"/>
    <w:autoRedefine/>
    <w:qFormat/>
    <w:uiPriority w:val="0"/>
    <w:pPr>
      <w:adjustRightInd w:val="0"/>
      <w:spacing w:line="360" w:lineRule="auto"/>
      <w:ind w:firstLine="100" w:firstLineChars="200"/>
      <w:textAlignment w:val="baseline"/>
    </w:pPr>
    <w:rPr>
      <w:sz w:val="24"/>
    </w:rPr>
  </w:style>
  <w:style w:type="paragraph" w:styleId="25">
    <w:name w:val="Body Text First Indent 2"/>
    <w:basedOn w:val="11"/>
    <w:next w:val="26"/>
    <w:link w:val="58"/>
    <w:qFormat/>
    <w:uiPriority w:val="0"/>
    <w:pPr>
      <w:ind w:firstLine="420" w:firstLineChars="200"/>
    </w:pPr>
  </w:style>
  <w:style w:type="paragraph" w:customStyle="1" w:styleId="26">
    <w:name w:val="报告正文"/>
    <w:basedOn w:val="14"/>
    <w:link w:val="61"/>
    <w:autoRedefine/>
    <w:qFormat/>
    <w:uiPriority w:val="0"/>
    <w:pPr>
      <w:spacing w:line="480" w:lineRule="exact"/>
      <w:ind w:firstLine="200" w:firstLineChars="200"/>
    </w:pPr>
    <w:rPr>
      <w:color w:val="000000"/>
      <w:sz w:val="24"/>
      <w:szCs w:val="24"/>
    </w:r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0">
    <w:name w:val="Strong"/>
    <w:basedOn w:val="29"/>
    <w:qFormat/>
    <w:uiPriority w:val="0"/>
    <w:rPr>
      <w:b/>
    </w:rPr>
  </w:style>
  <w:style w:type="character" w:styleId="31">
    <w:name w:val="FollowedHyperlink"/>
    <w:basedOn w:val="29"/>
    <w:autoRedefine/>
    <w:semiHidden/>
    <w:unhideWhenUsed/>
    <w:qFormat/>
    <w:uiPriority w:val="0"/>
    <w:rPr>
      <w:color w:val="954F72"/>
      <w:u w:val="single"/>
    </w:rPr>
  </w:style>
  <w:style w:type="character" w:styleId="32">
    <w:name w:val="Emphasis"/>
    <w:basedOn w:val="29"/>
    <w:qFormat/>
    <w:uiPriority w:val="0"/>
    <w:rPr>
      <w:i/>
    </w:rPr>
  </w:style>
  <w:style w:type="character" w:styleId="33">
    <w:name w:val="Hyperlink"/>
    <w:basedOn w:val="29"/>
    <w:autoRedefine/>
    <w:unhideWhenUsed/>
    <w:qFormat/>
    <w:uiPriority w:val="99"/>
    <w:rPr>
      <w:color w:val="0000FF" w:themeColor="hyperlink"/>
      <w:u w:val="single"/>
    </w:rPr>
  </w:style>
  <w:style w:type="character" w:styleId="34">
    <w:name w:val="annotation reference"/>
    <w:basedOn w:val="29"/>
    <w:autoRedefine/>
    <w:qFormat/>
    <w:uiPriority w:val="0"/>
    <w:rPr>
      <w:sz w:val="21"/>
      <w:szCs w:val="21"/>
    </w:rPr>
  </w:style>
  <w:style w:type="paragraph" w:customStyle="1" w:styleId="35">
    <w:name w:val="xl27"/>
    <w:basedOn w:val="1"/>
    <w:qFormat/>
    <w:uiPriority w:val="0"/>
    <w:pPr>
      <w:pBdr>
        <w:left w:val="single" w:color="auto" w:sz="4" w:space="0"/>
        <w:bottom w:val="single" w:color="auto" w:sz="4" w:space="0"/>
        <w:right w:val="single" w:color="auto" w:sz="8" w:space="0"/>
      </w:pBdr>
      <w:shd w:val="clear" w:color="auto" w:fill="FFFFFF"/>
      <w:spacing w:before="100" w:beforeAutospacing="1" w:after="100" w:afterAutospacing="1"/>
      <w:jc w:val="center"/>
    </w:pPr>
    <w:rPr>
      <w:szCs w:val="24"/>
    </w:rPr>
  </w:style>
  <w:style w:type="paragraph" w:customStyle="1" w:styleId="36">
    <w:name w:val="Default1"/>
    <w:qFormat/>
    <w:uiPriority w:val="0"/>
    <w:pPr>
      <w:widowControl w:val="0"/>
      <w:autoSpaceDE w:val="0"/>
      <w:autoSpaceDN w:val="0"/>
      <w:adjustRightInd w:val="0"/>
      <w:spacing w:line="360" w:lineRule="auto"/>
      <w:jc w:val="both"/>
    </w:pPr>
    <w:rPr>
      <w:rFonts w:ascii="宋体" w:hAnsi="Calibri" w:eastAsia="宋体" w:cs="宋体"/>
      <w:color w:val="000000"/>
      <w:sz w:val="24"/>
      <w:szCs w:val="24"/>
      <w:lang w:val="en-US" w:eastAsia="zh-CN" w:bidi="ar-SA"/>
    </w:rPr>
  </w:style>
  <w:style w:type="paragraph" w:customStyle="1" w:styleId="37">
    <w:name w:val="样式 正文文本缩进 + 行距: 1.5 倍行距"/>
    <w:basedOn w:val="11"/>
    <w:qFormat/>
    <w:uiPriority w:val="0"/>
    <w:pPr>
      <w:spacing w:line="360" w:lineRule="auto"/>
      <w:ind w:left="90" w:leftChars="32" w:firstLine="560" w:firstLineChars="200"/>
    </w:pPr>
    <w:rPr>
      <w:sz w:val="24"/>
    </w:rPr>
  </w:style>
  <w:style w:type="table" w:customStyle="1" w:styleId="38">
    <w:name w:val="Table Normal"/>
    <w:autoRedefine/>
    <w:semiHidden/>
    <w:unhideWhenUsed/>
    <w:qFormat/>
    <w:uiPriority w:val="2"/>
    <w:tblPr>
      <w:tblCellMar>
        <w:top w:w="0" w:type="dxa"/>
        <w:left w:w="0" w:type="dxa"/>
        <w:bottom w:w="0" w:type="dxa"/>
        <w:right w:w="0" w:type="dxa"/>
      </w:tblCellMar>
    </w:tblPr>
  </w:style>
  <w:style w:type="paragraph" w:styleId="39">
    <w:name w:val="List Paragraph"/>
    <w:basedOn w:val="1"/>
    <w:autoRedefine/>
    <w:qFormat/>
    <w:uiPriority w:val="1"/>
  </w:style>
  <w:style w:type="paragraph" w:customStyle="1" w:styleId="40">
    <w:name w:val="Table Paragraph"/>
    <w:basedOn w:val="1"/>
    <w:autoRedefine/>
    <w:qFormat/>
    <w:uiPriority w:val="1"/>
  </w:style>
  <w:style w:type="paragraph" w:customStyle="1" w:styleId="41">
    <w:name w:val="Default"/>
    <w:basedOn w:val="42"/>
    <w:autoRedefine/>
    <w:qFormat/>
    <w:uiPriority w:val="0"/>
    <w:pPr>
      <w:adjustRightInd w:val="0"/>
      <w:spacing w:line="360" w:lineRule="auto"/>
      <w:ind w:firstLine="480" w:firstLineChars="200"/>
      <w:jc w:val="both"/>
    </w:pPr>
    <w:rPr>
      <w:rFonts w:ascii="Times New Roman" w:hAnsi="Times New Roman"/>
      <w:color w:val="FF0000"/>
      <w:sz w:val="24"/>
      <w:szCs w:val="24"/>
      <w:lang w:val="en-US" w:bidi="ar-SA"/>
    </w:rPr>
  </w:style>
  <w:style w:type="paragraph" w:customStyle="1" w:styleId="42">
    <w:name w:val="纯文本1"/>
    <w:basedOn w:val="1"/>
    <w:qFormat/>
    <w:uiPriority w:val="0"/>
    <w:pPr>
      <w:textAlignment w:val="baseline"/>
    </w:pPr>
    <w:rPr>
      <w:rFonts w:hAnsi="Courier New" w:cs="Times New Roman"/>
    </w:rPr>
  </w:style>
  <w:style w:type="paragraph" w:customStyle="1" w:styleId="43">
    <w:name w:val="正文001"/>
    <w:basedOn w:val="1"/>
    <w:autoRedefine/>
    <w:qFormat/>
    <w:uiPriority w:val="0"/>
    <w:pPr>
      <w:spacing w:line="420" w:lineRule="exact"/>
      <w:ind w:firstLine="482"/>
    </w:pPr>
    <w:rPr>
      <w:sz w:val="24"/>
      <w:szCs w:val="20"/>
    </w:rPr>
  </w:style>
  <w:style w:type="paragraph" w:customStyle="1" w:styleId="44">
    <w:name w:val="表格标题1.10"/>
    <w:basedOn w:val="1"/>
    <w:autoRedefine/>
    <w:qFormat/>
    <w:uiPriority w:val="0"/>
    <w:pPr>
      <w:jc w:val="center"/>
    </w:pPr>
    <w:rPr>
      <w:b/>
      <w:bCs/>
      <w:sz w:val="24"/>
      <w:szCs w:val="21"/>
    </w:rPr>
  </w:style>
  <w:style w:type="character" w:customStyle="1" w:styleId="45">
    <w:name w:val="15"/>
    <w:qFormat/>
    <w:uiPriority w:val="0"/>
    <w:rPr>
      <w:rFonts w:hint="default" w:ascii="Times New Roman" w:hAnsi="Times New Roman" w:cs="Times New Roman"/>
      <w:color w:val="666666"/>
    </w:rPr>
  </w:style>
  <w:style w:type="paragraph" w:customStyle="1" w:styleId="46">
    <w:name w:val="WPSOffice手动目录 1"/>
    <w:autoRedefine/>
    <w:qFormat/>
    <w:uiPriority w:val="0"/>
    <w:rPr>
      <w:rFonts w:asciiTheme="minorHAnsi" w:hAnsiTheme="minorHAnsi" w:eastAsiaTheme="minorHAnsi" w:cstheme="minorBidi"/>
      <w:lang w:val="en-US" w:eastAsia="zh-CN" w:bidi="ar-SA"/>
    </w:rPr>
  </w:style>
  <w:style w:type="character" w:customStyle="1" w:styleId="47">
    <w:name w:val="apple-converted-space"/>
    <w:basedOn w:val="29"/>
    <w:autoRedefine/>
    <w:qFormat/>
    <w:uiPriority w:val="0"/>
  </w:style>
  <w:style w:type="paragraph" w:customStyle="1" w:styleId="48">
    <w:name w:val="WPSOffice手动目录 2"/>
    <w:autoRedefine/>
    <w:qFormat/>
    <w:uiPriority w:val="0"/>
    <w:pPr>
      <w:ind w:left="200" w:leftChars="200"/>
    </w:pPr>
    <w:rPr>
      <w:rFonts w:asciiTheme="minorHAnsi" w:hAnsiTheme="minorHAnsi" w:eastAsiaTheme="minorHAnsi"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HAnsi" w:cstheme="minorBidi"/>
      <w:lang w:val="en-US" w:eastAsia="zh-CN" w:bidi="ar-SA"/>
    </w:rPr>
  </w:style>
  <w:style w:type="paragraph" w:customStyle="1" w:styleId="50">
    <w:name w:val="固定表格"/>
    <w:basedOn w:val="1"/>
    <w:qFormat/>
    <w:uiPriority w:val="0"/>
    <w:pPr>
      <w:spacing w:line="360" w:lineRule="auto"/>
      <w:jc w:val="center"/>
    </w:pPr>
    <w:rPr>
      <w:sz w:val="24"/>
    </w:rPr>
  </w:style>
  <w:style w:type="paragraph" w:customStyle="1" w:styleId="51">
    <w:name w:val="正文_31"/>
    <w:qFormat/>
    <w:uiPriority w:val="0"/>
    <w:pPr>
      <w:widowControl w:val="0"/>
      <w:jc w:val="both"/>
    </w:pPr>
    <w:rPr>
      <w:rFonts w:ascii="Calibri" w:hAnsi="Calibri" w:eastAsia="Calibri" w:cs="Times New Roman"/>
      <w:kern w:val="2"/>
      <w:sz w:val="21"/>
      <w:lang w:val="en-US" w:eastAsia="zh-CN" w:bidi="ar-SA"/>
    </w:rPr>
  </w:style>
  <w:style w:type="character" w:customStyle="1" w:styleId="52">
    <w:name w:val="文档结构图 字符"/>
    <w:basedOn w:val="29"/>
    <w:link w:val="7"/>
    <w:qFormat/>
    <w:uiPriority w:val="0"/>
    <w:rPr>
      <w:rFonts w:ascii="宋体" w:hAnsi="宋体" w:eastAsia="宋体" w:cs="宋体"/>
      <w:sz w:val="18"/>
      <w:szCs w:val="18"/>
      <w:lang w:val="zh-CN" w:bidi="zh-CN"/>
    </w:rPr>
  </w:style>
  <w:style w:type="character" w:customStyle="1" w:styleId="53">
    <w:name w:val="批注框文本 字符"/>
    <w:basedOn w:val="29"/>
    <w:link w:val="16"/>
    <w:qFormat/>
    <w:uiPriority w:val="0"/>
    <w:rPr>
      <w:rFonts w:ascii="宋体" w:hAnsi="宋体" w:eastAsia="宋体" w:cs="宋体"/>
      <w:sz w:val="18"/>
      <w:szCs w:val="18"/>
      <w:lang w:val="zh-CN" w:bidi="zh-CN"/>
    </w:rPr>
  </w:style>
  <w:style w:type="character" w:customStyle="1" w:styleId="54">
    <w:name w:val="批注文字 字符"/>
    <w:basedOn w:val="29"/>
    <w:link w:val="8"/>
    <w:qFormat/>
    <w:uiPriority w:val="0"/>
    <w:rPr>
      <w:rFonts w:ascii="宋体" w:hAnsi="宋体" w:eastAsia="宋体" w:cs="宋体"/>
      <w:sz w:val="22"/>
      <w:szCs w:val="22"/>
      <w:lang w:val="zh-CN" w:bidi="zh-CN"/>
    </w:rPr>
  </w:style>
  <w:style w:type="character" w:customStyle="1" w:styleId="55">
    <w:name w:val="批注主题 字符"/>
    <w:basedOn w:val="54"/>
    <w:link w:val="22"/>
    <w:qFormat/>
    <w:uiPriority w:val="0"/>
    <w:rPr>
      <w:rFonts w:ascii="宋体" w:hAnsi="宋体" w:eastAsia="宋体" w:cs="宋体"/>
      <w:sz w:val="22"/>
      <w:szCs w:val="22"/>
      <w:lang w:val="zh-CN" w:bidi="zh-CN"/>
    </w:rPr>
  </w:style>
  <w:style w:type="character" w:customStyle="1" w:styleId="56">
    <w:name w:val="纯文本 字符"/>
    <w:basedOn w:val="29"/>
    <w:link w:val="14"/>
    <w:qFormat/>
    <w:uiPriority w:val="0"/>
    <w:rPr>
      <w:rFonts w:ascii="宋体" w:hAnsi="Courier New" w:eastAsia="宋体" w:cs="Courier New"/>
      <w:sz w:val="21"/>
      <w:szCs w:val="21"/>
      <w:lang w:val="zh-CN" w:bidi="zh-CN"/>
    </w:rPr>
  </w:style>
  <w:style w:type="character" w:customStyle="1" w:styleId="57">
    <w:name w:val="正文文本缩进 字符"/>
    <w:basedOn w:val="29"/>
    <w:link w:val="11"/>
    <w:qFormat/>
    <w:uiPriority w:val="0"/>
    <w:rPr>
      <w:rFonts w:ascii="宋体" w:hAnsi="宋体" w:eastAsia="宋体" w:cs="宋体"/>
      <w:sz w:val="22"/>
      <w:szCs w:val="22"/>
      <w:lang w:val="zh-CN" w:bidi="zh-CN"/>
    </w:rPr>
  </w:style>
  <w:style w:type="character" w:customStyle="1" w:styleId="58">
    <w:name w:val="正文文本首行缩进 2 字符"/>
    <w:basedOn w:val="57"/>
    <w:link w:val="25"/>
    <w:qFormat/>
    <w:uiPriority w:val="0"/>
    <w:rPr>
      <w:rFonts w:ascii="宋体" w:hAnsi="宋体" w:eastAsia="宋体" w:cs="宋体"/>
      <w:sz w:val="22"/>
      <w:szCs w:val="22"/>
      <w:lang w:val="zh-CN" w:bidi="zh-CN"/>
    </w:rPr>
  </w:style>
  <w:style w:type="paragraph" w:customStyle="1" w:styleId="59">
    <w:name w:val="TOC 标题1"/>
    <w:basedOn w:val="2"/>
    <w:next w:val="1"/>
    <w:semiHidden/>
    <w:unhideWhenUsed/>
    <w:qFormat/>
    <w:uiPriority w:val="39"/>
    <w:pPr>
      <w:keepNext/>
      <w:keepLines/>
      <w:widowControl/>
      <w:autoSpaceDE/>
      <w:autoSpaceDN/>
      <w:spacing w:before="480" w:line="276" w:lineRule="auto"/>
      <w:ind w:left="0" w:right="0"/>
      <w:jc w:val="left"/>
      <w:outlineLvl w:val="9"/>
    </w:pPr>
    <w:rPr>
      <w:rFonts w:asciiTheme="majorHAnsi" w:hAnsiTheme="majorHAnsi" w:eastAsiaTheme="majorEastAsia" w:cstheme="majorBidi"/>
      <w:b/>
      <w:bCs/>
      <w:color w:val="366091" w:themeColor="accent1" w:themeShade="BF"/>
      <w:sz w:val="28"/>
      <w:szCs w:val="28"/>
      <w:lang w:val="en-US" w:bidi="ar-SA"/>
    </w:rPr>
  </w:style>
  <w:style w:type="paragraph" w:customStyle="1" w:styleId="60">
    <w:name w:val="表格内容"/>
    <w:basedOn w:val="1"/>
    <w:qFormat/>
    <w:uiPriority w:val="0"/>
    <w:pPr>
      <w:autoSpaceDE/>
      <w:autoSpaceDN/>
      <w:spacing w:beforeLines="25" w:afterLines="25"/>
      <w:jc w:val="center"/>
    </w:pPr>
    <w:rPr>
      <w:rFonts w:ascii="Calibri" w:hAnsi="Calibri" w:cs="Times New Roman"/>
      <w:kern w:val="2"/>
      <w:sz w:val="21"/>
      <w:szCs w:val="21"/>
      <w:u w:val="single"/>
      <w:lang w:val="en-US" w:bidi="ar-SA"/>
    </w:rPr>
  </w:style>
  <w:style w:type="character" w:customStyle="1" w:styleId="61">
    <w:name w:val="报告正文 Char"/>
    <w:basedOn w:val="29"/>
    <w:link w:val="26"/>
    <w:qFormat/>
    <w:uiPriority w:val="0"/>
    <w:rPr>
      <w:rFonts w:ascii="宋体" w:hAnsi="宋体" w:eastAsia="宋体" w:cs="宋体"/>
      <w:color w:val="000000"/>
      <w:sz w:val="24"/>
      <w:szCs w:val="24"/>
      <w:lang w:val="zh-CN" w:bidi="zh-CN"/>
    </w:rPr>
  </w:style>
  <w:style w:type="character" w:customStyle="1" w:styleId="62">
    <w:name w:val="未处理的提及1"/>
    <w:basedOn w:val="29"/>
    <w:semiHidden/>
    <w:unhideWhenUsed/>
    <w:qFormat/>
    <w:uiPriority w:val="99"/>
    <w:rPr>
      <w:color w:val="605E5C"/>
      <w:shd w:val="clear" w:color="auto" w:fill="E1DFDD"/>
    </w:rPr>
  </w:style>
  <w:style w:type="character" w:customStyle="1" w:styleId="63">
    <w:name w:val="页脚 字符"/>
    <w:basedOn w:val="29"/>
    <w:link w:val="17"/>
    <w:qFormat/>
    <w:uiPriority w:val="0"/>
    <w:rPr>
      <w:rFonts w:hint="default" w:ascii="Arial Unicode MS" w:hAnsi="Arial Unicode MS" w:eastAsia="Arial Unicode MS" w:cs="Arial Unicode MS"/>
    </w:rPr>
  </w:style>
  <w:style w:type="character" w:customStyle="1" w:styleId="64">
    <w:name w:val="页眉 字符"/>
    <w:basedOn w:val="29"/>
    <w:link w:val="18"/>
    <w:qFormat/>
    <w:uiPriority w:val="0"/>
    <w:rPr>
      <w:rFonts w:hint="default" w:ascii="Arial Unicode MS" w:hAnsi="Arial Unicode MS" w:eastAsia="Arial Unicode MS" w:cs="Arial Unicode MS"/>
    </w:rPr>
  </w:style>
  <w:style w:type="character" w:customStyle="1" w:styleId="65">
    <w:name w:val="font01"/>
    <w:basedOn w:val="29"/>
    <w:qFormat/>
    <w:uiPriority w:val="0"/>
    <w:rPr>
      <w:rFonts w:hint="default" w:ascii="Times New Roman" w:hAnsi="Times New Roman" w:cs="Times New Roman"/>
      <w:color w:val="000000"/>
      <w:sz w:val="22"/>
      <w:szCs w:val="22"/>
      <w:u w:val="none"/>
      <w:vertAlign w:val="subscript"/>
    </w:rPr>
  </w:style>
  <w:style w:type="character" w:customStyle="1" w:styleId="66">
    <w:name w:val="font21"/>
    <w:basedOn w:val="29"/>
    <w:qFormat/>
    <w:uiPriority w:val="0"/>
    <w:rPr>
      <w:rFonts w:hint="default" w:ascii="Times New Roman" w:hAnsi="Times New Roman" w:cs="Times New Roman"/>
      <w:color w:val="000000"/>
      <w:sz w:val="22"/>
      <w:szCs w:val="22"/>
      <w:u w:val="none"/>
    </w:rPr>
  </w:style>
  <w:style w:type="character" w:customStyle="1" w:styleId="67">
    <w:name w:val="font41"/>
    <w:basedOn w:val="29"/>
    <w:qFormat/>
    <w:uiPriority w:val="0"/>
    <w:rPr>
      <w:rFonts w:hint="default" w:ascii="Times New Roman" w:hAnsi="Times New Roman" w:cs="Times New Roman"/>
      <w:color w:val="000000"/>
      <w:sz w:val="22"/>
      <w:szCs w:val="22"/>
      <w:u w:val="none"/>
      <w:vertAlign w:val="superscript"/>
    </w:rPr>
  </w:style>
  <w:style w:type="character" w:customStyle="1" w:styleId="68">
    <w:name w:val="font11"/>
    <w:basedOn w:val="29"/>
    <w:qFormat/>
    <w:uiPriority w:val="0"/>
    <w:rPr>
      <w:rFonts w:hint="eastAsia" w:ascii="宋体" w:hAnsi="宋体" w:eastAsia="宋体" w:cs="宋体"/>
      <w:color w:val="000000"/>
      <w:sz w:val="22"/>
      <w:szCs w:val="22"/>
      <w:u w:val="none"/>
    </w:rPr>
  </w:style>
  <w:style w:type="character" w:customStyle="1" w:styleId="69">
    <w:name w:val="font61"/>
    <w:basedOn w:val="29"/>
    <w:qFormat/>
    <w:uiPriority w:val="0"/>
    <w:rPr>
      <w:rFonts w:hint="default" w:ascii="Times New Roman" w:hAnsi="Times New Roman" w:cs="Times New Roman"/>
      <w:color w:val="000000"/>
      <w:sz w:val="21"/>
      <w:szCs w:val="21"/>
      <w:u w:val="none"/>
    </w:rPr>
  </w:style>
  <w:style w:type="character" w:customStyle="1" w:styleId="70">
    <w:name w:val="font51"/>
    <w:basedOn w:val="29"/>
    <w:qFormat/>
    <w:uiPriority w:val="0"/>
    <w:rPr>
      <w:rFonts w:hint="eastAsia" w:ascii="宋体" w:hAnsi="宋体" w:eastAsia="宋体" w:cs="宋体"/>
      <w:color w:val="000000"/>
      <w:sz w:val="21"/>
      <w:szCs w:val="21"/>
      <w:u w:val="none"/>
    </w:rPr>
  </w:style>
  <w:style w:type="character" w:customStyle="1" w:styleId="71">
    <w:name w:val="正文文本 字符"/>
    <w:basedOn w:val="29"/>
    <w:link w:val="9"/>
    <w:qFormat/>
    <w:uiPriority w:val="1"/>
    <w:rPr>
      <w:rFonts w:ascii="黑体" w:hAnsi="黑体" w:eastAsia="黑体" w:cs="黑体"/>
      <w:sz w:val="30"/>
      <w:szCs w:val="30"/>
      <w:lang w:val="zh-CN" w:bidi="zh-CN"/>
    </w:rPr>
  </w:style>
  <w:style w:type="character" w:customStyle="1" w:styleId="72">
    <w:name w:val="正文文本首行缩进 字符"/>
    <w:basedOn w:val="71"/>
    <w:link w:val="23"/>
    <w:semiHidden/>
    <w:qFormat/>
    <w:uiPriority w:val="0"/>
    <w:rPr>
      <w:rFonts w:ascii="宋体" w:hAnsi="宋体" w:eastAsia="黑体" w:cs="宋体"/>
      <w:sz w:val="22"/>
      <w:szCs w:val="22"/>
      <w:lang w:val="zh-CN" w:bidi="zh-CN"/>
    </w:rPr>
  </w:style>
  <w:style w:type="paragraph" w:customStyle="1" w:styleId="73">
    <w:name w:val="正文_17"/>
    <w:autoRedefine/>
    <w:qFormat/>
    <w:uiPriority w:val="0"/>
    <w:pPr>
      <w:widowControl w:val="0"/>
      <w:jc w:val="both"/>
    </w:pPr>
    <w:rPr>
      <w:rFonts w:ascii="等线" w:hAnsi="等线" w:eastAsia="等线" w:cs="Times New Roman"/>
      <w:kern w:val="2"/>
      <w:sz w:val="21"/>
      <w:szCs w:val="22"/>
      <w:lang w:val="en-US" w:eastAsia="zh-CN" w:bidi="ar-SA"/>
    </w:rPr>
  </w:style>
  <w:style w:type="paragraph" w:customStyle="1" w:styleId="74">
    <w:name w:val="表格内表格正文"/>
    <w:basedOn w:val="1"/>
    <w:qFormat/>
    <w:uiPriority w:val="0"/>
    <w:pPr>
      <w:jc w:val="center"/>
    </w:pPr>
    <w:rPr>
      <w:rFonts w:ascii="Times New Roman" w:hAnsi="Times New Roman" w:cs="Times New Roman"/>
      <w:sz w:val="21"/>
      <w:szCs w:val="21"/>
      <w:lang w:val="en-US" w:bidi="ar-SA"/>
    </w:rPr>
  </w:style>
  <w:style w:type="paragraph" w:customStyle="1" w:styleId="75">
    <w:name w:val="Table Text"/>
    <w:basedOn w:val="1"/>
    <w:semiHidden/>
    <w:qFormat/>
    <w:uiPriority w:val="0"/>
    <w:rPr>
      <w:sz w:val="28"/>
      <w:szCs w:val="28"/>
      <w:lang w:val="en-US" w:eastAsia="en-US" w:bidi="ar-SA"/>
    </w:rPr>
  </w:style>
  <w:style w:type="paragraph" w:customStyle="1" w:styleId="76">
    <w:name w:val="表格"/>
    <w:basedOn w:val="6"/>
    <w:next w:val="1"/>
    <w:qFormat/>
    <w:uiPriority w:val="0"/>
    <w:pPr>
      <w:adjustRightInd w:val="0"/>
      <w:snapToGrid w:val="0"/>
      <w:spacing w:beforeLines="10" w:afterLines="10" w:line="259" w:lineRule="auto"/>
      <w:jc w:val="center"/>
    </w:pPr>
    <w:rPr>
      <w:sz w:val="21"/>
    </w:rPr>
  </w:style>
  <w:style w:type="paragraph" w:customStyle="1" w:styleId="77">
    <w:name w:val="样式45"/>
    <w:basedOn w:val="1"/>
    <w:qFormat/>
    <w:uiPriority w:val="0"/>
    <w:pPr>
      <w:overflowPunct w:val="0"/>
      <w:spacing w:beforeLines="50" w:afterLines="10"/>
      <w:jc w:val="center"/>
      <w:textAlignment w:val="bottom"/>
    </w:pPr>
    <w:rPr>
      <w:rFonts w:ascii="黑体"/>
      <w:b/>
      <w:snapToGrid w:val="0"/>
      <w:color w:val="000000"/>
      <w:szCs w:val="21"/>
    </w:rPr>
  </w:style>
  <w:style w:type="character" w:customStyle="1" w:styleId="78">
    <w:name w:val="font31"/>
    <w:basedOn w:val="29"/>
    <w:qFormat/>
    <w:uiPriority w:val="0"/>
    <w:rPr>
      <w:rFonts w:hint="eastAsia" w:ascii="宋体" w:hAnsi="宋体" w:eastAsia="宋体" w:cs="宋体"/>
      <w:color w:val="000000"/>
      <w:sz w:val="21"/>
      <w:szCs w:val="21"/>
      <w:u w:val="single"/>
    </w:rPr>
  </w:style>
  <w:style w:type="character" w:customStyle="1" w:styleId="79">
    <w:name w:val="hover27"/>
    <w:basedOn w:val="29"/>
    <w:qFormat/>
    <w:uiPriority w:val="0"/>
  </w:style>
  <w:style w:type="character" w:customStyle="1" w:styleId="80">
    <w:name w:val="bsharetext"/>
    <w:basedOn w:val="29"/>
    <w:qFormat/>
    <w:uiPriority w:val="0"/>
  </w:style>
  <w:style w:type="paragraph" w:customStyle="1" w:styleId="81">
    <w:name w:val="表格文字"/>
    <w:basedOn w:val="1"/>
    <w:qFormat/>
    <w:uiPriority w:val="0"/>
    <w:pPr>
      <w:jc w:val="center"/>
    </w:pPr>
    <w:rPr>
      <w:sz w:val="24"/>
    </w:rPr>
  </w:style>
  <w:style w:type="paragraph" w:customStyle="1" w:styleId="82">
    <w:name w:val="xl36"/>
    <w:basedOn w:val="1"/>
    <w:qFormat/>
    <w:uiPriority w:val="0"/>
    <w:pPr>
      <w:widowControl/>
      <w:spacing w:before="100" w:beforeAutospacing="1" w:after="100" w:afterAutospacing="1"/>
      <w:jc w:val="center"/>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7784854b-57d6-46bb-b17f-563916818efd</errorID>
      <errorWord>:</errorWord>
      <group>L1_Format</group>
      <groupName>格式问题</groupName>
      <ability>L2_HalfPunc</ability>
      <abilityName>全半角检查</abilityName>
      <candidateList>
        <item>：</item>
      </candidateList>
      <explain>文本全半角错误。</explain>
      <paraID> F2DF226</paraID>
      <start>2</start>
      <end>3</end>
      <status>unmodified</status>
      <modifiedWord/>
      <trackRevisions>false</trackRevisions>
    </reviewItem>
    <reviewItem>
      <errorID>58db1e9a-0cb4-4a22-afda-bc8f40f31acb</errorID>
      <errorWord>监测报告</errorWord>
      <group>L1_Word</group>
      <groupName>字词问题</groupName>
      <ability>L2_Typo</ability>
      <abilityName>字词错误</abilityName>
      <candidateList>
        <item>检测报告</item>
      </candidateList>
      <explain>存在发音相同字词的误用。</explain>
      <paraID>3813BC60</paraID>
      <start>4</start>
      <end>8</end>
      <status>unmodified</status>
      <modifiedWord/>
      <trackRevisions>false</trackRevisions>
    </reviewItem>
    <reviewItem>
      <errorID>faaa11ef-8559-4b7e-8206-f8be5ee3fc65</errorID>
      <errorWord>一、“三线一单”相符性分析</errorWord>
      <group>L1_AI</group>
      <groupName>深度校对</groupName>
      <ability>L2_AI_Title</ability>
      <abilityName>标题检查</abilityName>
      <candidateList/>
      <explain>相邻标题序号不连续。一级标题“一、建设项目基本情况”下，二级标题应从“一”开始顺序编号，但在该一级标题下前文无二级标题，“一、“三线一单”相符性分析”直接出现，与前文一级标题下无二级标题的情况不连续；且后续二级标题未按顺序编号，如“二、产业政策的符合性分析”“三、项目选址合理性分析”“四、项目与全州县城镇空间重点管控单元符合性分析”等</explain>
      <paraID>4B158861</paraID>
      <start>0</start>
      <end>13</end>
      <status>unmodified</status>
      <modifiedWord/>
      <trackRevisions>false</trackRevisions>
    </reviewItem>
    <reviewItem>
      <errorID>cdb660f9-334f-40e7-8380-f6f74cae9f7a</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54DF5D21</paraID>
      <start>214</start>
      <end>221</end>
      <status>unmodified</status>
      <modifiedWord/>
      <trackRevisions>false</trackRevisions>
    </reviewItem>
    <reviewItem>
      <errorID>333cdab6-2525-4a42-b85c-28d2486d788b</errorID>
      <errorWord>县（区、市）</errorWord>
      <group>L1_Word</group>
      <groupName>字词问题</groupName>
      <ability>L2_Typo</ability>
      <abilityName>字词错误</abilityName>
      <candidateList>
        <item>县（市、区）</item>
      </candidateList>
      <explain/>
      <paraID>20ECFE11</paraID>
      <start>28</start>
      <end>34</end>
      <status>unmodified</status>
      <modifiedWord/>
      <trackRevisions>false</trackRevisions>
    </reviewItem>
    <reviewItem>
      <errorID>0ae18c29-dca8-4fe7-9094-b4a6ec057306</errorID>
      <errorWord>上线</errorWord>
      <group>L1_Word</group>
      <groupName>字词问题</groupName>
      <ability>L2_Typo</ability>
      <abilityName>字词错误</abilityName>
      <candidateList>
        <item>上限</item>
      </candidateList>
      <explain/>
      <paraID> B409431</paraID>
      <start>76</start>
      <end>78</end>
      <status>unmodified</status>
      <modifiedWord/>
      <trackRevisions>false</trackRevisions>
    </reviewItem>
    <reviewItem>
      <errorID>6573c6e8-3c58-4e40-a713-1e6527cbb779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54DB4C80</paraID>
      <start>69</start>
      <end>70</end>
      <status>unmodified</status>
      <modifiedWord/>
      <trackRevisions>false</trackRevisions>
    </reviewItem>
    <reviewItem>
      <errorID>b46ab1c9-3a9a-4165-9683-7811182ae42b</errorID>
      <errorWord>〔2010〕01号</errorWord>
      <group>L1_Knowledge</group>
      <groupName>知识性问题</groupName>
      <ability>L2_Knowledge</ability>
      <abilityName>其他知识</abilityName>
      <candidateList>
        <item>〔2010〕1号</item>
      </candidateList>
      <explain>发文字号格式错误</explain>
      <paraID>54DB4C80</paraID>
      <start>94</start>
      <end>103</end>
      <status>unmodified</status>
      <modifiedWord/>
      <trackRevisions>false</trackRevisions>
    </reviewItem>
    <reviewItem>
      <errorID>85a94f17-3c08-4e8b-bdc3-1b09678a2018</errorID>
      <errorWord>全州县</errorWord>
      <group>L1_AI</group>
      <groupName>深度校对</groupName>
      <ability>L2_AI_Word</ability>
      <abilityName>字词纠错</abilityName>
      <candidateList>
        <item>永福县</item>
      </candidateList>
      <explain/>
      <paraID>302286EF</paraID>
      <start>5</start>
      <end>8</end>
      <status>modified</status>
      <modifiedWord>永福县</modifiedWord>
      <trackRevisions>false</trackRevisions>
    </reviewItem>
    <reviewItem>
      <errorID>2f79cc01-2b6d-4cd9-8940-4ae6e1ca3f31</errorID>
      <errorWord>相符</errorWord>
      <group>L1_AI</group>
      <groupName>深度校对</groupName>
      <ability>L2_AI_Word</ability>
      <abilityName>字词纠错</abilityName>
      <candidateList>
        <item>符合</item>
      </candidateList>
      <explain>〈动〉（数量、形状、情节等）相合：～事实｜这些产品不～质量标准。</explain>
      <paraID>379F46D5</paraID>
      <start>148</start>
      <end>150</end>
      <status>unmodified</status>
      <modifiedWord/>
      <trackRevisions>false</trackRevisions>
    </reviewItem>
    <reviewItem>
      <errorID>d2cef255-f388-434f-8c20-67feb61541f0</errorID>
      <errorWord>管</errorWord>
      <group>L1_AI</group>
      <groupName>深度校对</groupName>
      <ability>L2_AI_Grammar</ability>
      <abilityName>语法纠错</abilityName>
      <candidateList>
        <item>管控</item>
      </candidateList>
      <explain/>
      <paraID>7F8249AE</paraID>
      <start>5</start>
      <end>6</end>
      <status>unmodified</status>
      <modifiedWord/>
      <trackRevisions>false</trackRevisions>
    </reviewItem>
    <reviewItem>
      <errorID>558c1a41-8bd1-4283-a07e-f4e615387911</errorID>
      <errorWord>。</errorWord>
      <group>L1_AI</group>
      <groupName>深度校对</groupName>
      <ability>L2_AI_Grammar</ability>
      <abilityName>语法纠错</abilityName>
      <candidateList>
        <item>。符合</item>
      </candidateList>
      <explain/>
      <paraID>6E6D79CB</paraID>
      <start>47</start>
      <end>48</end>
      <status>unmodified</status>
      <modifiedWord/>
      <trackRevisions>false</trackRevisions>
    </reviewItem>
    <reviewItem>
      <errorID>19a4673d-937d-4f51-a555-57de2961eac8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C219083</paraID>
      <start>0</start>
      <end>2</end>
      <status>unmodified</status>
      <modifiedWord/>
      <trackRevisions>false</trackRevisions>
    </reviewItem>
    <reviewItem>
      <errorID>6ca4f556-d714-4b91-93c5-1dadeb992811</errorID>
      <errorWord>~</errorWord>
      <group>L1_Format</group>
      <groupName>格式问题</groupName>
      <ability>L2_HalfPunc</ability>
      <abilityName>全半角检查</abilityName>
      <candidateList>
        <item>～</item>
      </candidateList>
      <explain>文本全半角错误。</explain>
      <paraID> AF14E92</paraID>
      <start>12</start>
      <end>13</end>
      <status>unmodified</status>
      <modifiedWord/>
      <trackRevisions>false</trackRevisions>
    </reviewItem>
    <reviewItem>
      <errorID>6b24d6a0-8583-48cd-b380-b461b1407eb6</errorID>
      <errorWord>~</errorWord>
      <group>L1_Format</group>
      <groupName>格式问题</groupName>
      <ability>L2_HalfPunc</ability>
      <abilityName>全半角检查</abilityName>
      <candidateList>
        <item>～</item>
      </candidateList>
      <explain>文本全半角错误。</explain>
      <paraID> AF14E92</paraID>
      <start>40</start>
      <end>41</end>
      <status>unmodified</status>
      <modifiedWord/>
      <trackRevisions>false</trackRevisions>
    </reviewItem>
    <reviewItem>
      <errorID>089007c7-37a6-4660-84cc-45e8bdf5714d</errorID>
      <errorWord>~</errorWord>
      <group>L1_Format</group>
      <groupName>格式问题</groupName>
      <ability>L2_HalfPunc</ability>
      <abilityName>全半角检查</abilityName>
      <candidateList>
        <item>～</item>
      </candidateList>
      <explain>文本全半角错误。</explain>
      <paraID> 7700BC0</paraID>
      <start>65</start>
      <end>66</end>
      <status>unmodified</status>
      <modifiedWord/>
      <trackRevisions>false</trackRevisions>
    </reviewItem>
    <reviewItem>
      <errorID>81d6835f-a073-4e30-b1a7-2e0aeb8cd9ca</errorID>
      <errorWord>时</errorWord>
      <group>L1_Word</group>
      <groupName>字词问题</groupName>
      <ability>L2_Typo</ability>
      <abilityName>字词错误</abilityName>
      <candidateList>
        <item>室</item>
      </candidateList>
      <explain/>
      <paraID> 7700BC0</paraID>
      <start>82</start>
      <end>83</end>
      <status>modified</status>
      <modifiedWord>室</modifiedWord>
      <trackRevisions>false</trackRevisions>
    </reviewItem>
    <reviewItem>
      <errorID>c02761fd-58ad-47a2-bfc0-60d02c686539</errorID>
      <errorWord>~</errorWord>
      <group>L1_Format</group>
      <groupName>格式问题</groupName>
      <ability>L2_HalfPunc</ability>
      <abilityName>全半角检查</abilityName>
      <candidateList>
        <item>～</item>
      </candidateList>
      <explain>文本全半角错误。</explain>
      <paraID>71FF1985</paraID>
      <start>61</start>
      <end>62</end>
      <status>unmodified</status>
      <modifiedWord/>
      <trackRevisions>false</trackRevisions>
    </reviewItem>
    <reviewItem>
      <errorID>1a3a7f77-86f4-47a1-9fe4-ae15379e61eb</errorID>
      <errorWord>~</errorWord>
      <group>L1_Format</group>
      <groupName>格式问题</groupName>
      <ability>L2_HalfPunc</ability>
      <abilityName>全半角检查</abilityName>
      <candidateList>
        <item>～</item>
      </candidateList>
      <explain>文本全半角错误。</explain>
      <paraID>3DA1BD8F</paraID>
      <start>61</start>
      <end>62</end>
      <status>unmodified</status>
      <modifiedWord/>
      <trackRevisions>false</trackRevisions>
    </reviewItem>
    <reviewItem>
      <errorID>7fc43cb9-39d0-48da-8b22-2863c20ab47a</errorID>
      <errorWord>~</errorWord>
      <group>L1_Format</group>
      <groupName>格式问题</groupName>
      <ability>L2_HalfPunc</ability>
      <abilityName>全半角检查</abilityName>
      <candidateList>
        <item>～</item>
      </candidateList>
      <explain>文本全半角错误。</explain>
      <paraID>4AC20F08</paraID>
      <start>54</start>
      <end>55</end>
      <status>unmodified</status>
      <modifiedWord/>
      <trackRevisions>false</trackRevisions>
    </reviewItem>
    <reviewItem>
      <errorID>a7195641-0201-4257-aaae-764bb1248bd9</errorID>
      <errorWord>~</errorWord>
      <group>L1_Format</group>
      <groupName>格式问题</groupName>
      <ability>L2_HalfPunc</ability>
      <abilityName>全半角检查</abilityName>
      <candidateList>
        <item>～</item>
      </candidateList>
      <explain>文本全半角错误。</explain>
      <paraID>673C5A97</paraID>
      <start>7</start>
      <end>8</end>
      <status>unmodified</status>
      <modifiedWord/>
      <trackRevisions>false</trackRevisions>
    </reviewItem>
    <reviewItem>
      <errorID>060c78bf-8924-4e63-9843-876273f1374a</errorID>
      <errorWord>~</errorWord>
      <group>L1_Format</group>
      <groupName>格式问题</groupName>
      <ability>L2_HalfPunc</ability>
      <abilityName>全半角检查</abilityName>
      <candidateList>
        <item>～</item>
      </candidateList>
      <explain>文本全半角错误。</explain>
      <paraID>673C5A97</paraID>
      <start>39</start>
      <end>40</end>
      <status>unmodified</status>
      <modifiedWord/>
      <trackRevisions>false</trackRevisions>
    </reviewItem>
    <reviewItem>
      <errorID>2d34df8d-77b5-464d-9b7c-41daee89bb0d</errorID>
      <errorWord>办</errorWord>
      <group>L1_Word</group>
      <groupName>字词问题</groupName>
      <ability>L2_Typo</ability>
      <abilityName>字词错误</abilityName>
      <candidateList>
        <item>办公</item>
      </candidateList>
      <explain>〈动〉办理公务；处理公事：～会议｜星期天照常～。</explain>
      <paraID>3380C66E</paraID>
      <start>126</start>
      <end>127</end>
      <status>unmodified</status>
      <modifiedWord/>
      <trackRevisions>false</trackRevisions>
    </reviewItem>
    <reviewItem>
      <errorID>72e453df-cfcc-4bde-9e92-01ca15c6d977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C63CA0A</paraID>
      <start>0</start>
      <end>2</end>
      <status>unmodified</status>
      <modifiedWord/>
      <trackRevisions>false</trackRevisions>
    </reviewItem>
    <reviewItem>
      <errorID>1debee3d-64e3-46f1-8a8c-d94e99f9a7c8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282D1A80</paraID>
      <start>0</start>
      <end>2</end>
      <status>unmodified</status>
      <modifiedWord/>
      <trackRevisions>false</trackRevisions>
    </reviewItem>
    <reviewItem>
      <errorID>a714572e-3548-4630-9282-5bc20964006e</errorID>
      <errorWord>(</errorWord>
      <group>L1_Format</group>
      <groupName>格式问题</groupName>
      <ability>L2_HalfPunc</ability>
      <abilityName>全半角检查</abilityName>
      <candidateList>
        <item>（</item>
      </candidateList>
      <explain>文本全半角错误。</explain>
      <paraID>4998BCDA</paraID>
      <start>3</start>
      <end>4</end>
      <status>unmodified</status>
      <modifiedWord/>
      <trackRevisions>false</trackRevisions>
    </reviewItem>
    <reviewItem>
      <errorID>d46fdca1-23c0-4a4f-91a4-c6c0ee3a7b8b</errorID>
      <errorWord>)</errorWord>
      <group>L1_Format</group>
      <groupName>格式问题</groupName>
      <ability>L2_HalfPunc</ability>
      <abilityName>全半角检查</abilityName>
      <candidateList>
        <item>）</item>
      </candidateList>
      <explain>文本全半角错误。</explain>
      <paraID>4998BCDA</paraID>
      <start>7</start>
      <end>8</end>
      <status>unmodified</status>
      <modifiedWord/>
      <trackRevisions>false</trackRevisions>
    </reviewItem>
    <reviewItem>
      <errorID>61da5ee3-912f-4882-aa49-dfbb5af741e4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1BF01494</paraID>
      <start>0</start>
      <end>2</end>
      <status>unmodified</status>
      <modifiedWord/>
      <trackRevisions>false</trackRevisions>
    </reviewItem>
    <reviewItem>
      <errorID>25e5bace-8c5d-4667-9243-c9cea0821ef5</errorID>
      <errorWord>；</errorWord>
      <group>L1_Word</group>
      <groupName>字词问题</groupName>
      <ability>L2_Typo</ability>
      <abilityName>字词错误</abilityName>
      <candidateList>
        <item>；本</item>
      </candidateList>
      <explain/>
      <paraID> 7B1E439</paraID>
      <start>30</start>
      <end>31</end>
      <status>unmodified</status>
      <modifiedWord/>
      <trackRevisions>false</trackRevisions>
    </reviewItem>
    <reviewItem>
      <errorID>a0165e2a-b515-40b2-aa3b-7a4db614ac78</errorID>
      <errorWord>；</errorWord>
      <group>L1_Word</group>
      <groupName>字词问题</groupName>
      <ability>L2_Typo</ability>
      <abilityName>字词错误</abilityName>
      <candidateList>
        <item>；本</item>
      </candidateList>
      <explain/>
      <paraID> 7B1E439</paraID>
      <start>106</start>
      <end>107</end>
      <status>unmodified</status>
      <modifiedWord/>
      <trackRevisions>false</trackRevisions>
    </reviewItem>
    <reviewItem>
      <errorID>a54b7b99-3b50-422e-b791-1b57016836cb</errorID>
      <errorWord>(</errorWord>
      <group>L1_Format</group>
      <groupName>格式问题</groupName>
      <ability>L2_HalfPunc</ability>
      <abilityName>全半角检查</abilityName>
      <candidateList>
        <item>（</item>
      </candidateList>
      <explain>文本全半角错误。</explain>
      <paraID>63FA94F0</paraID>
      <start>14</start>
      <end>15</end>
      <status>unmodified</status>
      <modifiedWord/>
      <trackRevisions>false</trackRevisions>
    </reviewItem>
    <reviewItem>
      <errorID>69097557-6193-4fda-a232-138e0347f3d7</errorID>
      <errorWord>)</errorWord>
      <group>L1_Format</group>
      <groupName>格式问题</groupName>
      <ability>L2_HalfPunc</ability>
      <abilityName>全半角检查</abilityName>
      <candidateList>
        <item>）</item>
      </candidateList>
      <explain>文本全半角错误。</explain>
      <paraID>63FA94F0</paraID>
      <start>40</start>
      <end>41</end>
      <status>unmodified</status>
      <modifiedWord/>
      <trackRevisions>false</trackRevisions>
    </reviewItem>
    <reviewItem>
      <errorID>5351924f-0f03-4a8f-9722-af4f6fc8187f</errorID>
      <errorWord>(</errorWord>
      <group>L1_Format</group>
      <groupName>格式问题</groupName>
      <ability>L2_HalfPunc</ability>
      <abilityName>全半角检查</abilityName>
      <candidateList>
        <item>（</item>
      </candidateList>
      <explain>文本全半角错误。</explain>
      <paraID>63FA94F0</paraID>
      <start>86</start>
      <end>87</end>
      <status>unmodified</status>
      <modifiedWord/>
      <trackRevisions>false</trackRevisions>
    </reviewItem>
    <reviewItem>
      <errorID>51f9b747-2017-450d-97d9-85c625cdf2a3</errorID>
      <errorWord>)</errorWord>
      <group>L1_Format</group>
      <groupName>格式问题</groupName>
      <ability>L2_HalfPunc</ability>
      <abilityName>全半角检查</abilityName>
      <candidateList>
        <item>）</item>
      </candidateList>
      <explain>文本全半角错误。</explain>
      <paraID>63FA94F0</paraID>
      <start>90</start>
      <end>91</end>
      <status>unmodified</status>
      <modifiedWord/>
      <trackRevisions>false</trackRevisions>
    </reviewItem>
    <reviewItem>
      <errorID>d8808b52-9591-47fd-a8ee-d3fcec951256</errorID>
      <errorWord>.</errorWord>
      <group>L1_Format</group>
      <groupName>格式问题</groupName>
      <ability>L2_HalfPunc</ability>
      <abilityName>全半角检查</abilityName>
      <candidateList>
        <item>。</item>
      </candidateList>
      <explain>文本全半角错误。</explain>
      <paraID> 54D44B0</paraID>
      <start>44</start>
      <end>45</end>
      <status>unmodified</status>
      <modifiedWord/>
      <trackRevisions>false</trackRevisions>
    </reviewItem>
    <reviewItem>
      <errorID>43a94fa2-f0e3-4af6-9cc0-0a6c0aef8411</errorID>
      <errorWord>.</errorWord>
      <group>L1_Format</group>
      <groupName>格式问题</groupName>
      <ability>L2_HalfPunc</ability>
      <abilityName>全半角检查</abilityName>
      <candidateList>
        <item>。</item>
      </candidateList>
      <explain>文本全半角错误。</explain>
      <paraID>7FBA5F4F</paraID>
      <start>99</start>
      <end>100</end>
      <status>unmodified</status>
      <modifiedWord/>
      <trackRevisions>false</trackRevisions>
    </reviewItem>
    <reviewItem>
      <errorID>c31c3c18-80a3-4cc8-8f20-1eb2a0ba6dfc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49927511</paraID>
      <start>85</start>
      <end>86</end>
      <status>unmodified</status>
      <modifiedWord/>
      <trackRevisions>false</trackRevisions>
    </reviewItem>
    <reviewItem>
      <errorID>3b7ee33c-0b57-4984-8ffc-ba23c5ecf6c3</errorID>
      <errorWord>结</errorWord>
      <group>L1_Word</group>
      <groupName>字词问题</groupName>
      <ability>L2_Typo</ability>
      <abilityName>字词错误</abilityName>
      <candidateList>
        <item>结合</item>
      </candidateList>
      <explain/>
      <paraID>49927511</paraID>
      <start>93</start>
      <end>95</end>
      <status>modified</status>
      <modifiedWord>结合</modifiedWord>
      <trackRevisions>false</trackRevisions>
    </reviewItem>
    <reviewItem>
      <errorID>a5736d17-2cdd-4aac-9fcb-1ccdbaafaf92</errorID>
      <errorWord>用排水</errorWord>
      <group>L1_Word</group>
      <groupName>字词问题</groupName>
      <ability>L2_Typo</ability>
      <abilityName>字词错误</abilityName>
      <candidateList>
        <item>供排水</item>
      </candidateList>
      <explain>存在发音相近字词的误用。</explain>
      <paraID>5A45DBE2</paraID>
      <start>252</start>
      <end>255</end>
      <status>unmodified</status>
      <modifiedWord/>
      <trackRevisions>false</trackRevisions>
    </reviewItem>
    <reviewItem>
      <errorID>2853d16b-f4b9-49f3-817c-43548e255aa5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36E8B381</paraID>
      <start>0</start>
      <end>2</end>
      <status>unmodified</status>
      <modifiedWord/>
      <trackRevisions>false</trackRevisions>
    </reviewItem>
    <reviewItem>
      <errorID>d0927dc7-990f-408c-ac8f-01c92aa726c1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1C282114</paraID>
      <start>0</start>
      <end>2</end>
      <status>unmodified</status>
      <modifiedWord/>
      <trackRevisions>false</trackRevisions>
    </reviewItem>
    <reviewItem>
      <errorID>cc144b54-3a41-47a2-8bcb-972b7d3dd7c4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397B90D4</paraID>
      <start>0</start>
      <end>2</end>
      <status>unmodified</status>
      <modifiedWord/>
      <trackRevisions>false</trackRevisions>
    </reviewItem>
    <reviewItem>
      <errorID>152693b5-fd96-4261-bbf0-7eec86d03ade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25A0F315</paraID>
      <start>0</start>
      <end>2</end>
      <status>unmodified</status>
      <modifiedWord/>
      <trackRevisions>false</trackRevisions>
    </reviewItem>
    <reviewItem>
      <errorID>8e950086-a489-4777-b5cc-fe37a085a54d</errorID>
      <errorWord>程</errorWord>
      <group>L1_Word</group>
      <groupName>字词问题</groupName>
      <ability>L2_Typo</ability>
      <abilityName>字词错误</abilityName>
      <candidateList>
        <item>程中</item>
      </candidateList>
      <explain/>
      <paraID>40F375E2</paraID>
      <start>13</start>
      <end>14</end>
      <status>unmodified</status>
      <modifiedWord/>
      <trackRevisions>false</trackRevisions>
    </reviewItem>
    <reviewItem>
      <errorID>7f7e0cce-46f2-4d1c-987f-30cd73536e02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7C6A065B</paraID>
      <start>0</start>
      <end>2</end>
      <status>unmodified</status>
      <modifiedWord/>
      <trackRevisions>false</trackRevisions>
    </reviewItem>
    <reviewItem>
      <errorID>ce777b06-9d53-499b-8df9-950edbfa1362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3447CA3A</paraID>
      <start>0</start>
      <end>2</end>
      <status>unmodified</status>
      <modifiedWord/>
      <trackRevisions>false</trackRevisions>
    </reviewItem>
    <reviewItem>
      <errorID>cb5cc405-91db-458a-8263-1f4ebbdfa403</errorID>
      <errorWord>)</errorWord>
      <group>L1_Format</group>
      <groupName>格式问题</groupName>
      <ability>L2_HalfPunc</ability>
      <abilityName>全半角检查</abilityName>
      <candidateList>
        <item>）</item>
      </candidateList>
      <explain>文本全半角错误。</explain>
      <paraID>59662B80</paraID>
      <start>70</start>
      <end>71</end>
      <status>unmodified</status>
      <modifiedWord/>
      <trackRevisions>false</trackRevisions>
    </reviewItem>
    <reviewItem>
      <errorID>97eedbe9-f3df-4063-8917-76e3f4721c5f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1AE90A8E</paraID>
      <start>0</start>
      <end>2</end>
      <status>unmodified</status>
      <modifiedWord/>
      <trackRevisions>false</trackRevisions>
    </reviewItem>
    <reviewItem>
      <errorID>1c06e41b-3fc3-4dee-8674-ae52c662f5b4</errorID>
      <errorWord>进</errorWord>
      <group>L1_Word</group>
      <groupName>字词问题</groupName>
      <ability>L2_Typo</ability>
      <abilityName>字词错误</abilityName>
      <candidateList>
        <item>进入</item>
      </candidateList>
      <explain>〈动〉支进到某个范围或某个时期里：～学校｜～新阶段◇～角色。</explain>
      <paraID>13BF1CA4</paraID>
      <start>384</start>
      <end>385</end>
      <status>unmodified</status>
      <modifiedWord/>
      <trackRevisions>false</trackRevisions>
    </reviewItem>
    <reviewItem>
      <errorID>3081a0fc-75e1-413d-be28-dcdd64641c25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1F3F34D1</paraID>
      <start>0</start>
      <end>2</end>
      <status>unmodified</status>
      <modifiedWord/>
      <trackRevisions>false</trackRevisions>
    </reviewItem>
    <reviewItem>
      <errorID>47db7a4c-279a-4d92-8b8c-de98dde5be8e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4B84C86E</paraID>
      <start>0</start>
      <end>2</end>
      <status>unmodified</status>
      <modifiedWord/>
      <trackRevisions>false</trackRevisions>
    </reviewItem>
    <reviewItem>
      <errorID>de4ee9b9-f841-410f-badb-7b7f9fa16671</errorID>
      <errorWord>进</errorWord>
      <group>L1_Word</group>
      <groupName>字词问题</groupName>
      <ability>L2_Typo</ability>
      <abilityName>字词错误</abilityName>
      <candidateList>
        <item>进入</item>
      </candidateList>
      <explain>〈动〉支进到某个范围或某个时期里：～学校｜～新阶段◇～角色。</explain>
      <paraID>58463D99</paraID>
      <start>211</start>
      <end>212</end>
      <status>unmodified</status>
      <modifiedWord/>
      <trackRevisions>false</trackRevisions>
    </reviewItem>
    <reviewItem>
      <errorID>c5dfbbab-0ae1-43a6-af44-f029e41fed57</errorID>
      <errorWord>(</errorWord>
      <group>L1_Format</group>
      <groupName>格式问题</groupName>
      <ability>L2_HalfPunc</ability>
      <abilityName>全半角检查</abilityName>
      <candidateList>
        <item>（</item>
      </candidateList>
      <explain>文本全半角错误。</explain>
      <paraID>58463D99</paraID>
      <start>347</start>
      <end>348</end>
      <status>unmodified</status>
      <modifiedWord/>
      <trackRevisions>false</trackRevisions>
    </reviewItem>
    <reviewItem>
      <errorID>25a5ca88-bf18-46db-9da3-bf6307ebb29f</errorID>
      <errorWord>)</errorWord>
      <group>L1_Format</group>
      <groupName>格式问题</groupName>
      <ability>L2_HalfPunc</ability>
      <abilityName>全半角检查</abilityName>
      <candidateList>
        <item>）</item>
      </candidateList>
      <explain>文本全半角错误。</explain>
      <paraID>58463D99</paraID>
      <start>360</start>
      <end>361</end>
      <status>unmodified</status>
      <modifiedWord/>
      <trackRevisions>false</trackRevisions>
    </reviewItem>
    <reviewItem>
      <errorID>1e5e52e1-bc2b-4a91-b660-3f26ffce99a6</errorID>
      <errorWord>)</errorWord>
      <group>L1_Format</group>
      <groupName>格式问题</groupName>
      <ability>L2_HalfPunc</ability>
      <abilityName>全半角检查</abilityName>
      <candidateList>
        <item>）</item>
      </candidateList>
      <explain>文本全半角错误。</explain>
      <paraID>1A28511B</paraID>
      <start>146</start>
      <end>147</end>
      <status>unmodified</status>
      <modifiedWord/>
      <trackRevisions>false</trackRevisions>
    </reviewItem>
    <reviewItem>
      <errorID>69fe482b-8923-4e82-889a-5d2013f6c9b5</errorID>
      <errorWord>)</errorWord>
      <group>L1_Format</group>
      <groupName>格式问题</groupName>
      <ability>L2_HalfPunc</ability>
      <abilityName>全半角检查</abilityName>
      <candidateList>
        <item>）</item>
      </candidateList>
      <explain>文本全半角错误。</explain>
      <paraID>1A28511B</paraID>
      <start>156</start>
      <end>157</end>
      <status>unmodified</status>
      <modifiedWord/>
      <trackRevisions>false</trackRevisions>
    </reviewItem>
    <reviewItem>
      <errorID>d2659c46-477b-435c-b927-8d4cf1e98919</errorID>
      <errorWord>)</errorWord>
      <group>L1_Format</group>
      <groupName>格式问题</groupName>
      <ability>L2_HalfPunc</ability>
      <abilityName>全半角检查</abilityName>
      <candidateList>
        <item>）</item>
      </candidateList>
      <explain>文本全半角错误。</explain>
      <paraID>1A28511B</paraID>
      <start>187</start>
      <end>188</end>
      <status>unmodified</status>
      <modifiedWord/>
      <trackRevisions>false</trackRevisions>
    </reviewItem>
    <reviewItem>
      <errorID>f47687e5-3ed4-491a-b57a-468010bb5699</errorID>
      <errorWord>)</errorWord>
      <group>L1_Format</group>
      <groupName>格式问题</groupName>
      <ability>L2_HalfPunc</ability>
      <abilityName>全半角检查</abilityName>
      <candidateList>
        <item>）</item>
      </candidateList>
      <explain>文本全半角错误。</explain>
      <paraID>1A28511B</paraID>
      <start>197</start>
      <end>198</end>
      <status>unmodified</status>
      <modifiedWord/>
      <trackRevisions>false</trackRevisions>
    </reviewItem>
    <reviewItem>
      <errorID>33e62de6-282c-438f-a3ef-4a36f6719015</errorID>
      <errorWord>)</errorWord>
      <group>L1_Format</group>
      <groupName>格式问题</groupName>
      <ability>L2_HalfPunc</ability>
      <abilityName>全半角检查</abilityName>
      <candidateList>
        <item>）</item>
      </candidateList>
      <explain>文本全半角错误。</explain>
      <paraID>1A28511B</paraID>
      <start>228</start>
      <end>229</end>
      <status>unmodified</status>
      <modifiedWord/>
      <trackRevisions>false</trackRevisions>
    </reviewItem>
    <reviewItem>
      <errorID>960db4df-1683-4c42-bed9-cbe8229ad7b8</errorID>
      <errorWord>)</errorWord>
      <group>L1_Format</group>
      <groupName>格式问题</groupName>
      <ability>L2_HalfPunc</ability>
      <abilityName>全半角检查</abilityName>
      <candidateList>
        <item>）</item>
      </candidateList>
      <explain>文本全半角错误。</explain>
      <paraID>1A28511B</paraID>
      <start>238</start>
      <end>239</end>
      <status>unmodified</status>
      <modifiedWord/>
      <trackRevisions>false</trackRevisions>
    </reviewItem>
    <reviewItem>
      <errorID>4cf84f6a-1528-48d3-be81-3727aa6c49e4</errorID>
      <errorWord>)</errorWord>
      <group>L1_Format</group>
      <groupName>格式问题</groupName>
      <ability>L2_HalfPunc</ability>
      <abilityName>全半角检查</abilityName>
      <candidateList>
        <item>）</item>
      </candidateList>
      <explain>文本全半角错误。</explain>
      <paraID>1A28511B</paraID>
      <start>269</start>
      <end>270</end>
      <status>unmodified</status>
      <modifiedWord/>
      <trackRevisions>false</trackRevisions>
    </reviewItem>
    <reviewItem>
      <errorID>c8ee65c5-5269-4a7b-9f03-ce7a8eb2fd62</errorID>
      <errorWord>)</errorWord>
      <group>L1_Format</group>
      <groupName>格式问题</groupName>
      <ability>L2_HalfPunc</ability>
      <abilityName>全半角检查</abilityName>
      <candidateList>
        <item>）</item>
      </candidateList>
      <explain>文本全半角错误。</explain>
      <paraID>1A28511B</paraID>
      <start>279</start>
      <end>280</end>
      <status>unmodified</status>
      <modifiedWord/>
      <trackRevisions>false</trackRevisions>
    </reviewItem>
    <reviewItem>
      <errorID>de3cddc3-b2cc-48fe-896c-1c260524d349</errorID>
      <errorWord>(</errorWord>
      <group>L1_Format</group>
      <groupName>格式问题</groupName>
      <ability>L2_HalfPunc</ability>
      <abilityName>全半角检查</abilityName>
      <candidateList>
        <item>（</item>
      </candidateList>
      <explain>文本全半角错误。</explain>
      <paraID>25EC2AB9</paraID>
      <start>57</start>
      <end>58</end>
      <status>unmodified</status>
      <modifiedWord/>
      <trackRevisions>false</trackRevisions>
    </reviewItem>
    <reviewItem>
      <errorID>383e0a78-0145-4975-b38e-be4aad171218</errorID>
      <errorWord>)</errorWord>
      <group>L1_Format</group>
      <groupName>格式问题</groupName>
      <ability>L2_HalfPunc</ability>
      <abilityName>全半角检查</abilityName>
      <candidateList>
        <item>）</item>
      </candidateList>
      <explain>文本全半角错误。</explain>
      <paraID>25EC2AB9</paraID>
      <start>70</start>
      <end>71</end>
      <status>unmodified</status>
      <modifiedWord/>
      <trackRevisions>false</trackRevisions>
    </reviewItem>
    <reviewItem>
      <errorID>4c877bb4-4861-4b86-9b8e-5f9289003bf2</errorID>
      <errorWord>)</errorWord>
      <group>L1_Format</group>
      <groupName>格式问题</groupName>
      <ability>L2_HalfPunc</ability>
      <abilityName>全半角检查</abilityName>
      <candidateList>
        <item>）</item>
      </candidateList>
      <explain>文本全半角错误。</explain>
      <paraID>72D40425</paraID>
      <start>43</start>
      <end>44</end>
      <status>unmodified</status>
      <modifiedWord/>
      <trackRevisions>false</trackRevisions>
    </reviewItem>
    <reviewItem>
      <errorID>7e4357d8-c22f-4bab-8f34-5828edb52d32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6851F7C2</paraID>
      <start>0</start>
      <end>2</end>
      <status>unmodified</status>
      <modifiedWord/>
      <trackRevisions>false</trackRevisions>
    </reviewItem>
    <reviewItem>
      <errorID>ee4f07a7-93bc-4f80-b9da-c2033ce8ea79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1D95AB95</paraID>
      <start>0</start>
      <end>2</end>
      <status>unmodified</status>
      <modifiedWord/>
      <trackRevisions>false</trackRevisions>
    </reviewItem>
    <reviewItem>
      <errorID>a78721c9-729f-4399-9d56-c0becef3e47e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584050D4</paraID>
      <start>0</start>
      <end>2</end>
      <status>unmodified</status>
      <modifiedWord/>
      <trackRevisions>false</trackRevisions>
    </reviewItem>
    <reviewItem>
      <errorID>5790105f-f746-4d24-abb7-e1e55848ea0e</errorID>
      <errorWord>县（区、市）</errorWord>
      <group>L1_Word</group>
      <groupName>字词问题</groupName>
      <ability>L2_Typo</ability>
      <abilityName>字词错误</abilityName>
      <candidateList>
        <item>县（市、区）</item>
      </candidateList>
      <explain/>
      <paraID>3669BEBE</paraID>
      <start>28</start>
      <end>34</end>
      <status>unmodified</status>
      <modifiedWord/>
      <trackRevisions>false</trackRevisions>
    </reviewItem>
    <reviewItem>
      <errorID>04916a29-2788-4bf2-81cf-7161d5385c11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11C73DD1</paraID>
      <start>0</start>
      <end>2</end>
      <status>unmodified</status>
      <modifiedWord/>
      <trackRevisions>false</trackRevisions>
    </reviewItem>
    <reviewItem>
      <errorID>e1d22203-e4d0-477f-8d96-3718f017b196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148C28DE</paraID>
      <start>0</start>
      <end>2</end>
      <status>unmodified</status>
      <modifiedWord/>
      <trackRevisions>false</trackRevisions>
    </reviewItem>
    <reviewItem>
      <errorID>84dd9a7b-80b9-4700-b8d6-7c070e014442</errorID>
      <errorWord>个</errorWord>
      <group>L1_Word</group>
      <groupName>字词问题</groupName>
      <ability>L2_Typo</ability>
      <abilityName>字词错误</abilityName>
      <candidateList>
        <item>个监</item>
      </candidateList>
      <explain/>
      <paraID>600886B7</paraID>
      <start>118</start>
      <end>120</end>
      <status>modified</status>
      <modifiedWord>个监</modifiedWord>
      <trackRevisions>false</trackRevisions>
    </reviewItem>
    <reviewItem>
      <errorID>cf4be7b2-d706-48bd-bf37-0a28edcef8e8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62396DB</paraID>
      <start>0</start>
      <end>2</end>
      <status>unmodified</status>
      <modifiedWord/>
      <trackRevisions>false</trackRevisions>
    </reviewItem>
    <reviewItem>
      <errorID>e98afd7d-f1f6-4785-96d4-3c3451dfe8e7</errorID>
      <errorWord>(</errorWord>
      <group>L1_Format</group>
      <groupName>格式问题</groupName>
      <ability>L2_HalfPunc</ability>
      <abilityName>全半角检查</abilityName>
      <candidateList>
        <item>（</item>
      </candidateList>
      <explain>文本全半角错误。</explain>
      <paraID>6C32B549</paraID>
      <start>3</start>
      <end>4</end>
      <status>unmodified</status>
      <modifiedWord/>
      <trackRevisions>false</trackRevisions>
    </reviewItem>
    <reviewItem>
      <errorID>caad89d5-c020-4c59-9354-03b13369601d</errorID>
      <errorWord>)</errorWord>
      <group>L1_Format</group>
      <groupName>格式问题</groupName>
      <ability>L2_HalfPunc</ability>
      <abilityName>全半角检查</abilityName>
      <candidateList>
        <item>）</item>
      </candidateList>
      <explain>文本全半角错误。</explain>
      <paraID>6C32B549</paraID>
      <start>5</start>
      <end>6</end>
      <status>unmodified</status>
      <modifiedWord/>
      <trackRevisions>false</trackRevisions>
    </reviewItem>
    <reviewItem>
      <errorID>0da2fb83-b7f5-4eeb-adbe-ea7840283d6b</errorID>
      <errorWord>(</errorWord>
      <group>L1_Format</group>
      <groupName>格式问题</groupName>
      <ability>L2_HalfPunc</ability>
      <abilityName>全半角检查</abilityName>
      <candidateList>
        <item>（</item>
      </candidateList>
      <explain>文本全半角错误。</explain>
      <paraID>6B0F0471</paraID>
      <start>8</start>
      <end>9</end>
      <status>unmodified</status>
      <modifiedWord/>
      <trackRevisions>false</trackRevisions>
    </reviewItem>
    <reviewItem>
      <errorID>6425678b-58c4-4607-8909-0a498d899e69</errorID>
      <errorWord>)</errorWord>
      <group>L1_Format</group>
      <groupName>格式问题</groupName>
      <ability>L2_HalfPunc</ability>
      <abilityName>全半角检查</abilityName>
      <candidateList>
        <item>）</item>
      </candidateList>
      <explain>文本全半角错误。</explain>
      <paraID>6B0F0471</paraID>
      <start>10</start>
      <end>11</end>
      <status>unmodified</status>
      <modifiedWord/>
      <trackRevisions>false</trackRevisions>
    </reviewItem>
    <reviewItem>
      <errorID>72fa37f2-1885-4e5f-bfb6-3b1a28875ef5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34D2A905</paraID>
      <start>0</start>
      <end>2</end>
      <status>unmodified</status>
      <modifiedWord/>
      <trackRevisions>false</trackRevisions>
    </reviewItem>
    <reviewItem>
      <errorID>34326673-5297-46a2-ae8a-5e9ad536d220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76D89F7F</paraID>
      <start>0</start>
      <end>2</end>
      <status>unmodified</status>
      <modifiedWord/>
      <trackRevisions>false</trackRevisions>
    </reviewItem>
    <reviewItem>
      <errorID>70b7864b-31c5-412d-bed6-488ab72a4eac</errorID>
      <errorWord>结核杆菌</errorWord>
      <group>L1_Knowledge</group>
      <groupName>知识性问题</groupName>
      <ability>L2_Term</ability>
      <abilityName>专业术语</abilityName>
      <candidateList>
        <item>结核分枝杆菌</item>
      </candidateList>
      <explain>医学名词[结核杆菌]为不规范表述或旧称，其规范书面表述为[结核分枝杆菌]。</explain>
      <paraID>75F8D674</paraID>
      <start>0</start>
      <end>4</end>
      <status>unmodified</status>
      <modifiedWord/>
      <trackRevisions>false</trackRevisions>
    </reviewItem>
    <reviewItem>
      <errorID>7baf696e-8df7-4686-848f-fdb0f65cb1f7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592436D7</paraID>
      <start>11</start>
      <end>12</end>
      <status>unmodified</status>
      <modifiedWord/>
      <trackRevisions>false</trackRevisions>
    </reviewItem>
    <reviewItem>
      <errorID>1ff35c58-ee57-476a-a86b-d89c0085429f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4BA31B16</paraID>
      <start>11</start>
      <end>12</end>
      <status>unmodified</status>
      <modifiedWord/>
      <trackRevisions>false</trackRevisions>
    </reviewItem>
    <reviewItem>
      <errorID>323b8c75-09fd-49ba-86de-2a6cf79bafac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1C4BC436</paraID>
      <start>11</start>
      <end>12</end>
      <status>unmodified</status>
      <modifiedWord/>
      <trackRevisions>false</trackRevisions>
    </reviewItem>
    <reviewItem>
      <errorID>e9fcc93c-d0ab-4ed9-a5b9-3cf6eca14240</errorID>
      <errorWord>*</errorWord>
      <group>L1_Punc</group>
      <groupName>标点问题</groupName>
      <ability>L2_Punc</ability>
      <abilityName>标点符号检查</abilityName>
      <candidateList/>
      <explain/>
      <paraID>201B9A45</paraID>
      <start>0</start>
      <end>1</end>
      <status>unmodified</status>
      <modifiedWord/>
      <trackRevisions>false</trackRevisions>
    </reviewItem>
    <reviewItem>
      <errorID>983f4b8d-9e10-49d5-9100-1a4ccd7502d1</errorID>
      <errorWord>~</errorWord>
      <group>L1_Format</group>
      <groupName>格式问题</groupName>
      <ability>L2_HalfPunc</ability>
      <abilityName>全半角检查</abilityName>
      <candidateList>
        <item>～</item>
      </candidateList>
      <explain>文本全半角错误。</explain>
      <paraID>201B9A45</paraID>
      <start>58</start>
      <end>59</end>
      <status>unmodified</status>
      <modifiedWord/>
      <trackRevisions>false</trackRevisions>
    </reviewItem>
    <reviewItem>
      <errorID>03e81693-a11e-4aab-bd4d-a2457f81b996</errorID>
      <errorWord>～</errorWord>
      <group>L1_Format</group>
      <groupName>格式问题</groupName>
      <ability>L2_HalfPunc</ability>
      <abilityName>全半角检查</abilityName>
      <candidateList>
        <item>~</item>
      </candidateList>
      <explain>文本全半角错误。</explain>
      <paraID>2FC9FF62</paraID>
      <start>1</start>
      <end>2</end>
      <status>unmodified</status>
      <modifiedWord/>
      <trackRevisions>false</trackRevisions>
    </reviewItem>
    <reviewItem>
      <errorID>3c617a80-d114-4886-b109-2f90b9e1c2a3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5DF9FF3D</paraID>
      <start>0</start>
      <end>2</end>
      <status>unmodified</status>
      <modifiedWord/>
      <trackRevisions>false</trackRevisions>
    </reviewItem>
    <reviewItem>
      <errorID>e8a3f4b7-478d-49ab-bdf5-886ebfa61ef3</errorID>
      <errorWord>(</errorWord>
      <group>L1_Format</group>
      <groupName>格式问题</groupName>
      <ability>L2_HalfPunc</ability>
      <abilityName>全半角检查</abilityName>
      <candidateList>
        <item>（</item>
      </candidateList>
      <explain>文本全半角错误。</explain>
      <paraID>4B151B0A</paraID>
      <start>16</start>
      <end>17</end>
      <status>unmodified</status>
      <modifiedWord/>
      <trackRevisions>false</trackRevisions>
    </reviewItem>
    <reviewItem>
      <errorID>a609ffd4-b476-4371-9951-b489f86020fa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4B8474E4</paraID>
      <start>0</start>
      <end>2</end>
      <status>unmodified</status>
      <modifiedWord/>
      <trackRevisions>false</trackRevisions>
    </reviewItem>
    <reviewItem>
      <errorID>7f89573d-d239-47e6-bdaf-168af2c7a089</errorID>
      <errorWord>结核杆菌</errorWord>
      <group>L1_Knowledge</group>
      <groupName>知识性问题</groupName>
      <ability>L2_Term</ability>
      <abilityName>专业术语</abilityName>
      <candidateList>
        <item>结核分枝杆菌</item>
      </candidateList>
      <explain>医学名词[结核杆菌]为不规范表述或旧称，其规范书面表述为[结核分枝杆菌]。</explain>
      <paraID>6A186629</paraID>
      <start>0</start>
      <end>4</end>
      <status>unmodified</status>
      <modifiedWord/>
      <trackRevisions>false</trackRevisions>
    </reviewItem>
    <reviewItem>
      <errorID>75253f15-fe78-4f87-957e-68631dc40182</errorID>
      <errorWord>＞</errorWord>
      <group>L1_Format</group>
      <groupName>格式问题</groupName>
      <ability>L2_HalfPunc</ability>
      <abilityName>全半角检查</abilityName>
      <candidateList>
        <item>&gt;</item>
      </candidateList>
      <explain>文本全半角错误。</explain>
      <paraID>1C1BAFEC</paraID>
      <start>0</start>
      <end>1</end>
      <status>unmodified</status>
      <modifiedWord/>
      <trackRevisions>false</trackRevisions>
    </reviewItem>
    <reviewItem>
      <errorID>05cc9b0d-6d35-4bae-a551-45cbd0e84db4</errorID>
      <errorWord>结核杆菌</errorWord>
      <group>L1_Knowledge</group>
      <groupName>知识性问题</groupName>
      <ability>L2_Term</ability>
      <abilityName>专业术语</abilityName>
      <candidateList>
        <item>结核分枝杆菌</item>
      </candidateList>
      <explain>医学名词[结核杆菌]为不规范表述或旧称，其规范书面表述为[结核分枝杆菌]。</explain>
      <paraID>18EF97BE</paraID>
      <start>0</start>
      <end>4</end>
      <status>unmodified</status>
      <modifiedWord/>
      <trackRevisions>false</trackRevisions>
    </reviewItem>
    <reviewItem>
      <errorID>3621b23c-142f-4988-a80c-8207fbcc37df</errorID>
      <errorWord>＞</errorWord>
      <group>L1_Format</group>
      <groupName>格式问题</groupName>
      <ability>L2_HalfPunc</ability>
      <abilityName>全半角检查</abilityName>
      <candidateList>
        <item>&gt;</item>
      </candidateList>
      <explain>文本全半角错误。</explain>
      <paraID>26C9A110</paraID>
      <start>0</start>
      <end>1</end>
      <status>unmodified</status>
      <modifiedWord/>
      <trackRevisions>false</trackRevisions>
    </reviewItem>
    <reviewItem>
      <errorID>745c4603-fa22-4369-b451-b5d264b2cae7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40E9F2B2</paraID>
      <start>0</start>
      <end>2</end>
      <status>unmodified</status>
      <modifiedWord/>
      <trackRevisions>false</trackRevisions>
    </reviewItem>
    <reviewItem>
      <errorID>c29bf756-8e11-4dc6-b868-8701a9cba5a6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372A0F53</paraID>
      <start>27</start>
      <end>28</end>
      <status>unmodified</status>
      <modifiedWord/>
      <trackRevisions>false</trackRevisions>
    </reviewItem>
    <reviewItem>
      <errorID>1ca656e4-f65b-46c0-8a35-5fb82463fd62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6D189499</paraID>
      <start>0</start>
      <end>2</end>
      <status>unmodified</status>
      <modifiedWord/>
      <trackRevisions>false</trackRevisions>
    </reviewItem>
    <reviewItem>
      <errorID>f31280d6-394c-4a0c-85b0-56ac60166411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789F2A81</paraID>
      <start>0</start>
      <end>2</end>
      <status>unmodified</status>
      <modifiedWord/>
      <trackRevisions>false</trackRevisions>
    </reviewItem>
    <reviewItem>
      <errorID>46ea02d2-89da-4b2d-927f-8ba3000fb517</errorID>
      <errorWord>：</errorWord>
      <group>L1_Format</group>
      <groupName>格式问题</groupName>
      <ability>L2_HalfPunc</ability>
      <abilityName>全半角检查</abilityName>
      <candidateList>
        <item>:</item>
      </candidateList>
      <explain>文本全半角错误。</explain>
      <paraID>4C4F3AF3</paraID>
      <start>83</start>
      <end>84</end>
      <status>unmodified</status>
      <modifiedWord/>
      <trackRevisions>false</trackRevisions>
    </reviewItem>
    <reviewItem>
      <errorID>eb85d299-e53d-4c63-b971-79eb4af85757</errorID>
      <errorWord>：</errorWord>
      <group>L1_Format</group>
      <groupName>格式问题</groupName>
      <ability>L2_HalfPunc</ability>
      <abilityName>全半角检查</abilityName>
      <candidateList>
        <item>:</item>
      </candidateList>
      <explain>文本全半角错误。</explain>
      <paraID>4C4F3AF3</paraID>
      <start>89</start>
      <end>90</end>
      <status>unmodified</status>
      <modifiedWord/>
      <trackRevisions>false</trackRevisions>
    </reviewItem>
    <reviewItem>
      <errorID>1d0d682a-9f98-48ff-a836-a678b2d58470</errorID>
      <errorWord>00）、</errorWord>
      <group>L1_Punc</group>
      <groupName>标点问题</groupName>
      <ability>L2_Punc</ability>
      <abilityName>标点符号检查</abilityName>
      <candidateList>
        <item>00）</item>
      </candidateList>
      <explain>根据国标GB/T 15834-2011《标点符号用法》中的4.5.3.3节，带括号的汉字数字或阿拉伯数字表次序时，后面通常不加顿号。如“（一）指导思想”“（二）行动指南”。</explain>
      <paraID>4C4F3AF3</paraID>
      <start>90</start>
      <end>94</end>
      <status>unmodified</status>
      <modifiedWord/>
      <trackRevisions>false</trackRevisions>
    </reviewItem>
    <reviewItem>
      <errorID>ac0e28e9-2a83-44ce-a2ce-f911c718cab9</errorID>
      <errorWord>：</errorWord>
      <group>L1_Format</group>
      <groupName>格式问题</groupName>
      <ability>L2_HalfPunc</ability>
      <abilityName>全半角检查</abilityName>
      <candidateList>
        <item>:</item>
      </candidateList>
      <explain>文本全半角错误。</explain>
      <paraID>4C4F3AF3</paraID>
      <start>101</start>
      <end>102</end>
      <status>unmodified</status>
      <modifiedWord/>
      <trackRevisions>false</trackRevisions>
    </reviewItem>
    <reviewItem>
      <errorID>1789da74-fdb5-4624-af81-6adb0fa06d09</errorID>
      <errorWord>：</errorWord>
      <group>L1_Format</group>
      <groupName>格式问题</groupName>
      <ability>L2_HalfPunc</ability>
      <abilityName>全半角检查</abilityName>
      <candidateList>
        <item>:</item>
      </candidateList>
      <explain>文本全半角错误。</explain>
      <paraID>4C4F3AF3</paraID>
      <start>107</start>
      <end>108</end>
      <status>unmodified</status>
      <modifiedWord/>
      <trackRevisions>false</trackRevisions>
    </reviewItem>
    <reviewItem>
      <errorID>9886d720-df1d-451f-89a1-e20a3e8cac9f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14A91079</paraID>
      <start>0</start>
      <end>2</end>
      <status>unmodified</status>
      <modifiedWord/>
      <trackRevisions>false</trackRevisions>
    </reviewItem>
    <reviewItem>
      <errorID>3a0937f5-161b-461a-80a4-e7fcb3c45e83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43A45174</paraID>
      <start>0</start>
      <end>2</end>
      <status>unmodified</status>
      <modifiedWord/>
      <trackRevisions>false</trackRevisions>
    </reviewItem>
    <reviewItem>
      <errorID>d68fcc8c-bfdf-4824-af0c-4068e2f7fabb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4A278D2</paraID>
      <start>0</start>
      <end>2</end>
      <status>unmodified</status>
      <modifiedWord/>
      <trackRevisions>false</trackRevisions>
    </reviewItem>
    <reviewItem>
      <errorID>69a02174-1639-41da-87cf-c01310983241</errorID>
      <errorWord>-</errorWord>
      <group>L1_Format</group>
      <groupName>格式问题</groupName>
      <ability>L2_HalfPunc</ability>
      <abilityName>全半角检查</abilityName>
      <candidateList>
        <item>－</item>
      </candidateList>
      <explain>文本全半角错误。</explain>
      <paraID>3024EB6E</paraID>
      <start>214</start>
      <end>215</end>
      <status>unmodified</status>
      <modifiedWord/>
      <trackRevisions>false</trackRevisions>
    </reviewItem>
    <reviewItem>
      <errorID>08fa8692-d934-40f5-b2f6-03ce4e448702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3D236F15</paraID>
      <start>0</start>
      <end>2</end>
      <status>unmodified</status>
      <modifiedWord/>
      <trackRevisions>false</trackRevisions>
    </reviewItem>
    <reviewItem>
      <errorID>99125c64-8560-455d-89e7-a2a7b3bfa013</errorID>
      <errorWord>（</errorWord>
      <group>L1_Format</group>
      <groupName>格式问题</groupName>
      <ability>L2_HalfPunc</ability>
      <abilityName>全半角检查</abilityName>
      <candidateList>
        <item>(</item>
      </candidateList>
      <explain>文本全半角错误。</explain>
      <paraID>5BA737D8</paraID>
      <start>0</start>
      <end>1</end>
      <status>unmodified</status>
      <modifiedWord/>
      <trackRevisions>false</trackRevisions>
    </reviewItem>
    <reviewItem>
      <errorID>f33f7ff1-edf6-4f3d-b754-11205334a276</errorID>
      <errorWord>）</errorWord>
      <group>L1_Format</group>
      <groupName>格式问题</groupName>
      <ability>L2_HalfPunc</ability>
      <abilityName>全半角检查</abilityName>
      <candidateList>
        <item>)</item>
      </candidateList>
      <explain>文本全半角错误。</explain>
      <paraID>5BA737D8</paraID>
      <start>4</start>
      <end>5</end>
      <status>unmodified</status>
      <modifiedWord/>
      <trackRevisions>false</trackRevisions>
    </reviewItem>
    <reviewItem>
      <errorID>86b01433-ecc0-448d-8d0b-160bb795517e</errorID>
      <errorWord>(</errorWord>
      <group>L1_Format</group>
      <groupName>格式问题</groupName>
      <ability>L2_HalfPunc</ability>
      <abilityName>全半角检查</abilityName>
      <candidateList>
        <item>（</item>
      </candidateList>
      <explain>文本全半角错误。</explain>
      <paraID> F36940A</paraID>
      <start>4</start>
      <end>5</end>
      <status>unmodified</status>
      <modifiedWord/>
      <trackRevisions>false</trackRevisions>
    </reviewItem>
    <reviewItem>
      <errorID>ae4609ec-da8f-418e-86e5-14dc0300fdb2</errorID>
      <errorWord>)</errorWord>
      <group>L1_Format</group>
      <groupName>格式问题</groupName>
      <ability>L2_HalfPunc</ability>
      <abilityName>全半角检查</abilityName>
      <candidateList>
        <item>）</item>
      </candidateList>
      <explain>文本全半角错误。</explain>
      <paraID> F36940A</paraID>
      <start>9</start>
      <end>10</end>
      <status>unmodified</status>
      <modifiedWord/>
      <trackRevisions>false</trackRevisions>
    </reviewItem>
    <reviewItem>
      <errorID>44a9e9a4-e482-4b72-85a2-6f1a71a21eb7</errorID>
      <errorWord>(</errorWord>
      <group>L1_Format</group>
      <groupName>格式问题</groupName>
      <ability>L2_HalfPunc</ability>
      <abilityName>全半角检查</abilityName>
      <candidateList>
        <item>（</item>
      </candidateList>
      <explain>文本全半角错误。</explain>
      <paraID>2B13601E</paraID>
      <start>5</start>
      <end>6</end>
      <status>unmodified</status>
      <modifiedWord/>
      <trackRevisions>false</trackRevisions>
    </reviewItem>
    <reviewItem>
      <errorID>1037fbcd-9bc2-46f0-9408-322bdf32b35d</errorID>
      <errorWord>)</errorWord>
      <group>L1_Format</group>
      <groupName>格式问题</groupName>
      <ability>L2_HalfPunc</ability>
      <abilityName>全半角检查</abilityName>
      <candidateList>
        <item>）</item>
      </candidateList>
      <explain>文本全半角错误。</explain>
      <paraID>2B13601E</paraID>
      <start>10</start>
      <end>11</end>
      <status>unmodified</status>
      <modifiedWord/>
      <trackRevisions>false</trackRevisions>
    </reviewItem>
    <reviewItem>
      <errorID>39fb8341-ada8-4825-8ab2-4d69299cfdb1</errorID>
      <errorWord>（</errorWord>
      <group>L1_Format</group>
      <groupName>格式问题</groupName>
      <ability>L2_HalfPunc</ability>
      <abilityName>全半角检查</abilityName>
      <candidateList>
        <item>(</item>
      </candidateList>
      <explain>文本全半角错误。</explain>
      <paraID>422E8A5C</paraID>
      <start>4</start>
      <end>5</end>
      <status>unmodified</status>
      <modifiedWord/>
      <trackRevisions>false</trackRevisions>
    </reviewItem>
    <reviewItem>
      <errorID>3e9c2046-275f-47ac-b09a-030ba85ca851</errorID>
      <errorWord>）</errorWord>
      <group>L1_Format</group>
      <groupName>格式问题</groupName>
      <ability>L2_HalfPunc</ability>
      <abilityName>全半角检查</abilityName>
      <candidateList>
        <item>)</item>
      </candidateList>
      <explain>文本全半角错误。</explain>
      <paraID>422E8A5C</paraID>
      <start>10</start>
      <end>11</end>
      <status>unmodified</status>
      <modifiedWord/>
      <trackRevisions>false</trackRevisions>
    </reviewItem>
    <reviewItem>
      <errorID>57e943c0-f568-4a2c-a992-969665ddfe0e</errorID>
      <errorWord>(</errorWord>
      <group>L1_Format</group>
      <groupName>格式问题</groupName>
      <ability>L2_HalfPunc</ability>
      <abilityName>全半角检查</abilityName>
      <candidateList>
        <item>（</item>
      </candidateList>
      <explain>文本全半角错误。</explain>
      <paraID>760D6C41</paraID>
      <start>4</start>
      <end>5</end>
      <status>unmodified</status>
      <modifiedWord/>
      <trackRevisions>false</trackRevisions>
    </reviewItem>
    <reviewItem>
      <errorID>510c2014-fab8-40cb-a137-4fb510166039</errorID>
      <errorWord>)</errorWord>
      <group>L1_Format</group>
      <groupName>格式问题</groupName>
      <ability>L2_HalfPunc</ability>
      <abilityName>全半角检查</abilityName>
      <candidateList>
        <item>）</item>
      </candidateList>
      <explain>文本全半角错误。</explain>
      <paraID>760D6C41</paraID>
      <start>9</start>
      <end>10</end>
      <status>unmodified</status>
      <modifiedWord/>
      <trackRevisions>false</trackRevisions>
    </reviewItem>
    <reviewItem>
      <errorID>d342adbf-f6f5-4917-9193-de4d3afcc3c2</errorID>
      <errorWord>(</errorWord>
      <group>L1_Format</group>
      <groupName>格式问题</groupName>
      <ability>L2_HalfPunc</ability>
      <abilityName>全半角检查</abilityName>
      <candidateList>
        <item>（</item>
      </candidateList>
      <explain>文本全半角错误。</explain>
      <paraID>4764A603</paraID>
      <start>4</start>
      <end>5</end>
      <status>unmodified</status>
      <modifiedWord/>
      <trackRevisions>false</trackRevisions>
    </reviewItem>
    <reviewItem>
      <errorID>bf7db971-5184-4171-8730-f6d45027c88f</errorID>
      <errorWord>)</errorWord>
      <group>L1_Format</group>
      <groupName>格式问题</groupName>
      <ability>L2_HalfPunc</ability>
      <abilityName>全半角检查</abilityName>
      <candidateList>
        <item>）</item>
      </candidateList>
      <explain>文本全半角错误。</explain>
      <paraID>4764A603</paraID>
      <start>9</start>
      <end>10</end>
      <status>unmodified</status>
      <modifiedWord/>
      <trackRevisions>false</trackRevisions>
    </reviewItem>
    <reviewItem>
      <errorID>68bb192a-bf34-4091-8d7e-7cb4092917cb</errorID>
      <errorWord>(</errorWord>
      <group>L1_Format</group>
      <groupName>格式问题</groupName>
      <ability>L2_HalfPunc</ability>
      <abilityName>全半角检查</abilityName>
      <candidateList>
        <item>（</item>
      </candidateList>
      <explain>文本全半角错误。</explain>
      <paraID>55A76742</paraID>
      <start>4</start>
      <end>5</end>
      <status>unmodified</status>
      <modifiedWord/>
      <trackRevisions>false</trackRevisions>
    </reviewItem>
    <reviewItem>
      <errorID>fabe7599-e51a-4f2e-90f2-6f3721f07f9b</errorID>
      <errorWord>)</errorWord>
      <group>L1_Format</group>
      <groupName>格式问题</groupName>
      <ability>L2_HalfPunc</ability>
      <abilityName>全半角检查</abilityName>
      <candidateList>
        <item>）</item>
      </candidateList>
      <explain>文本全半角错误。</explain>
      <paraID>55A76742</paraID>
      <start>9</start>
      <end>10</end>
      <status>unmodified</status>
      <modifiedWord/>
      <trackRevisions>false</trackRevisions>
    </reviewItem>
    <reviewItem>
      <errorID>bdd19ca4-3362-4763-bb01-01ef9599edc3</errorID>
      <errorWord>(</errorWord>
      <group>L1_Format</group>
      <groupName>格式问题</groupName>
      <ability>L2_HalfPunc</ability>
      <abilityName>全半角检查</abilityName>
      <candidateList>
        <item>（</item>
      </candidateList>
      <explain>文本全半角错误。</explain>
      <paraID>2F0686A9</paraID>
      <start>4</start>
      <end>5</end>
      <status>unmodified</status>
      <modifiedWord/>
      <trackRevisions>false</trackRevisions>
    </reviewItem>
    <reviewItem>
      <errorID>b78198e9-10a1-4136-bb02-511a750b9afd</errorID>
      <errorWord>)</errorWord>
      <group>L1_Format</group>
      <groupName>格式问题</groupName>
      <ability>L2_HalfPunc</ability>
      <abilityName>全半角检查</abilityName>
      <candidateList>
        <item>）</item>
      </candidateList>
      <explain>文本全半角错误。</explain>
      <paraID>2F0686A9</paraID>
      <start>9</start>
      <end>10</end>
      <status>unmodified</status>
      <modifiedWord/>
      <trackRevisions>false</trackRevisions>
    </reviewItem>
    <reviewItem>
      <errorID>2bcb5819-619c-4eb4-b8a6-e466181735aa</errorID>
      <errorWord>(</errorWord>
      <group>L1_Format</group>
      <groupName>格式问题</groupName>
      <ability>L2_HalfPunc</ability>
      <abilityName>全半角检查</abilityName>
      <candidateList>
        <item>（</item>
      </candidateList>
      <explain>文本全半角错误。</explain>
      <paraID>61C07272</paraID>
      <start>5</start>
      <end>6</end>
      <status>unmodified</status>
      <modifiedWord/>
      <trackRevisions>false</trackRevisions>
    </reviewItem>
    <reviewItem>
      <errorID>a6f01774-8d6b-4d60-92bc-43e18e64f21e</errorID>
      <errorWord>)</errorWord>
      <group>L1_Format</group>
      <groupName>格式问题</groupName>
      <ability>L2_HalfPunc</ability>
      <abilityName>全半角检查</abilityName>
      <candidateList>
        <item>）</item>
      </candidateList>
      <explain>文本全半角错误。</explain>
      <paraID>61C07272</paraID>
      <start>10</start>
      <end>11</end>
      <status>unmodified</status>
      <modifiedWord/>
      <trackRevisions>false</trackRevisions>
    </reviewItem>
    <reviewItem>
      <errorID>f69cb0ac-77ef-43d9-bbaa-12756b08b238</errorID>
      <errorWord>（</errorWord>
      <group>L1_Format</group>
      <groupName>格式问题</groupName>
      <ability>L2_HalfPunc</ability>
      <abilityName>全半角检查</abilityName>
      <candidateList>
        <item>(</item>
      </candidateList>
      <explain>文本全半角错误。</explain>
      <paraID>1816A9C2</paraID>
      <start>4</start>
      <end>5</end>
      <status>unmodified</status>
      <modifiedWord/>
      <trackRevisions>false</trackRevisions>
    </reviewItem>
    <reviewItem>
      <errorID>5553ec09-816c-4aa1-9aee-a3d53c8b29a0</errorID>
      <errorWord>）</errorWord>
      <group>L1_Format</group>
      <groupName>格式问题</groupName>
      <ability>L2_HalfPunc</ability>
      <abilityName>全半角检查</abilityName>
      <candidateList>
        <item>)</item>
      </candidateList>
      <explain>文本全半角错误。</explain>
      <paraID>1816A9C2</paraID>
      <start>10</start>
      <end>11</end>
      <status>unmodified</status>
      <modifiedWord/>
      <trackRevisions>false</trackRevisions>
    </reviewItem>
    <reviewItem>
      <errorID>5c098073-8f05-4d6c-b372-6a13b998c05f</errorID>
      <errorWord>(</errorWord>
      <group>L1_Format</group>
      <groupName>格式问题</groupName>
      <ability>L2_HalfPunc</ability>
      <abilityName>全半角检查</abilityName>
      <candidateList>
        <item>（</item>
      </candidateList>
      <explain>文本全半角错误。</explain>
      <paraID>10527D30</paraID>
      <start>36</start>
      <end>37</end>
      <status>unmodified</status>
      <modifiedWord/>
      <trackRevisions>false</trackRevisions>
    </reviewItem>
    <reviewItem>
      <errorID>5d242b10-0c49-4057-8611-df7695d7ab13</errorID>
      <errorWord>)</errorWord>
      <group>L1_Format</group>
      <groupName>格式问题</groupName>
      <ability>L2_HalfPunc</ability>
      <abilityName>全半角检查</abilityName>
      <candidateList>
        <item>）</item>
      </candidateList>
      <explain>文本全半角错误。</explain>
      <paraID>10527D30</paraID>
      <start>41</start>
      <end>42</end>
      <status>unmodified</status>
      <modifiedWord/>
      <trackRevisions>false</trackRevisions>
    </reviewItem>
    <reviewItem>
      <errorID>4c0014ec-e20a-4814-8473-db3620ae7686</errorID>
      <errorWord>（</errorWord>
      <group>L1_Format</group>
      <groupName>格式问题</groupName>
      <ability>L2_HalfPunc</ability>
      <abilityName>全半角检查</abilityName>
      <candidateList>
        <item>(</item>
      </candidateList>
      <explain>文本全半角错误。</explain>
      <paraID>791C8BDC</paraID>
      <start>4</start>
      <end>5</end>
      <status>unmodified</status>
      <modifiedWord/>
      <trackRevisions>false</trackRevisions>
    </reviewItem>
    <reviewItem>
      <errorID>0edccb42-9087-45f0-8aa6-1c0701e6260c</errorID>
      <errorWord>）</errorWord>
      <group>L1_Format</group>
      <groupName>格式问题</groupName>
      <ability>L2_HalfPunc</ability>
      <abilityName>全半角检查</abilityName>
      <candidateList>
        <item>)</item>
      </candidateList>
      <explain>文本全半角错误。</explain>
      <paraID>791C8BDC</paraID>
      <start>10</start>
      <end>11</end>
      <status>unmodified</status>
      <modifiedWord/>
      <trackRevisions>false</trackRevisions>
    </reviewItem>
    <reviewItem>
      <errorID>52ea1e7f-ab85-4d9e-b2e7-45ef769edd84</errorID>
      <errorWord>格栅</errorWord>
      <group>L1_Word</group>
      <groupName>字词问题</groupName>
      <ability>L2_Typo</ability>
      <abilityName>字词错误</abilityName>
      <candidateList>
        <item>隔栅</item>
      </candidateList>
      <explain/>
      <paraID>474424BE</paraID>
      <start>394</start>
      <end>396</end>
      <status>unmodified</status>
      <modifiedWord/>
      <trackRevisions>false</trackRevisions>
    </reviewItem>
    <reviewItem>
      <errorID>6540f452-f959-4b79-8027-89e3708e11b4</errorID>
      <errorWord>达</errorWord>
      <group>L1_Word</group>
      <groupName>字词问题</groupName>
      <ability>L2_Typo</ability>
      <abilityName>字词错误</abilityName>
      <candidateList>
        <item>达到</item>
      </candidateList>
      <explain>〈动〉到（多指抽象事物或程度）：达得到｜达不到｜目的没有～｜～国际水平。</explain>
      <paraID>13E5C755</paraID>
      <start>22</start>
      <end>23</end>
      <status>unmodified</status>
      <modifiedWord/>
      <trackRevisions>false</trackRevisions>
    </reviewItem>
    <reviewItem>
      <errorID>9bbe6ee7-7646-4a7b-bc9c-03cf411e9aab</errorID>
      <errorWord>污水厂</errorWord>
      <group>L1_Word</group>
      <groupName>字词问题</groupName>
      <ability>L2_Typo</ability>
      <abilityName>字词错误</abilityName>
      <candidateList>
        <item>污水处理厂</item>
      </candidateList>
      <explain/>
      <paraID>13E5C755</paraID>
      <start>265</start>
      <end>268</end>
      <status>unmodified</status>
      <modifiedWord/>
      <trackRevisions>false</trackRevisions>
    </reviewItem>
    <reviewItem>
      <errorID>caf9db67-7d53-4000-a16b-e7aec070dabe</errorID>
      <errorWord>位</errorWord>
      <group>L1_Word</group>
      <groupName>字词问题</groupName>
      <ability>L2_Typo</ability>
      <abilityName>字词错误</abilityName>
      <candidateList>
        <item>位要</item>
      </candidateList>
      <explain/>
      <paraID>3DA7508B</paraID>
      <start>35</start>
      <end>36</end>
      <status>unmodified</status>
      <modifiedWord/>
      <trackRevisions>false</trackRevisions>
    </reviewItem>
    <reviewItem>
      <errorID>0090df3f-6c1e-4a4a-afd9-a79dd4cd3ded</errorID>
      <errorWord>结核杆菌</errorWord>
      <group>L1_Knowledge</group>
      <groupName>知识性问题</groupName>
      <ability>L2_Term</ability>
      <abilityName>专业术语</abilityName>
      <candidateList>
        <item>结核分枝杆菌</item>
      </candidateList>
      <explain>医学名词[结核杆菌]为不规范表述或旧称，其规范书面表述为[结核分枝杆菌]。</explain>
      <paraID>66D5760A</paraID>
      <start>0</start>
      <end>4</end>
      <status>unmodified</status>
      <modifiedWord/>
      <trackRevisions>false</trackRevisions>
    </reviewItem>
    <reviewItem>
      <errorID>de735281-2079-4b9e-a892-37d83c20ec8f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6CAE6F56</paraID>
      <start>0</start>
      <end>2</end>
      <status>unmodified</status>
      <modifiedWord/>
      <trackRevisions>false</trackRevisions>
    </reviewItem>
    <reviewItem>
      <errorID>5f42d462-1f6b-4f60-b38f-09b758a58742</errorID>
      <errorWord>)</errorWord>
      <group>L1_Format</group>
      <groupName>格式问题</groupName>
      <ability>L2_HalfPunc</ability>
      <abilityName>全半角检查</abilityName>
      <candidateList>
        <item>）</item>
      </candidateList>
      <explain>文本全半角错误。</explain>
      <paraID>389B4B1C</paraID>
      <start>74</start>
      <end>75</end>
      <status>unmodified</status>
      <modifiedWord/>
      <trackRevisions>false</trackRevisions>
    </reviewItem>
    <reviewItem>
      <errorID>e2798bab-cea3-4b25-ad01-4f5ae64beb75</errorID>
      <errorWord>（</errorWord>
      <group>L1_Format</group>
      <groupName>格式问题</groupName>
      <ability>L2_HalfPunc</ability>
      <abilityName>全半角检查</abilityName>
      <candidateList>
        <item>(</item>
      </candidateList>
      <explain>文本全半角错误。</explain>
      <paraID> A9D366C</paraID>
      <start>4</start>
      <end>5</end>
      <status>unmodified</status>
      <modifiedWord/>
      <trackRevisions>false</trackRevisions>
    </reviewItem>
    <reviewItem>
      <errorID>bb2b91ee-5ed2-4dd6-8e65-9f18340fb9e7</errorID>
      <errorWord>）</errorWord>
      <group>L1_Format</group>
      <groupName>格式问题</groupName>
      <ability>L2_HalfPunc</ability>
      <abilityName>全半角检查</abilityName>
      <candidateList>
        <item>)</item>
      </candidateList>
      <explain>文本全半角错误。</explain>
      <paraID> A9D366C</paraID>
      <start>7</start>
      <end>8</end>
      <status>unmodified</status>
      <modifiedWord/>
      <trackRevisions>false</trackRevisions>
    </reviewItem>
    <reviewItem>
      <errorID>6b61a74a-2c8a-4c85-a1ce-8b4956a94b13</errorID>
      <errorWord>减震措施</errorWord>
      <group>L1_Knowledge</group>
      <groupName>知识性问题</groupName>
      <ability>L2_Term</ability>
      <abilityName>专业术语</abilityName>
      <candidateList>
        <item>减振措施</item>
      </candidateList>
      <explain/>
      <paraID>4F4908B2</paraID>
      <start>36</start>
      <end>40</end>
      <status>unmodified</status>
      <modifiedWord/>
      <trackRevisions>false</trackRevisions>
    </reviewItem>
    <reviewItem>
      <errorID>82202b56-d1ee-4b9d-96a4-9518e040018b</errorID>
      <errorWord>)</errorWord>
      <group>L1_Format</group>
      <groupName>格式问题</groupName>
      <ability>L2_HalfPunc</ability>
      <abilityName>全半角检查</abilityName>
      <candidateList>
        <item>）</item>
      </candidateList>
      <explain>文本全半角错误。</explain>
      <paraID>6A5AC88B</paraID>
      <start>31</start>
      <end>32</end>
      <status>unmodified</status>
      <modifiedWord/>
      <trackRevisions>false</trackRevisions>
    </reviewItem>
    <reviewItem>
      <errorID>ac831e8d-8f73-46d9-92e1-158ceafb7ad2</errorID>
      <errorWord>(</errorWord>
      <group>L1_Format</group>
      <groupName>格式问题</groupName>
      <ability>L2_HalfPunc</ability>
      <abilityName>全半角检查</abilityName>
      <candidateList>
        <item>（</item>
      </candidateList>
      <explain>文本全半角错误。</explain>
      <paraID>35F36916</paraID>
      <start>18</start>
      <end>19</end>
      <status>unmodified</status>
      <modifiedWord/>
      <trackRevisions>false</trackRevisions>
    </reviewItem>
    <reviewItem>
      <errorID>111892d9-55de-4db0-8a1e-6a2cb04cb35a</errorID>
      <errorWord>)</errorWord>
      <group>L1_Format</group>
      <groupName>格式问题</groupName>
      <ability>L2_HalfPunc</ability>
      <abilityName>全半角检查</abilityName>
      <candidateList>
        <item>）</item>
      </candidateList>
      <explain>文本全半角错误。</explain>
      <paraID>35F36916</paraID>
      <start>30</start>
      <end>31</end>
      <status>unmodified</status>
      <modifiedWord/>
      <trackRevisions>false</trackRevisions>
    </reviewItem>
    <reviewItem>
      <errorID>886e7149-f189-47cc-8658-bec643de7479</errorID>
      <errorWord>（</errorWord>
      <group>L1_Format</group>
      <groupName>格式问题</groupName>
      <ability>L2_HalfPunc</ability>
      <abilityName>全半角检查</abilityName>
      <candidateList>
        <item>(</item>
      </candidateList>
      <explain>文本全半角错误。</explain>
      <paraID>17DFD926</paraID>
      <start>2</start>
      <end>3</end>
      <status>unmodified</status>
      <modifiedWord/>
      <trackRevisions>false</trackRevisions>
    </reviewItem>
    <reviewItem>
      <errorID>b8473e22-c0ea-4a93-8883-5c5dff0c740a</errorID>
      <errorWord>）</errorWord>
      <group>L1_Format</group>
      <groupName>格式问题</groupName>
      <ability>L2_HalfPunc</ability>
      <abilityName>全半角检查</abilityName>
      <candidateList>
        <item>)</item>
      </candidateList>
      <explain>文本全半角错误。</explain>
      <paraID>17DFD926</paraID>
      <start>4</start>
      <end>5</end>
      <status>unmodified</status>
      <modifiedWord/>
      <trackRevisions>false</trackRevisions>
    </reviewItem>
    <reviewItem>
      <errorID>25f8edef-f7f9-464e-ab6d-3c5184d48da2</errorID>
      <errorWord>（</errorWord>
      <group>L1_Format</group>
      <groupName>格式问题</groupName>
      <ability>L2_HalfPunc</ability>
      <abilityName>全半角检查</abilityName>
      <candidateList>
        <item>(</item>
      </candidateList>
      <explain>文本全半角错误。</explain>
      <paraID>63FFEC26</paraID>
      <start>2</start>
      <end>3</end>
      <status>unmodified</status>
      <modifiedWord/>
      <trackRevisions>false</trackRevisions>
    </reviewItem>
    <reviewItem>
      <errorID>78edfe0e-1f42-40e9-911d-3d19b1243ca6</errorID>
      <errorWord>）</errorWord>
      <group>L1_Format</group>
      <groupName>格式问题</groupName>
      <ability>L2_HalfPunc</ability>
      <abilityName>全半角检查</abilityName>
      <candidateList>
        <item>)</item>
      </candidateList>
      <explain>文本全半角错误。</explain>
      <paraID>63FFEC26</paraID>
      <start>4</start>
      <end>5</end>
      <status>unmodified</status>
      <modifiedWord/>
      <trackRevisions>false</trackRevisions>
    </reviewItem>
    <reviewItem>
      <errorID>1de1cc3c-4224-4e52-8f62-b32391f94cb3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510EA6B8</paraID>
      <start>0</start>
      <end>2</end>
      <status>unmodified</status>
      <modifiedWord/>
      <trackRevisions>false</trackRevisions>
    </reviewItem>
    <reviewItem>
      <errorID>87ca211d-d193-498a-a639-47d7a112527c</errorID>
      <errorWord>~</errorWord>
      <group>L1_Format</group>
      <groupName>格式问题</groupName>
      <ability>L2_HalfPunc</ability>
      <abilityName>全半角检查</abilityName>
      <candidateList>
        <item>～</item>
      </candidateList>
      <explain>文本全半角错误。</explain>
      <paraID> 748FB98</paraID>
      <start>14</start>
      <end>15</end>
      <status>unmodified</status>
      <modifiedWord/>
      <trackRevisions>false</trackRevisions>
    </reviewItem>
    <reviewItem>
      <errorID>a290a2a4-0dfc-492f-b204-dff6d1ad9818</errorID>
      <errorWord>、</errorWord>
      <group>L1_Punc</group>
      <groupName>标点问题</groupName>
      <ability>L2_Punc</ability>
      <abilityName>标点符号检查</abilityName>
      <candidateList>
        <item>.</item>
      </candidateList>
      <explain/>
      <paraID>78459165</paraID>
      <start>1</start>
      <end>2</end>
      <status>unmodified</status>
      <modifiedWord/>
      <trackRevisions>false</trackRevisions>
    </reviewItem>
    <reviewItem>
      <errorID>427a8eea-74c7-498d-94c2-76bddfbd10a3</errorID>
      <errorWord>、</errorWord>
      <group>L1_Punc</group>
      <groupName>标点问题</groupName>
      <ability>L2_Punc</ability>
      <abilityName>标点符号检查</abilityName>
      <candidateList>
        <item>.</item>
      </candidateList>
      <explain/>
      <paraID>6F42B2C2</paraID>
      <start>1</start>
      <end>2</end>
      <status>unmodified</status>
      <modifiedWord/>
      <trackRevisions>false</trackRevisions>
    </reviewItem>
    <reviewItem>
      <errorID>c42ad926-c52c-4ea2-8284-12fea373346e</errorID>
      <errorWord>、</errorWord>
      <group>L1_Punc</group>
      <groupName>标点问题</groupName>
      <ability>L2_Punc</ability>
      <abilityName>标点符号检查</abilityName>
      <candidateList>
        <item>.</item>
      </candidateList>
      <explain/>
      <paraID> E8C99C8</paraID>
      <start>1</start>
      <end>2</end>
      <status>unmodified</status>
      <modifiedWord/>
      <trackRevisions>false</trackRevisions>
    </reviewItem>
    <reviewItem>
      <errorID>ef65459b-cdeb-4657-8e2d-9b04299693cc</errorID>
      <errorWord>(</errorWord>
      <group>L1_Format</group>
      <groupName>格式问题</groupName>
      <ability>L2_HalfPunc</ability>
      <abilityName>全半角检查</abilityName>
      <candidateList>
        <item>（</item>
      </candidateList>
      <explain>文本全半角错误。</explain>
      <paraID>74A7470B</paraID>
      <start>64</start>
      <end>65</end>
      <status>unmodified</status>
      <modifiedWord/>
      <trackRevisions>false</trackRevisions>
    </reviewItem>
    <reviewItem>
      <errorID>06378baa-1f17-4cee-998c-247df95b0b62</errorID>
      <errorWord>)</errorWord>
      <group>L1_Format</group>
      <groupName>格式问题</groupName>
      <ability>L2_HalfPunc</ability>
      <abilityName>全半角检查</abilityName>
      <candidateList>
        <item>）</item>
      </candidateList>
      <explain>文本全半角错误。</explain>
      <paraID>74A7470B</paraID>
      <start>68</start>
      <end>69</end>
      <status>unmodified</status>
      <modifiedWord/>
      <trackRevisions>false</trackRevisions>
    </reviewItem>
    <reviewItem>
      <errorID>72062762-9b26-4d76-9f8f-55ff0706664b</errorID>
      <errorWord>病菌类</errorWord>
      <group>L1_Word</group>
      <groupName>字词问题</groupName>
      <ability>L2_Typo</ability>
      <abilityName>字词错误</abilityName>
      <candidateList>
        <item>病菌</item>
      </candidateList>
      <explain/>
      <paraID>74A7470B</paraID>
      <start>109</start>
      <end>112</end>
      <status>unmodified</status>
      <modifiedWord/>
      <trackRevisions>false</trackRevisions>
    </reviewItem>
    <reviewItem>
      <errorID>5d2bb95b-efee-4c5a-a02d-22635274cbe3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4C88DDC8</paraID>
      <start>260</start>
      <end>263</end>
      <status>unmodified</status>
      <modifiedWord/>
      <trackRevisions>false</trackRevisions>
    </reviewItem>
    <reviewItem>
      <errorID>1fceeba1-ca96-457a-8542-4c86f26708db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4C88DDC8</paraID>
      <start>273</start>
      <end>276</end>
      <status>unmodified</status>
      <modifiedWord/>
      <trackRevisions>false</trackRevisions>
    </reviewItem>
    <reviewItem>
      <errorID>bf68a228-cbab-401a-828c-865bacdef2fa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39B1107B</paraID>
      <start>39</start>
      <end>42</end>
      <status>unmodified</status>
      <modifiedWord/>
      <trackRevisions>false</trackRevisions>
    </reviewItem>
    <reviewItem>
      <errorID>1a739b87-a4fc-4496-983f-9d687b3b04b0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58D21BD1</paraID>
      <start>0</start>
      <end>2</end>
      <status>unmodified</status>
      <modifiedWord/>
      <trackRevisions>false</trackRevisions>
    </reviewItem>
    <reviewItem>
      <errorID>5c759468-8617-43bc-938d-b6faae0c94a7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F8218AA</paraID>
      <start>0</start>
      <end>2</end>
      <status>unmodified</status>
      <modifiedWord/>
      <trackRevisions>false</trackRevisions>
    </reviewItem>
    <reviewItem>
      <errorID>695824a3-1bef-4038-94e0-6c6569be87e3</errorID>
      <errorWord>(</errorWord>
      <group>L1_Format</group>
      <groupName>格式问题</groupName>
      <ability>L2_HalfPunc</ability>
      <abilityName>全半角检查</abilityName>
      <candidateList>
        <item>（</item>
      </candidateList>
      <explain>文本全半角错误。</explain>
      <paraID> F8218AA</paraID>
      <start>343</start>
      <end>344</end>
      <status>unmodified</status>
      <modifiedWord/>
      <trackRevisions>false</trackRevisions>
    </reviewItem>
    <reviewItem>
      <errorID>7e8f5875-a6ef-42fd-a4b7-4f46635bdd47</errorID>
      <errorWord>)</errorWord>
      <group>L1_Format</group>
      <groupName>格式问题</groupName>
      <ability>L2_HalfPunc</ability>
      <abilityName>全半角检查</abilityName>
      <candidateList>
        <item>）</item>
      </candidateList>
      <explain>文本全半角错误。</explain>
      <paraID> F8218AA</paraID>
      <start>357</start>
      <end>358</end>
      <status>unmodified</status>
      <modifiedWord/>
      <trackRevisions>false</trackRevisions>
    </reviewItem>
    <reviewItem>
      <errorID>faf6a170-509a-401d-b814-4340e1eb844c</errorID>
      <errorWord>(</errorWord>
      <group>L1_Format</group>
      <groupName>格式问题</groupName>
      <ability>L2_HalfPunc</ability>
      <abilityName>全半角检查</abilityName>
      <candidateList>
        <item>（</item>
      </candidateList>
      <explain>文本全半角错误。</explain>
      <paraID> F8218AA</paraID>
      <start>432</start>
      <end>433</end>
      <status>unmodified</status>
      <modifiedWord/>
      <trackRevisions>false</trackRevisions>
    </reviewItem>
    <reviewItem>
      <errorID>f2192af5-8935-4b0b-879b-a1da366d3c1b</errorID>
      <errorWord>)</errorWord>
      <group>L1_Format</group>
      <groupName>格式问题</groupName>
      <ability>L2_HalfPunc</ability>
      <abilityName>全半角检查</abilityName>
      <candidateList>
        <item>）</item>
      </candidateList>
      <explain>文本全半角错误。</explain>
      <paraID> F8218AA</paraID>
      <start>434</start>
      <end>435</end>
      <status>unmodified</status>
      <modifiedWord/>
      <trackRevisions>false</trackRevisions>
    </reviewItem>
    <reviewItem>
      <errorID>924e889e-b993-464a-8806-e13f4ee2e953</errorID>
      <errorWord>(</errorWord>
      <group>L1_Format</group>
      <groupName>格式问题</groupName>
      <ability>L2_HalfPunc</ability>
      <abilityName>全半角检查</abilityName>
      <candidateList>
        <item>（</item>
      </candidateList>
      <explain>文本全半角错误。</explain>
      <paraID> F8218AA</paraID>
      <start>449</start>
      <end>450</end>
      <status>unmodified</status>
      <modifiedWord/>
      <trackRevisions>false</trackRevisions>
    </reviewItem>
    <reviewItem>
      <errorID>c294a7e6-22e4-4cd7-b339-2bca9df2da3f</errorID>
      <errorWord>)</errorWord>
      <group>L1_Format</group>
      <groupName>格式问题</groupName>
      <ability>L2_HalfPunc</ability>
      <abilityName>全半角检查</abilityName>
      <candidateList>
        <item>）</item>
      </candidateList>
      <explain>文本全半角错误。</explain>
      <paraID> F8218AA</paraID>
      <start>451</start>
      <end>452</end>
      <status>unmodified</status>
      <modifiedWord/>
      <trackRevisions>false</trackRevisions>
    </reviewItem>
    <reviewItem>
      <errorID>255ad0b7-0605-4925-8de1-84b2b051095c</errorID>
      <errorWord>(</errorWord>
      <group>L1_Format</group>
      <groupName>格式问题</groupName>
      <ability>L2_HalfPunc</ability>
      <abilityName>全半角检查</abilityName>
      <candidateList>
        <item>（</item>
      </candidateList>
      <explain>文本全半角错误。</explain>
      <paraID> F8218AA</paraID>
      <start>463</start>
      <end>464</end>
      <status>unmodified</status>
      <modifiedWord/>
      <trackRevisions>false</trackRevisions>
    </reviewItem>
    <reviewItem>
      <errorID>a53d8389-9230-4e5a-a3cf-7bcacfa8f3f1</errorID>
      <errorWord>)</errorWord>
      <group>L1_Format</group>
      <groupName>格式问题</groupName>
      <ability>L2_HalfPunc</ability>
      <abilityName>全半角检查</abilityName>
      <candidateList>
        <item>）</item>
      </candidateList>
      <explain>文本全半角错误。</explain>
      <paraID> F8218AA</paraID>
      <start>465</start>
      <end>466</end>
      <status>unmodified</status>
      <modifiedWord/>
      <trackRevisions>false</trackRevisions>
    </reviewItem>
    <reviewItem>
      <errorID>39362fa1-d6e2-4950-8290-a60bf622fe27</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CF8EF47</paraID>
      <start>1</start>
      <end>3</end>
      <status>unmodified</status>
      <modifiedWord/>
      <trackRevisions>false</trackRevisions>
    </reviewItem>
    <reviewItem>
      <errorID>67c5d2c0-e228-40e0-a6b2-9b2ebb63a519</errorID>
      <errorWord>区</errorWord>
      <group>L1_Word</group>
      <groupName>字词问题</groupName>
      <ability>L2_Typo</ability>
      <abilityName>字词错误</abilityName>
      <candidateList>
        <item>区域</item>
      </candidateList>
      <explain/>
      <paraID> CF8EF47</paraID>
      <start>12</start>
      <end>13</end>
      <status>unmodified</status>
      <modifiedWord/>
      <trackRevisions>false</trackRevisions>
    </reviewItem>
    <reviewItem>
      <errorID>c1a0dd4e-1206-4b03-b15d-45489c9a3ef2</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45002F24</paraID>
      <start>0</start>
      <end>2</end>
      <status>unmodified</status>
      <modifiedWord/>
      <trackRevisions>false</trackRevisions>
    </reviewItem>
    <reviewItem>
      <errorID>c94cd8f2-a03a-47df-a808-ab5e9189df5e</errorID>
      <errorWord>(</errorWord>
      <group>L1_Format</group>
      <groupName>格式问题</groupName>
      <ability>L2_HalfPunc</ability>
      <abilityName>全半角检查</abilityName>
      <candidateList>
        <item>（</item>
      </candidateList>
      <explain>文本全半角错误。</explain>
      <paraID>45002F24</paraID>
      <start>29</start>
      <end>30</end>
      <status>unmodified</status>
      <modifiedWord/>
      <trackRevisions>false</trackRevisions>
    </reviewItem>
    <reviewItem>
      <errorID>bd3d5dbf-34c7-416e-aa63-32192c4d974a</errorID>
      <errorWord>)</errorWord>
      <group>L1_Format</group>
      <groupName>格式问题</groupName>
      <ability>L2_HalfPunc</ability>
      <abilityName>全半角检查</abilityName>
      <candidateList>
        <item>）</item>
      </candidateList>
      <explain>文本全半角错误。</explain>
      <paraID>45002F24</paraID>
      <start>44</start>
      <end>45</end>
      <status>unmodified</status>
      <modifiedWord/>
      <trackRevisions>false</trackRevisions>
    </reviewItem>
    <reviewItem>
      <errorID>c0a09fea-f977-4669-8813-0c151fe5342f</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331D4255</paraID>
      <start>0</start>
      <end>2</end>
      <status>unmodified</status>
      <modifiedWord/>
      <trackRevisions>false</trackRevisions>
    </reviewItem>
    <reviewItem>
      <errorID>84d08b9b-fb83-4034-ad52-104d5a5aaa9d</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48690F2</paraID>
      <start>0</start>
      <end>2</end>
      <status>unmodified</status>
      <modifiedWord/>
      <trackRevisions>false</trackRevisions>
    </reviewItem>
    <reviewItem>
      <errorID>5280d3d3-a898-4888-b1d3-d811d8de5fdf</errorID>
      <errorWord>地</errorWord>
      <group>L1_Word</group>
      <groupName>字词问题</groupName>
      <ability>L2_DDD</ability>
      <abilityName>的地得用法</abilityName>
      <candidateList>
        <item>的</item>
      </candidateList>
      <explain>“的”常用于连接修饰语与名词性中心语，表示属性、所属或描述。</explain>
      <paraID>186F4304</paraID>
      <start>38</start>
      <end>39</end>
      <status>unmodified</status>
      <modifiedWord/>
      <trackRevisions>false</trackRevisions>
    </reviewItem>
    <reviewItem>
      <errorID>ea9b0dd3-d606-4110-bfdc-26e16cdcb3fc</errorID>
      <errorWord>(</errorWord>
      <group>L1_Format</group>
      <groupName>格式问题</groupName>
      <ability>L2_HalfPunc</ability>
      <abilityName>全半角检查</abilityName>
      <candidateList>
        <item>（</item>
      </candidateList>
      <explain>文本全半角错误。</explain>
      <paraID>4D8D1475</paraID>
      <start>5</start>
      <end>6</end>
      <status>unmodified</status>
      <modifiedWord/>
      <trackRevisions>false</trackRevisions>
    </reviewItem>
    <reviewItem>
      <errorID>eaf1f11d-5ef3-48aa-a319-16feb9b32a83</errorID>
      <errorWord>)</errorWord>
      <group>L1_Format</group>
      <groupName>格式问题</groupName>
      <ability>L2_HalfPunc</ability>
      <abilityName>全半角检查</abilityName>
      <candidateList>
        <item>）</item>
      </candidateList>
      <explain>文本全半角错误。</explain>
      <paraID>4D8D1475</paraID>
      <start>16</start>
      <end>17</end>
      <status>unmodified</status>
      <modifiedWord/>
      <trackRevisions>false</trackRevisions>
    </reviewItem>
    <reviewItem>
      <errorID>37793888-bfd5-4dda-bbd0-6c6eb7c877e4</errorID>
      <errorWord>(</errorWord>
      <group>L1_Format</group>
      <groupName>格式问题</groupName>
      <ability>L2_HalfPunc</ability>
      <abilityName>全半角检查</abilityName>
      <candidateList>
        <item>（</item>
      </candidateList>
      <explain>文本全半角错误。</explain>
      <paraID>4D8D1475</paraID>
      <start>23</start>
      <end>24</end>
      <status>unmodified</status>
      <modifiedWord/>
      <trackRevisions>false</trackRevisions>
    </reviewItem>
    <reviewItem>
      <errorID>1f198f59-b820-4174-9054-159f708a14ef</errorID>
      <errorWord>)</errorWord>
      <group>L1_Format</group>
      <groupName>格式问题</groupName>
      <ability>L2_HalfPunc</ability>
      <abilityName>全半角检查</abilityName>
      <candidateList>
        <item>）</item>
      </candidateList>
      <explain>文本全半角错误。</explain>
      <paraID>4D8D1475</paraID>
      <start>34</start>
      <end>35</end>
      <status>unmodified</status>
      <modifiedWord/>
      <trackRevisions>false</trackRevisions>
    </reviewItem>
    <reviewItem>
      <errorID>ddf2f201-f668-4fe0-9fe5-8e762a68546b</errorID>
      <errorWord>(</errorWord>
      <group>L1_Format</group>
      <groupName>格式问题</groupName>
      <ability>L2_HalfPunc</ability>
      <abilityName>全半角检查</abilityName>
      <candidateList>
        <item>（</item>
      </candidateList>
      <explain>文本全半角错误。</explain>
      <paraID>4D8D1475</paraID>
      <start>41</start>
      <end>42</end>
      <status>unmodified</status>
      <modifiedWord/>
      <trackRevisions>false</trackRevisions>
    </reviewItem>
    <reviewItem>
      <errorID>34dd4309-b863-4d44-b308-af8faa4aa0a2</errorID>
      <errorWord>)</errorWord>
      <group>L1_Format</group>
      <groupName>格式问题</groupName>
      <ability>L2_HalfPunc</ability>
      <abilityName>全半角检查</abilityName>
      <candidateList>
        <item>）</item>
      </candidateList>
      <explain>文本全半角错误。</explain>
      <paraID>4D8D1475</paraID>
      <start>52</start>
      <end>53</end>
      <status>unmodified</status>
      <modifiedWord/>
      <trackRevisions>false</trackRevisions>
    </reviewItem>
    <reviewItem>
      <errorID>6abda915-e32b-473e-b0d4-b40a4c7134c6</errorID>
      <errorWord>(</errorWord>
      <group>L1_Format</group>
      <groupName>格式问题</groupName>
      <ability>L2_HalfPunc</ability>
      <abilityName>全半角检查</abilityName>
      <candidateList>
        <item>（</item>
      </candidateList>
      <explain>文本全半角错误。</explain>
      <paraID>4D8D1475</paraID>
      <start>59</start>
      <end>60</end>
      <status>unmodified</status>
      <modifiedWord/>
      <trackRevisions>false</trackRevisions>
    </reviewItem>
    <reviewItem>
      <errorID>8a0a032f-4dc1-4643-81ce-2613629b2faa</errorID>
      <errorWord>)</errorWord>
      <group>L1_Format</group>
      <groupName>格式问题</groupName>
      <ability>L2_HalfPunc</ability>
      <abilityName>全半角检查</abilityName>
      <candidateList>
        <item>）</item>
      </candidateList>
      <explain>文本全半角错误。</explain>
      <paraID>4D8D1475</paraID>
      <start>70</start>
      <end>71</end>
      <status>unmodified</status>
      <modifiedWord/>
      <trackRevisions>false</trackRevisions>
    </reviewItem>
    <reviewItem>
      <errorID>af3a07a1-49a2-40e9-b6b2-45e4b3c4e11f</errorID>
      <errorWord>(</errorWord>
      <group>L1_Format</group>
      <groupName>格式问题</groupName>
      <ability>L2_HalfPunc</ability>
      <abilityName>全半角检查</abilityName>
      <candidateList>
        <item>（</item>
      </candidateList>
      <explain>文本全半角错误。</explain>
      <paraID>4D8D1475</paraID>
      <start>77</start>
      <end>78</end>
      <status>unmodified</status>
      <modifiedWord/>
      <trackRevisions>false</trackRevisions>
    </reviewItem>
    <reviewItem>
      <errorID>8745b197-50ea-4238-bc0a-4933d5469a68</errorID>
      <errorWord>)</errorWord>
      <group>L1_Format</group>
      <groupName>格式问题</groupName>
      <ability>L2_HalfPunc</ability>
      <abilityName>全半角检查</abilityName>
      <candidateList>
        <item>）</item>
      </candidateList>
      <explain>文本全半角错误。</explain>
      <paraID>4D8D1475</paraID>
      <start>88</start>
      <end>89</end>
      <status>unmodified</status>
      <modifiedWord/>
      <trackRevisions>false</trackRevisions>
    </reviewItem>
    <reviewItem>
      <errorID>903b7178-e66e-4780-8da4-e7779c762da5</errorID>
      <errorWord>(</errorWord>
      <group>L1_Format</group>
      <groupName>格式问题</groupName>
      <ability>L2_HalfPunc</ability>
      <abilityName>全半角检查</abilityName>
      <candidateList>
        <item>（</item>
      </candidateList>
      <explain>文本全半角错误。</explain>
      <paraID>754ACE19</paraID>
      <start>21</start>
      <end>22</end>
      <status>unmodified</status>
      <modifiedWord/>
      <trackRevisions>false</trackRevisions>
    </reviewItem>
    <reviewItem>
      <errorID>ba0cc05b-4e3a-4944-bfb7-e587c561ca78</errorID>
      <errorWord>)</errorWord>
      <group>L1_Format</group>
      <groupName>格式问题</groupName>
      <ability>L2_HalfPunc</ability>
      <abilityName>全半角检查</abilityName>
      <candidateList>
        <item>）</item>
      </candidateList>
      <explain>文本全半角错误。</explain>
      <paraID>754ACE19</paraID>
      <start>32</start>
      <end>33</end>
      <status>unmodified</status>
      <modifiedWord/>
      <trackRevisions>false</trackRevisions>
    </reviewItem>
    <reviewItem>
      <errorID>08437dcb-d164-4ab9-99f4-61454e2bc9de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5087D916</paraID>
      <start>0</start>
      <end>2</end>
      <status>unmodified</status>
      <modifiedWord/>
      <trackRevisions>false</trackRevisions>
    </reviewItem>
    <reviewItem>
      <errorID>21217394-23f1-4e7f-ac1f-64cb0ee13089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5B6414FD</paraID>
      <start>0</start>
      <end>2</end>
      <status>unmodified</status>
      <modifiedWord/>
      <trackRevisions>false</trackRevisions>
    </reviewItem>
    <reviewItem>
      <errorID>4053e2a7-c437-4923-b5e7-45762aceb456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457A2B9E</paraID>
      <start>0</start>
      <end>2</end>
      <status>unmodified</status>
      <modifiedWord/>
      <trackRevisions>false</trackRevisions>
    </reviewItem>
    <reviewItem>
      <errorID>c3457b5a-3119-44ba-9921-8cb2f51961ff</errorID>
      <errorWord>III</errorWord>
      <group>L1_Word</group>
      <groupName>字词问题</groupName>
      <ability>L2_Typo</ability>
      <abilityName>字词错误</abilityName>
      <candidateList>
        <item>Ⅲ</item>
      </candidateList>
      <explain/>
      <paraID>2A687FBE</paraID>
      <start>0</start>
      <end>3</end>
      <status>unmodified</status>
      <modifiedWord/>
      <trackRevisions>false</trackRevisions>
    </reviewItem>
    <reviewItem>
      <errorID>32086e4d-d65e-454f-8dd6-17a3dcb08229</errorID>
      <errorWord>无害化处置</errorWord>
      <group>L1_Knowledge</group>
      <groupName>知识性问题</groupName>
      <ability>L2_Term</ability>
      <abilityName>专业术语</abilityName>
      <candidateList>
        <item>无害化处理</item>
      </candidateList>
      <explain/>
      <paraID> 5F9775D</paraID>
      <start>37</start>
      <end>42</end>
      <status>unmodified</status>
      <modifiedWord/>
      <trackRevisions>false</trackRevisions>
    </reviewItem>
    <reviewItem>
      <errorID>bcced164-b696-43c1-ad0d-8c89ea7791fa</errorID>
      <errorWord>机率</errorWord>
      <group>L1_Word</group>
      <groupName>字词问题</groupName>
      <ability>L2_Typo</ability>
      <abilityName>字词错误</abilityName>
      <candidateList>
        <item>几率</item>
      </candidateList>
      <explain>存在发音相同字词的误用。</explain>
      <paraID>790F98BA</paraID>
      <start>181</start>
      <end>183</end>
      <status>unmodified</status>
      <modifiedWord/>
      <trackRevisions>false</trackRevisions>
    </reviewItem>
    <reviewItem>
      <errorID>d77f19b5-73bd-4fbc-9a16-1f7813b498dd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4F7A303D</paraID>
      <start>0</start>
      <end>2</end>
      <status>unmodified</status>
      <modifiedWord/>
      <trackRevisions>false</trackRevisions>
    </reviewItem>
    <reviewItem>
      <errorID>eb8510f7-4f43-430c-be1e-37286ab7aab9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107D1850</paraID>
      <start>0</start>
      <end>2</end>
      <status>unmodified</status>
      <modifiedWord/>
      <trackRevisions>false</trackRevisions>
    </reviewItem>
    <reviewItem>
      <errorID>97a1b98a-7028-4bb9-979e-9a4bb24d2115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55D81D62</paraID>
      <start>0</start>
      <end>3</end>
      <status>unmodified</status>
      <modifiedWord/>
      <trackRevisions>false</trackRevisions>
    </reviewItem>
    <reviewItem>
      <errorID>b7704119-9fc3-4a11-961c-74f34c47592c</errorID>
      <errorWord>建立健全的</errorWord>
      <group>L1_Word</group>
      <groupName>字词问题</groupName>
      <ability>L2_Typo</ability>
      <abilityName>字词错误</abilityName>
      <candidateList>
        <item>建立健全</item>
      </candidateList>
      <explain/>
      <paraID>4E105472</paraID>
      <start>41</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92916-FB17-44BC-8E1B-ECEE30C97472}">
  <ds:schemaRefs/>
</ds:datastoreItem>
</file>

<file path=customXml/itemProps3.xml><?xml version="1.0" encoding="utf-8"?>
<ds:datastoreItem xmlns:ds="http://schemas.openxmlformats.org/officeDocument/2006/customXml" ds:itemID="{6E6FCCFD-0F00-4171-819E-37D0BD6C34A8}">
  <ds:schemaRefs/>
</ds:datastoreItem>
</file>

<file path=docProps/app.xml><?xml version="1.0" encoding="utf-8"?>
<Properties xmlns="http://schemas.openxmlformats.org/officeDocument/2006/extended-properties" xmlns:vt="http://schemas.openxmlformats.org/officeDocument/2006/docPropsVTypes">
  <Template>Normal</Template>
  <Pages>63</Pages>
  <Words>10391</Words>
  <Characters>12724</Characters>
  <Lines>336</Lines>
  <Paragraphs>94</Paragraphs>
  <TotalTime>53</TotalTime>
  <ScaleCrop>false</ScaleCrop>
  <LinksUpToDate>false</LinksUpToDate>
  <CharactersWithSpaces>12813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2021-03-04T02:37:00Z</dcterms:created>
  <dc:creator>lhj</dc:creator>
  <cp:lastModifiedBy>韦婉青</cp:lastModifiedBy>
  <cp:lastPrinted>2022-08-10T08:58:00Z</cp:lastPrinted>
  <dcterms:modified xsi:type="dcterms:W3CDTF">2025-12-19T02:00:07Z</dcterms:modified>
  <dc:title>附件2</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2019</vt:lpwstr>
  </property>
  <property fmtid="{D5CDD505-2E9C-101B-9397-08002B2CF9AE}" pid="4" name="LastSaved">
    <vt:filetime>2021-03-04T00:00:00Z</vt:filetime>
  </property>
  <property fmtid="{D5CDD505-2E9C-101B-9397-08002B2CF9AE}" pid="5" name="KSOProductBuildVer">
    <vt:lpwstr>2052-12.1.0.23542</vt:lpwstr>
  </property>
  <property fmtid="{D5CDD505-2E9C-101B-9397-08002B2CF9AE}" pid="6" name="ICV">
    <vt:lpwstr>821A7EF8AB1346CE8647E0B3AE483718</vt:lpwstr>
  </property>
  <property fmtid="{D5CDD505-2E9C-101B-9397-08002B2CF9AE}" pid="7" name="KSOTemplateDocerSaveRecord">
    <vt:lpwstr>eyJoZGlkIjoiODE2NTNiZjRhYTI4MjgxMWYyOTk1MjJmZjllOWVjOGEiLCJ1c2VySWQiOiIxNzU2MTc0ODc2In0=</vt:lpwstr>
  </property>
</Properties>
</file>