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default" w:ascii="Times New Roman" w:hAnsi="Times New Roman" w:eastAsia="方正小标宋_GBK" w:cs="Times New Roman"/>
          <w:b w:val="0"/>
          <w:bCs w:val="0"/>
          <w:snapToGrid w:val="0"/>
          <w:kern w:val="0"/>
          <w:sz w:val="44"/>
          <w:szCs w:val="44"/>
        </w:rPr>
      </w:pPr>
      <w:r>
        <w:rPr>
          <w:rFonts w:hint="default" w:ascii="Times New Roman" w:hAnsi="Times New Roman" w:eastAsia="方正小标宋_GBK" w:cs="Times New Roman"/>
          <w:b w:val="0"/>
          <w:bCs w:val="0"/>
          <w:snapToGrid w:val="0"/>
          <w:kern w:val="0"/>
          <w:sz w:val="44"/>
          <w:szCs w:val="44"/>
        </w:rPr>
        <w:t>关于永福县202</w:t>
      </w:r>
      <w:r>
        <w:rPr>
          <w:rFonts w:hint="eastAsia" w:ascii="Times New Roman" w:hAnsi="Times New Roman" w:eastAsia="方正小标宋_GBK" w:cs="Times New Roman"/>
          <w:b w:val="0"/>
          <w:bCs w:val="0"/>
          <w:snapToGrid w:val="0"/>
          <w:kern w:val="0"/>
          <w:sz w:val="44"/>
          <w:szCs w:val="44"/>
          <w:lang w:val="en-US" w:eastAsia="zh-CN"/>
        </w:rPr>
        <w:t>3</w:t>
      </w:r>
      <w:r>
        <w:rPr>
          <w:rFonts w:hint="default" w:ascii="Times New Roman" w:hAnsi="Times New Roman" w:eastAsia="方正小标宋_GBK" w:cs="Times New Roman"/>
          <w:b w:val="0"/>
          <w:bCs w:val="0"/>
          <w:snapToGrid w:val="0"/>
          <w:kern w:val="0"/>
          <w:sz w:val="44"/>
          <w:szCs w:val="44"/>
        </w:rPr>
        <w:t>年预算执行情况和</w:t>
      </w:r>
    </w:p>
    <w:p>
      <w:pPr>
        <w:adjustRightInd w:val="0"/>
        <w:snapToGrid w:val="0"/>
        <w:spacing w:line="640" w:lineRule="exact"/>
        <w:jc w:val="center"/>
        <w:rPr>
          <w:rFonts w:hint="eastAsia" w:ascii="Times New Roman" w:hAnsi="Times New Roman" w:eastAsia="方正小标宋_GBK" w:cs="Times New Roman"/>
          <w:b w:val="0"/>
          <w:bCs w:val="0"/>
          <w:snapToGrid w:val="0"/>
          <w:kern w:val="0"/>
          <w:sz w:val="44"/>
          <w:szCs w:val="44"/>
          <w:lang w:eastAsia="zh-CN"/>
        </w:rPr>
      </w:pPr>
      <w:r>
        <w:rPr>
          <w:rFonts w:hint="default" w:ascii="Times New Roman" w:hAnsi="Times New Roman" w:eastAsia="方正小标宋_GBK" w:cs="Times New Roman"/>
          <w:b w:val="0"/>
          <w:bCs w:val="0"/>
          <w:snapToGrid w:val="0"/>
          <w:kern w:val="0"/>
          <w:sz w:val="44"/>
          <w:szCs w:val="44"/>
        </w:rPr>
        <w:t>202</w:t>
      </w:r>
      <w:r>
        <w:rPr>
          <w:rFonts w:hint="eastAsia" w:ascii="Times New Roman" w:hAnsi="Times New Roman" w:eastAsia="方正小标宋_GBK" w:cs="Times New Roman"/>
          <w:b w:val="0"/>
          <w:bCs w:val="0"/>
          <w:snapToGrid w:val="0"/>
          <w:kern w:val="0"/>
          <w:sz w:val="44"/>
          <w:szCs w:val="44"/>
          <w:lang w:val="en-US" w:eastAsia="zh-CN"/>
        </w:rPr>
        <w:t>4</w:t>
      </w:r>
      <w:r>
        <w:rPr>
          <w:rFonts w:hint="default" w:ascii="Times New Roman" w:hAnsi="Times New Roman" w:eastAsia="方正小标宋_GBK" w:cs="Times New Roman"/>
          <w:b w:val="0"/>
          <w:bCs w:val="0"/>
          <w:snapToGrid w:val="0"/>
          <w:kern w:val="0"/>
          <w:sz w:val="44"/>
          <w:szCs w:val="44"/>
        </w:rPr>
        <w:t>年预算草案的报告</w:t>
      </w:r>
    </w:p>
    <w:p>
      <w:pPr>
        <w:pStyle w:val="2"/>
        <w:rPr>
          <w:rFonts w:hint="default" w:ascii="Times New Roman" w:hAnsi="Times New Roman" w:eastAsia="楷体_GB2312" w:cs="Times New Roman"/>
          <w:lang w:val="en-US" w:eastAsia="zh-CN"/>
        </w:rPr>
      </w:pPr>
      <w:r>
        <w:rPr>
          <w:rFonts w:hint="eastAsia" w:ascii="Times New Roman" w:hAnsi="Times New Roman" w:eastAsia="方正小标宋_GBK" w:cs="Times New Roman"/>
          <w:b w:val="0"/>
          <w:bCs w:val="0"/>
          <w:snapToGrid w:val="0"/>
          <w:kern w:val="0"/>
          <w:sz w:val="44"/>
          <w:szCs w:val="44"/>
          <w:lang w:val="en-US" w:eastAsia="zh-CN"/>
        </w:rPr>
        <w:t xml:space="preserve">                </w:t>
      </w:r>
    </w:p>
    <w:p>
      <w:pPr>
        <w:spacing w:line="800" w:lineRule="exact"/>
        <w:jc w:val="center"/>
        <w:rPr>
          <w:rFonts w:hint="default" w:ascii="Times New Roman" w:hAnsi="Times New Roman" w:eastAsia="楷体_GB2312" w:cs="Times New Roman"/>
          <w:color w:val="auto"/>
          <w:spacing w:val="-20"/>
          <w:sz w:val="32"/>
          <w:szCs w:val="32"/>
        </w:rPr>
      </w:pPr>
      <w:r>
        <w:rPr>
          <w:rFonts w:hint="default" w:ascii="Times New Roman" w:hAnsi="Times New Roman" w:eastAsia="楷体_GB2312" w:cs="Times New Roman"/>
          <w:spacing w:val="-20"/>
          <w:sz w:val="32"/>
          <w:szCs w:val="32"/>
        </w:rPr>
        <w:t>——202</w:t>
      </w:r>
      <w:r>
        <w:rPr>
          <w:rFonts w:hint="eastAsia" w:ascii="Times New Roman" w:hAnsi="Times New Roman" w:eastAsia="楷体_GB2312" w:cs="Times New Roman"/>
          <w:spacing w:val="-20"/>
          <w:sz w:val="32"/>
          <w:szCs w:val="32"/>
          <w:lang w:val="en-US" w:eastAsia="zh-CN"/>
        </w:rPr>
        <w:t>4</w:t>
      </w:r>
      <w:r>
        <w:rPr>
          <w:rFonts w:hint="default" w:ascii="Times New Roman" w:hAnsi="Times New Roman" w:eastAsia="楷体_GB2312" w:cs="Times New Roman"/>
          <w:spacing w:val="-20"/>
          <w:sz w:val="32"/>
          <w:szCs w:val="32"/>
        </w:rPr>
        <w:t>年</w:t>
      </w:r>
      <w:r>
        <w:rPr>
          <w:rFonts w:hint="eastAsia" w:ascii="Times New Roman" w:hAnsi="Times New Roman" w:eastAsia="楷体_GB2312" w:cs="Times New Roman"/>
          <w:spacing w:val="-20"/>
          <w:sz w:val="32"/>
          <w:szCs w:val="32"/>
          <w:lang w:val="en-US" w:eastAsia="zh-CN"/>
        </w:rPr>
        <w:t>3</w:t>
      </w:r>
      <w:r>
        <w:rPr>
          <w:rFonts w:hint="default" w:ascii="Times New Roman" w:hAnsi="Times New Roman" w:eastAsia="楷体_GB2312" w:cs="Times New Roman"/>
          <w:spacing w:val="-20"/>
          <w:sz w:val="32"/>
          <w:szCs w:val="32"/>
        </w:rPr>
        <w:t>月</w:t>
      </w:r>
      <w:r>
        <w:rPr>
          <w:rFonts w:hint="eastAsia" w:ascii="Times New Roman" w:hAnsi="Times New Roman" w:eastAsia="楷体_GB2312" w:cs="Times New Roman"/>
          <w:spacing w:val="-20"/>
          <w:sz w:val="32"/>
          <w:szCs w:val="32"/>
          <w:lang w:val="en-US" w:eastAsia="zh-CN"/>
        </w:rPr>
        <w:t>20</w:t>
      </w:r>
      <w:r>
        <w:rPr>
          <w:rFonts w:hint="default" w:ascii="Times New Roman" w:hAnsi="Times New Roman" w:eastAsia="楷体_GB2312" w:cs="Times New Roman"/>
          <w:spacing w:val="-20"/>
          <w:sz w:val="32"/>
          <w:szCs w:val="32"/>
        </w:rPr>
        <w:t>日在永福县</w:t>
      </w:r>
      <w:r>
        <w:rPr>
          <w:rFonts w:hint="default" w:ascii="Times New Roman" w:hAnsi="Times New Roman" w:eastAsia="楷体_GB2312" w:cs="Times New Roman"/>
          <w:color w:val="auto"/>
          <w:spacing w:val="-20"/>
          <w:sz w:val="32"/>
          <w:szCs w:val="32"/>
        </w:rPr>
        <w:t>第</w:t>
      </w:r>
      <w:r>
        <w:rPr>
          <w:rFonts w:hint="eastAsia" w:ascii="Times New Roman" w:hAnsi="Times New Roman" w:eastAsia="楷体_GB2312" w:cs="Times New Roman"/>
          <w:color w:val="auto"/>
          <w:spacing w:val="-20"/>
          <w:sz w:val="32"/>
          <w:szCs w:val="32"/>
          <w:lang w:eastAsia="zh-CN"/>
        </w:rPr>
        <w:t>十七</w:t>
      </w:r>
      <w:r>
        <w:rPr>
          <w:rFonts w:hint="default" w:ascii="Times New Roman" w:hAnsi="Times New Roman" w:eastAsia="楷体_GB2312" w:cs="Times New Roman"/>
          <w:color w:val="auto"/>
          <w:spacing w:val="-20"/>
          <w:sz w:val="32"/>
          <w:szCs w:val="32"/>
        </w:rPr>
        <w:t>届人民代表大会第</w:t>
      </w:r>
      <w:r>
        <w:rPr>
          <w:rFonts w:hint="eastAsia" w:ascii="Times New Roman" w:hAnsi="Times New Roman" w:eastAsia="楷体_GB2312" w:cs="Times New Roman"/>
          <w:color w:val="auto"/>
          <w:spacing w:val="-20"/>
          <w:sz w:val="32"/>
          <w:szCs w:val="32"/>
          <w:lang w:val="en-US" w:eastAsia="zh-CN"/>
        </w:rPr>
        <w:t>四</w:t>
      </w:r>
      <w:r>
        <w:rPr>
          <w:rFonts w:hint="default" w:ascii="Times New Roman" w:hAnsi="Times New Roman" w:eastAsia="楷体_GB2312" w:cs="Times New Roman"/>
          <w:color w:val="auto"/>
          <w:spacing w:val="-20"/>
          <w:sz w:val="32"/>
          <w:szCs w:val="32"/>
        </w:rPr>
        <w:t>次会议上</w:t>
      </w:r>
    </w:p>
    <w:p>
      <w:pPr>
        <w:pStyle w:val="2"/>
        <w:jc w:val="center"/>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永福县财政局</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各位代表：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受县人民政府委托，现将永福县202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14:textFill>
            <w14:solidFill>
              <w14:schemeClr w14:val="tx1"/>
            </w14:solidFill>
          </w14:textFill>
        </w:rPr>
        <w:t>年预算执行情况和202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14:textFill>
            <w14:solidFill>
              <w14:schemeClr w14:val="tx1"/>
            </w14:solidFill>
          </w14:textFill>
        </w:rPr>
        <w:t>年预算草案提请县</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十七</w:t>
      </w:r>
      <w:r>
        <w:rPr>
          <w:rFonts w:hint="default" w:ascii="Times New Roman" w:hAnsi="Times New Roman" w:eastAsia="仿宋_GB2312" w:cs="Times New Roman"/>
          <w:color w:val="000000" w:themeColor="text1"/>
          <w:sz w:val="32"/>
          <w:szCs w:val="32"/>
          <w:u w:val="none"/>
          <w14:textFill>
            <w14:solidFill>
              <w14:schemeClr w14:val="tx1"/>
            </w14:solidFill>
          </w14:textFill>
        </w:rPr>
        <w:t>届人大第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u w:val="none"/>
          <w14:textFill>
            <w14:solidFill>
              <w14:schemeClr w14:val="tx1"/>
            </w14:solidFill>
          </w14:textFill>
        </w:rPr>
        <w:t>次会议审议，并请政协各位委员和其他列席会议的同志提出</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宝贵</w:t>
      </w:r>
      <w:r>
        <w:rPr>
          <w:rFonts w:hint="default" w:ascii="Times New Roman" w:hAnsi="Times New Roman" w:eastAsia="仿宋_GB2312" w:cs="Times New Roman"/>
          <w:color w:val="000000" w:themeColor="text1"/>
          <w:sz w:val="32"/>
          <w:szCs w:val="32"/>
          <w:u w:val="none"/>
          <w14:textFill>
            <w14:solidFill>
              <w14:schemeClr w14:val="tx1"/>
            </w14:solidFill>
          </w14:textFill>
        </w:rPr>
        <w:t>意见。</w:t>
      </w: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ind w:firstLine="640" w:firstLineChars="200"/>
        <w:jc w:val="both"/>
        <w:textAlignment w:val="auto"/>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一、202</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u w:val="none"/>
          <w:lang w:val="en-US" w:eastAsia="zh-CN"/>
          <w14:textFill>
            <w14:solidFill>
              <w14:schemeClr w14:val="tx1"/>
            </w14:solidFill>
          </w14:textFill>
        </w:rPr>
        <w:t>年预算执行情况</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14:textFill>
            <w14:solidFill>
              <w14:schemeClr w14:val="tx1"/>
            </w14:solidFill>
          </w14:textFill>
        </w:rPr>
        <w:t>年是</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全面贯彻落实党的二十大精神的开局之年</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我县财政工作在县委</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县政府的坚强领导下，在县人大和县政协的监督指导下，</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着眼服务县域经济社会发展，坚守为民理财初心，立足拓财源、控支出、强管理、防风险，积极作为，开拓创新，全年财政收入稳中有进，重点支出保障有力，债务风险控制有效，预算执行总体平稳。</w:t>
      </w:r>
    </w:p>
    <w:p>
      <w:pPr>
        <w:keepNext w:val="0"/>
        <w:keepLines w:val="0"/>
        <w:pageBreakBefore w:val="0"/>
        <w:widowControl w:val="0"/>
        <w:kinsoku/>
        <w:wordWrap/>
        <w:overflowPunct/>
        <w:topLinePunct w:val="0"/>
        <w:autoSpaceDE/>
        <w:autoSpaceDN/>
        <w:bidi w:val="0"/>
        <w:adjustRightInd/>
        <w:spacing w:line="586" w:lineRule="exact"/>
        <w:ind w:firstLine="642"/>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t>（一）</w:t>
      </w: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一般公共预算执行情况</w:t>
      </w:r>
    </w:p>
    <w:p>
      <w:pPr>
        <w:keepNext w:val="0"/>
        <w:keepLines w:val="0"/>
        <w:pageBreakBefore w:val="0"/>
        <w:widowControl w:val="0"/>
        <w:kinsoku/>
        <w:wordWrap/>
        <w:overflowPunct/>
        <w:topLinePunct w:val="0"/>
        <w:autoSpaceDE/>
        <w:autoSpaceDN/>
        <w:bidi w:val="0"/>
        <w:adjustRightInd/>
        <w:spacing w:line="586" w:lineRule="exact"/>
        <w:ind w:firstLine="642"/>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全年一般公共预算收入完成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35122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114.13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同比增长19.87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%。其中：税收收入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25394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110.89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同比增长30.51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%；非税收入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9728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123.55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减少1.16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%。一般公共预算收入中税收占比为7</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%，收入质量继续保持位于全区前列。一般公共预算支出完成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235219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万元，完成调整预算的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98.09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%，同比</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增长8.89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6" w:lineRule="exact"/>
        <w:ind w:firstLine="642"/>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一般公共财政预算收入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35122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万元加上级补助收入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167268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万元、上年结余收入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17050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万元、政府性基金预算调入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28500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万元、动用预算稳定调节基金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282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万元、地方政府性债券转贷收入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23684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万元，总收入合计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271906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万元；全县一般公共预算支出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235219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万元、上解上级支出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4041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万元、债务还本支出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16242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万元、安排预算稳定调节基金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1504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万元，年终结余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14900万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，总支出合计271906万元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t>（二）政府性基金预算执行情况</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政府性基金总收入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116866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当年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基金收入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69874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37.68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增长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116.9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%；上年结余收入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6118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万元；上级补助收入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2135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万元；地方政府专项债务转贷收入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38739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65513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万元，完成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调整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预算的</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96.7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增长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38.98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%；调出资金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28500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万元；收支相抵，年终滚存结余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8653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t>（三）社会保险基金预算执行情况</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社会保险两项基金收入合计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33225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万元，完成预算</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%。两项基金支出合计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28932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万元，完成预算10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收支相抵，</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当年结余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4292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年终滚存结余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46964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t>（四）政府债务情况</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自治区核定我县2023年政府债务限额244700万元，截至2023年底，全县地方政府性债务余额24259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万元，全县政府债务余额均控制在限额以内。</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2023年，全县新增政府债券36223万元，主要用于农村义务教育、水利、产业园区、卫生健康等重大项目。自治区代我县发行再融资债券2948</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万元，全部用于偿还到期债务本金。全年债务还本支出30442万元，债务付息支出7777万元，全县未发生政府债务违约行为。</w:t>
      </w:r>
    </w:p>
    <w:p>
      <w:pPr>
        <w:keepNext w:val="0"/>
        <w:keepLines w:val="0"/>
        <w:pageBreakBefore w:val="0"/>
        <w:widowControl w:val="0"/>
        <w:numPr>
          <w:ilvl w:val="0"/>
          <w:numId w:val="1"/>
        </w:numPr>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t>落实县人大决议及财政重点工作情况</w:t>
      </w:r>
    </w:p>
    <w:p>
      <w:pPr>
        <w:pStyle w:val="2"/>
        <w:numPr>
          <w:ilvl w:val="0"/>
          <w:numId w:val="0"/>
        </w:numPr>
        <w:rPr>
          <w:rFonts w:hint="eastAsia"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pPr>
      <w:r>
        <w:rPr>
          <w:rFonts w:hint="eastAsia"/>
          <w:lang w:val="en-US" w:eastAsia="zh-CN"/>
        </w:rPr>
        <w:t xml:space="preserve">      </w:t>
      </w:r>
      <w:r>
        <w:rPr>
          <w:rFonts w:hint="default"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t>1.</w:t>
      </w:r>
      <w:r>
        <w:rPr>
          <w:rFonts w:hint="eastAsia"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t>努力增收争项，千方百计做大财力“蛋糕”</w:t>
      </w:r>
    </w:p>
    <w:p>
      <w:pPr>
        <w:pStyle w:val="2"/>
        <w:numPr>
          <w:ilvl w:val="0"/>
          <w:numId w:val="0"/>
        </w:numPr>
        <w:ind w:firstLine="643" w:firstLineChars="200"/>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u w:val="none"/>
          <w:lang w:val="en-US" w:eastAsia="zh-CN"/>
          <w14:textFill>
            <w14:solidFill>
              <w14:schemeClr w14:val="tx1"/>
            </w14:solidFill>
          </w14:textFill>
        </w:rPr>
        <w:t>一是</w:t>
      </w:r>
      <w:r>
        <w:rPr>
          <w:rFonts w:hint="eastAsia" w:ascii="Times New Roman" w:hAnsi="Times New Roman" w:eastAsia="仿宋_GB2312" w:cs="Times New Roman"/>
          <w:b/>
          <w:bCs/>
          <w:color w:val="000000" w:themeColor="text1"/>
          <w:sz w:val="32"/>
          <w:szCs w:val="32"/>
          <w:highlight w:val="none"/>
          <w:u w:val="none"/>
          <w:lang w:val="en-US" w:eastAsia="zh-CN"/>
          <w14:textFill>
            <w14:solidFill>
              <w14:schemeClr w14:val="tx1"/>
            </w14:solidFill>
          </w14:textFill>
        </w:rPr>
        <w:t>全力完成年初收入预期</w:t>
      </w:r>
      <w:r>
        <w:rPr>
          <w:rFonts w:hint="default" w:ascii="Times New Roman" w:hAnsi="Times New Roman" w:eastAsia="仿宋_GB2312" w:cs="Times New Roman"/>
          <w:b/>
          <w:bCs/>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财税部门加强对接协同，聚焦重点行业、重点税源、重点项目，及时准确研判收入形势，依法征收、应收尽收。一般公共预算收入完成35122万元，同比增收5822万元，增长19.87%，其中：税收收入25394万元，增长30.51%，占一般公共预算收入的72.3%。深挖非税收入增收潜力，及时足额征缴入库。</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二是</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加力争取上级支持</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坚持把争取上级支持作为财政工作的重中之重，积极向自治区反映我县重大政策落实、重点项目推进等情况，抢抓政策机遇，大力争取政策资金支持，争取到位财力性转移支付资金7.55亿元，争取到其他转移支付资金8.94亿元，有效保障了全县各项重点支出需要。</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三是</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着力落实减税降费政策</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认真落实增值税小规模纳税人免征增值税，小型微利企业减免企业所得税，顶格减征“六税两费”，对涉及企业、个体工商户缓缴部分行政事业性收入，阶段性缓缴企业社会保险费等政策“组合拳”</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43" w:firstLineChars="200"/>
        <w:jc w:val="both"/>
        <w:textAlignment w:val="auto"/>
        <w:rPr>
          <w:rFonts w:hint="default"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t>紧扣惠民有感，用心用情答好民生“试卷”</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今年以来，县财政聚焦群众关心的就业、医疗、教育等“急难愁盼”问题，以更大力度、更实举措支持保障和改善民生，全县民生支出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192110</w:t>
      </w:r>
      <w:r>
        <w:rPr>
          <w:rFonts w:hint="eastAsia" w:ascii="Times New Roman" w:hAnsi="Times New Roman" w:eastAsia="仿宋_GB2312" w:cs="Times New Roman"/>
          <w:color w:val="000000" w:themeColor="text1"/>
          <w:kern w:val="0"/>
          <w:sz w:val="32"/>
          <w:szCs w:val="32"/>
          <w:lang w:val="en-US" w:eastAsia="zh-CN" w:bidi="ar-SA"/>
          <w14:textFill>
            <w14:solidFill>
              <w14:schemeClr w14:val="tx1"/>
            </w14:solidFill>
          </w14:textFill>
        </w:rPr>
        <w:t>万元，同比增长9.08%，占一般公共预算支出的85.43%。</w:t>
      </w:r>
    </w:p>
    <w:p>
      <w:pPr>
        <w:pStyle w:val="2"/>
        <w:numPr>
          <w:ilvl w:val="0"/>
          <w:numId w:val="0"/>
        </w:numP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lang w:val="en-US" w:eastAsia="zh-CN"/>
        </w:rPr>
        <w:t xml:space="preserve">     </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一是聚焦均衡发展，教育体系日臻完善</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年安排教育支出37454万元。着眼学前教育，确保幼有所学。安排补助资金着力扩大公办幼儿园覆盖面，支持第二幼儿园创建工作；着眼助学保障，确保难有所助。完善各学段学生资助制度，全年发放各类学生资助1410.54万元，惠及学生超2.25万人次，托底保障困难家庭学生平等受教育权利；着眼设施建设，确保学有所教。统筹各级专项资金用于义务教育薄弱环节改善与能力提升、中小学校舍安全保障长效机制及教育资源整合提升等，支持广福初中、罗锦小学、三皇幼儿园等35所中小学幼儿园教学设施维护改造项目加速实施，明德小学、三皇初中综合楼建设完成，新增学位450个，教育发展更加优质均衡。</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二是聚焦群众就医，医疗服务增效扩围。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年安排卫生健康支出24199万元。持续深化公立医院综合改革，优化医疗资源合理布局，多渠道筹集资金支持医疗机构建设及硬件保障，持续加大对公共医疗卫生基础设施建设的保障力度，推动县中医医院门诊综合楼、县人民医院专病综合楼等项目加快推进，疾控中心业务综合楼建设完成；积极构建以基本医疗保险为主体、医疗救助为托底、补充医疗保险等共同发展的医疗保障机制，将城乡低保对象、农村特困人员、重点优抚对象、重度残疾人、建档立卡贫困人口和低收入部分人群等困难群体纳入即时结算医疗救助范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三是支持农业发展，民生福祉稳步提升。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县农林水支出47549万元，重点支持现代农业发展、农村环境改善、水利等基础设施建设，支持巩固拓展脱贫攻坚成果同乡村振兴有效衔接。其中安排水利支出6992万元，主要用于支持高标准农田建设，提升农业综合生产能力，稳定粮食生产；继续实施中小河流治理、水库除险加固工程，开工建设三皇镇垌田河、罗锦镇金福村生态清洁小流域水土流失综合治理工程，九塔、红沙沟等5座水库除险加固工程竣工，保障水库安全运行；安排1850万元支持加快农村综合改革；安排2400万元支持农业保险保费补贴；安排17834万元支持乡村振兴衔接，助力改善农村广大群众人居环境。</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四是聚焦重点群体，社会保障坚实可靠。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城乡居民医疗、养老、失业保险扩面增容，基本医疗保险参保率达97.93%，城乡居民基本养老保险参保登记人员17.26万名。超额完成被征地农民养老保险征缴任务，新增被征地农民参保人数2388人。累计发放各类救助资金7735万多元，城乡低保、特困人员、临时救助人员生活得到有效保障。退役军人服务体系巩固深化，发放抚恤金和生活定补1700.76万元。</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五是聚焦文体旅融合，群众生活提质升级。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年安排文旅支出2369万元。促进文旅产业融合发展。广西全域旅游示范区创建扎实推进，三江六岸水利风景区获评国家水利风景区。11项旅游服务设施完善提升工程快速推进，状元坊投入使用，成为永福新地标。提升公共文化服务效能。支持图书馆、博物馆免费开放、文物保护工程和非物质文化遗产保护传承，成功举办福寿康养之旅等文旅活动。培育特色体育发展优势。加大全民健身活动场地设施建设的资金保障力度，统筹资金支持环广西自行车世界巡回赛、全国羽毛球邀请赛等各类精彩赛事，撬动文旅市场强劲复苏，激活文旅融合经济增长点。</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43" w:firstLineChars="200"/>
        <w:jc w:val="both"/>
        <w:textAlignment w:val="auto"/>
        <w:rPr>
          <w:rFonts w:hint="eastAsia"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t>紧扣除险清患，严字当头牢守安全“主线”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3" w:firstLineChars="200"/>
        <w:jc w:val="both"/>
        <w:textAlignment w:val="auto"/>
        <w:rPr>
          <w:rFonts w:hint="default"/>
          <w:lang w:val="en-US" w:eastAsia="zh-CN"/>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一是守牢“三保”风险基线。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分析调度，强化库款风险预警，特别加强对土地出让收入和专项债使用、还本、付息的测算，科学统筹重要节点库款调度工作，对可能存在的“三保”支出保障风险，做到有措施、能应对，兜牢“三保”基线，确保财政运行平稳可持续。</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二是守牢债务风险底线。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将政府债务还本付息纳入预算管理，按时还本付息，确保政府信用；严格落实限额管理，将政府债务余额牢牢控制在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自治区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财政厅核定的政府债务限额内，债务风险整体可控。</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三是加快清理消化暂付款。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加大财政暂付款管理力度，化存量、控增量，2023年我县实现暂付款清零。</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43" w:firstLineChars="200"/>
        <w:jc w:val="both"/>
        <w:textAlignment w:val="auto"/>
        <w:rPr>
          <w:rFonts w:hint="default"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楷体_GB2312" w:cs="Times New Roman"/>
          <w:b/>
          <w:bCs/>
          <w:i w:val="0"/>
          <w:caps w:val="0"/>
          <w:color w:val="000000" w:themeColor="text1"/>
          <w:spacing w:val="0"/>
          <w:w w:val="100"/>
          <w:sz w:val="32"/>
          <w:szCs w:val="32"/>
          <w:lang w:val="en-US" w:eastAsia="zh-CN"/>
          <w14:textFill>
            <w14:solidFill>
              <w14:schemeClr w14:val="tx1"/>
            </w14:solidFill>
          </w14:textFill>
        </w:rPr>
        <w:t>紧扣主动求变，实字托底构筑改革“高地”</w:t>
      </w:r>
    </w:p>
    <w:p>
      <w:pPr>
        <w:pStyle w:val="2"/>
        <w:numPr>
          <w:ilvl w:val="0"/>
          <w:numId w:val="0"/>
        </w:numPr>
        <w:ind w:firstLine="643" w:firstLineChars="200"/>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一是调整优化财政支出结构。</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坚持量入为出，明确支出标准，聚焦普惠性、基础性、兜底性民生领域，科学合理调度资金，进一步优化财政支出结构；把好“关口”压减一般性支出，从严、从紧、从实、从细安排预算。</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二是持续深化预算绩效管理。</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突出绩效管理核心，扎实开展财政重点绩效评价，精选评价项目，突出问题导向，聚焦县委、县政府重点关注和关系重大民生、社会公益性较强、社会关注度较高等方面，进一步拓展评价内容，优化评价方式、提升评价质量，选取6个项目开展重点绩效评价，涉及教育、民生、乡村振兴等领域。</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三是全力推进政务公开工作。</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全面公开政府预决算、部门预决算和“三公”经费预决算，更大力度“晒账本”，强化阳光透明新形象。指导预算单位细化具体的公开预决算内容，及时公开并确保公开内容的完整性、规范性、准确性。</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四是发挥政府采购政策功能。</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将政府采购政策措施落实到位，健全内控机制提升政府采购营商环境，助力中小企业发展。全年货物、服务、工程类政府采购总成交金额 25839.6万元，比预算节约资金692.5万元，节约率为 2.6%。</w:t>
      </w:r>
      <w:r>
        <w:rPr>
          <w:rFonts w:hint="eastAsia"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五是构建高效预结算审核机制。</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认真履行政府投资评审职责，优质高效服务好政府投融资项目建设，积极推进政府投融资项目预结算审核工作再上新台阶。全年累计办结250个预（结）算审核项目，共核减政府投融资工程预（结）算13634.56万元。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各位代表，202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年我县财政运行总体较好，但面临的困难和问题也不容忽视，一是财政形势比较严峻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突出表现在基础设施建设需要大量的资金投入，财源短缺；政府运行成本高，支出规模未从根本上得到控制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二是收入渠道单一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收入增长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乏力，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2023年土地出让金与预期收入相差较大，直接影响财政可用资金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对此，我们既正视困难问题，又坚定信心决心，将采取积极有力措施加以解决，同时恳请各位代表、委员继续关心、指导和支持财政工作。</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二、202</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黑体" w:cs="Times New Roman"/>
          <w:color w:val="000000" w:themeColor="text1"/>
          <w:sz w:val="32"/>
          <w:szCs w:val="32"/>
          <w14:textFill>
            <w14:solidFill>
              <w14:schemeClr w14:val="tx1"/>
            </w14:solidFill>
          </w14:textFill>
        </w:rPr>
        <w:t>年预算草案</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eastAsia="zh-CN"/>
          <w14:textFill>
            <w14:solidFill>
              <w14:schemeClr w14:val="tx1"/>
            </w14:solidFill>
          </w14:textFill>
        </w:rPr>
        <w:t>（一）财政预算安排原则</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2024年我们将以党的二十大精神为指引，坚持稳中求进工作总基调，提升积极财政政策效能，更加注重精准、可持续，增强预算统筹调配能力，提升重大决策部署、重大项目、重点工作、重大工程、重要事项财力保障，稳中求进、以进促稳，着力稳住回升向好态势，努力推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永福县经济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发展再上新台阶。</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（二）一般公共预算安排情况</w:t>
      </w:r>
    </w:p>
    <w:p>
      <w:pPr>
        <w:keepNext w:val="0"/>
        <w:keepLines w:val="0"/>
        <w:pageBreakBefore w:val="0"/>
        <w:widowControl w:val="0"/>
        <w:numPr>
          <w:ilvl w:val="0"/>
          <w:numId w:val="0"/>
        </w:numPr>
        <w:kinsoku/>
        <w:wordWrap/>
        <w:overflowPunct/>
        <w:topLinePunct w:val="0"/>
        <w:autoSpaceDE/>
        <w:autoSpaceDN/>
        <w:bidi w:val="0"/>
        <w:adjustRightInd/>
        <w:spacing w:line="586"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年一般公共预算收入拟安排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36175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万元，比202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年执行数增长3%。其中：税收收入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25479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万元，同比增长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0.33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%；非税收入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10696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万元，同比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增长9.95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%。一般公共预算支出预算拟安排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205100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万元，比202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减少32.19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一般公共预算收入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36175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万元加上级补助收入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127504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万元、上年结余收入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14900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万元、调入资金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28000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万元、地方政府一般债务转贷收入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7400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万元、动用预算稳定调节基金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1504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万元，总收入拟安排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215483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万元；一般公共预算支出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205100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万元加上解上级支出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1633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万元、地方政府一般债务还本支出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8750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元，收支相抵，一般公共预算收支平衡。</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（三）政府性基金预算安排情况</w:t>
      </w:r>
    </w:p>
    <w:p>
      <w:pPr>
        <w:keepNext w:val="0"/>
        <w:keepLines w:val="0"/>
        <w:pageBreakBefore w:val="0"/>
        <w:widowControl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政府性基金总收入拟安排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80098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万元。其中：基金收入预算安排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69361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上级补助收入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1684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上年结余收入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8653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；专项债券转贷收入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政府性基金支出预算拟安排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51481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万元，比202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年预算数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减少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%，调出资金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28000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债务还本支出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500万元，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收支相抵，</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预计年终结余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（四）社会保险基金预算安排情况</w:t>
      </w:r>
    </w:p>
    <w:p>
      <w:pPr>
        <w:keepNext w:val="0"/>
        <w:keepLines w:val="0"/>
        <w:pageBreakBefore w:val="0"/>
        <w:widowControl w:val="0"/>
        <w:numPr>
          <w:ilvl w:val="0"/>
          <w:numId w:val="0"/>
        </w:numPr>
        <w:kinsoku/>
        <w:wordWrap/>
        <w:overflowPunct/>
        <w:topLinePunct w:val="0"/>
        <w:autoSpaceDE/>
        <w:autoSpaceDN/>
        <w:bidi w:val="0"/>
        <w:adjustRightInd/>
        <w:spacing w:line="586"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社会保险两项基金收入合计拟安排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36755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比202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年执行数增长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。两项基金支出合计拟安排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31939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比202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年执行数增长</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。收支相抵，当年结余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4816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万元，年终滚存结余</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51780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（五）202</w:t>
      </w:r>
      <w:r>
        <w:rPr>
          <w:rFonts w:hint="eastAsia"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4</w:t>
      </w: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年“三保”预算支出情况</w:t>
      </w:r>
    </w:p>
    <w:p>
      <w:pPr>
        <w:keepNext w:val="0"/>
        <w:keepLines w:val="0"/>
        <w:pageBreakBefore w:val="0"/>
        <w:widowControl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我县财政部门将全面贯彻落实中央、自治区决策部署，按照市委、市政府要求，切实履行财政职能，集中财力重点用于保障全县“三保”支出，坚持把“保工资”作为政治任务列入资金调度的第一序列，将保运转和保基本民生作为</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基本要求来确保，力促全县经济平稳运行。202</w:t>
      </w:r>
      <w:r>
        <w:rPr>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年，我县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“三保”预计支出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100840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万元，其中“保工资”支出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51804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万元，“保运转”支出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3380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万元，“保民生”支出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45656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三、202</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4</w:t>
      </w:r>
      <w:r>
        <w:rPr>
          <w:rFonts w:hint="default" w:ascii="Times New Roman" w:hAnsi="Times New Roman" w:eastAsia="黑体" w:cs="Times New Roman"/>
          <w:color w:val="000000" w:themeColor="text1"/>
          <w:sz w:val="32"/>
          <w:szCs w:val="32"/>
          <w14:textFill>
            <w14:solidFill>
              <w14:schemeClr w14:val="tx1"/>
            </w14:solidFill>
          </w14:textFill>
        </w:rPr>
        <w:t>年财政工作</w:t>
      </w:r>
      <w:r>
        <w:rPr>
          <w:rFonts w:hint="eastAsia" w:ascii="Times New Roman" w:hAnsi="Times New Roman" w:eastAsia="黑体" w:cs="Times New Roman"/>
          <w:color w:val="000000" w:themeColor="text1"/>
          <w:sz w:val="32"/>
          <w:szCs w:val="32"/>
          <w:lang w:eastAsia="zh-CN"/>
          <w14:textFill>
            <w14:solidFill>
              <w14:schemeClr w14:val="tx1"/>
            </w14:solidFill>
          </w14:textFill>
        </w:rPr>
        <w:t>重点</w:t>
      </w:r>
    </w:p>
    <w:p>
      <w:pPr>
        <w:keepNext w:val="0"/>
        <w:keepLines w:val="0"/>
        <w:pageBreakBefore w:val="0"/>
        <w:widowControl w:val="0"/>
        <w:numPr>
          <w:ilvl w:val="0"/>
          <w:numId w:val="0"/>
        </w:numPr>
        <w:kinsoku/>
        <w:wordWrap/>
        <w:overflowPunct/>
        <w:topLinePunct w:val="0"/>
        <w:autoSpaceDE/>
        <w:autoSpaceDN/>
        <w:bidi w:val="0"/>
        <w:adjustRightInd/>
        <w:spacing w:line="586" w:lineRule="exact"/>
        <w:ind w:firstLine="640" w:firstLineChars="200"/>
        <w:jc w:val="left"/>
        <w:textAlignment w:val="auto"/>
        <w:rPr>
          <w:rFonts w:hint="default"/>
          <w:lang w:val="en-US" w:eastAsia="zh-CN"/>
        </w:rPr>
      </w:pPr>
      <w:r>
        <w:rPr>
          <w:rFonts w:hint="eastAsia"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（一）全力拓宽财力渠道，增添财政“源头活水”。</w:t>
      </w:r>
      <w:r>
        <w:rPr>
          <w:rFonts w:hint="eastAsia" w:ascii="Times New Roman" w:hAnsi="Times New Roman" w:eastAsia="仿宋_GB2312" w:cs="Times New Roman"/>
          <w:color w:val="000000" w:themeColor="text1"/>
          <w:kern w:val="2"/>
          <w:sz w:val="32"/>
          <w:szCs w:val="32"/>
          <w:shd w:val="clear" w:color="auto" w:fill="FFFFFF"/>
          <w:lang w:val="en-US" w:eastAsia="zh-CN" w:bidi="ar-SA"/>
          <w14:textFill>
            <w14:solidFill>
              <w14:schemeClr w14:val="tx1"/>
            </w14:solidFill>
          </w14:textFill>
        </w:rPr>
        <w:t>一是大力推进财源建设。充分发挥财源工作领导小组的效用，认真分析，科学研判，为持续提高收入质量，推动县域经济高质量发展提供保障。</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加强财税征管，做大做强财政收入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做好土地“文章”。面对税收增长乏力的情况下，用足用活土地政策做好土地文章，提高土地出让净收益总量，千方百计做大做强地方可支配财力，增强财政保障能力。三是强力盘活国有资产。继续推进闲置固定资产的处置，使“资产”变“资金”，增加财政收入，缓解公共预算平衡压力。四是积极争取资金支持。紧盯地方政府债券和部门专项资金等政策支持重点，积极策划包装迅速跟进对接，保障重点项目的资金需求。</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（二）</w:t>
      </w:r>
      <w:r>
        <w:rPr>
          <w:rFonts w:hint="eastAsia"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强化财政支出管理，促进财政“松绑减负”。</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一是加大宣传提高认识。深入贯彻落实党的二十大和习近平总书记关于“艰苦奋斗、勤俭节约”和“党和政府带头过紧日子”等重要指示精神，充分认识过紧日子、严控一般性支出的重要性和必要性，努力用党和政府的紧日子换老百姓的好日子。二是厉行节约过“紧日子”。压减非刚性、非重点支出；规范人员经费开支。严控机关单位运行经费和其他非必要一般性支出，单位职能职责范围内日常工作和运转支出，原则上在公用经费预算中列支，不得以专项经费名义安排工作经费支出。</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（三）</w:t>
      </w:r>
      <w:r>
        <w:rPr>
          <w:rFonts w:hint="eastAsia"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持续深化财税改革，财力财政“提质增效”。</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规范财政预算管理。</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全面</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实施零基预算改革，深入推进预算管理一体化建设。保障“六稳”“六保”支出，稳住经济发展和民生保障基本盘。</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深化预算绩效管理。加快建成全方位、全过程、全覆盖的预算绩效管理体系</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进一步提高财政资金使用效益。</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健全财政监督机制。严格执行监督检查工作计划，保障财政监督检查工作的有效实施。</w:t>
      </w:r>
    </w:p>
    <w:p>
      <w:pPr>
        <w:pStyle w:val="2"/>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 xml:space="preserve">  </w:t>
      </w:r>
      <w:r>
        <w:rPr>
          <w:rFonts w:hint="eastAsia"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 xml:space="preserve">  （四）有效</w:t>
      </w: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防范</w:t>
      </w:r>
      <w:r>
        <w:rPr>
          <w:rFonts w:hint="eastAsia"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化解</w:t>
      </w: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风险</w:t>
      </w:r>
      <w:r>
        <w:rPr>
          <w:rFonts w:hint="eastAsia"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，确保财政“行稳致远”</w:t>
      </w:r>
      <w:r>
        <w:rPr>
          <w:rFonts w:hint="default" w:ascii="Times New Roman" w:hAnsi="Times New Roman" w:eastAsia="楷体_GB2312" w:cs="Times New Roman"/>
          <w:i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坚持底线思维，树牢红线意识，坚持疏堵结合、依法举借，“开好前门”“严堵后门”，继续从控增量、化存量两方面做好债务管理工作，确保不新增隐性债务。</w:t>
      </w:r>
    </w:p>
    <w:p>
      <w:pPr>
        <w:ind w:firstLine="640" w:firstLineChars="200"/>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各位代表，</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面对错综复杂的外部环境和艰巨繁重的发展任务，我们不惧挑战、坚定信心、迎难而上。新的一年，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我们将在县委</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县</w:t>
      </w:r>
      <w:bookmarkStart w:id="0" w:name="_GoBack"/>
      <w:bookmarkEnd w:id="0"/>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政府</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的坚强领导下，在县人大、政协的有力监督和支持下，紧紧围绕全县重大决策部署，</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以“闯”的精神、“创”的劲头、“干”的作风，在永福县经济高质量发展中展现财政担当。</w:t>
      </w:r>
    </w:p>
    <w:p>
      <w:pPr>
        <w:pStyle w:val="2"/>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pPr>
        <w:rPr>
          <w:rFonts w:hint="default"/>
        </w:rPr>
      </w:pP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8DA7"/>
    <w:multiLevelType w:val="singleLevel"/>
    <w:tmpl w:val="65B48DA7"/>
    <w:lvl w:ilvl="0" w:tentative="0">
      <w:start w:val="5"/>
      <w:numFmt w:val="chineseCounting"/>
      <w:suff w:val="nothing"/>
      <w:lvlText w:val="（%1）"/>
      <w:lvlJc w:val="left"/>
    </w:lvl>
  </w:abstractNum>
  <w:abstractNum w:abstractNumId="1">
    <w:nsid w:val="65B4B812"/>
    <w:multiLevelType w:val="singleLevel"/>
    <w:tmpl w:val="65B4B81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jNTI2OTJlY2Y2Njk4ZDliNDM5ZGVmMWJkMTQ2MWIifQ=="/>
  </w:docVars>
  <w:rsids>
    <w:rsidRoot w:val="1C747391"/>
    <w:rsid w:val="002E4372"/>
    <w:rsid w:val="00660643"/>
    <w:rsid w:val="00874316"/>
    <w:rsid w:val="008C2F50"/>
    <w:rsid w:val="009E25AC"/>
    <w:rsid w:val="00AD3BC8"/>
    <w:rsid w:val="00D52A74"/>
    <w:rsid w:val="00DC2B7E"/>
    <w:rsid w:val="012951E8"/>
    <w:rsid w:val="01D46B4A"/>
    <w:rsid w:val="022310F1"/>
    <w:rsid w:val="02A17558"/>
    <w:rsid w:val="02AD3004"/>
    <w:rsid w:val="02AF312C"/>
    <w:rsid w:val="02BF633D"/>
    <w:rsid w:val="032E5A58"/>
    <w:rsid w:val="03692457"/>
    <w:rsid w:val="03F04E82"/>
    <w:rsid w:val="045B7665"/>
    <w:rsid w:val="04E56AB8"/>
    <w:rsid w:val="04EF4572"/>
    <w:rsid w:val="05090949"/>
    <w:rsid w:val="051F7B62"/>
    <w:rsid w:val="05222607"/>
    <w:rsid w:val="05682675"/>
    <w:rsid w:val="05A723C0"/>
    <w:rsid w:val="05B001D4"/>
    <w:rsid w:val="06095344"/>
    <w:rsid w:val="06206BAE"/>
    <w:rsid w:val="067037CB"/>
    <w:rsid w:val="06B81E33"/>
    <w:rsid w:val="075A4662"/>
    <w:rsid w:val="0787134B"/>
    <w:rsid w:val="07C171E3"/>
    <w:rsid w:val="083F525E"/>
    <w:rsid w:val="08891D50"/>
    <w:rsid w:val="09095D2C"/>
    <w:rsid w:val="0917073B"/>
    <w:rsid w:val="09274BB6"/>
    <w:rsid w:val="09521613"/>
    <w:rsid w:val="09626D45"/>
    <w:rsid w:val="09A61739"/>
    <w:rsid w:val="0A114D81"/>
    <w:rsid w:val="0A6C6B57"/>
    <w:rsid w:val="0AD11139"/>
    <w:rsid w:val="0B361F23"/>
    <w:rsid w:val="0B645629"/>
    <w:rsid w:val="0BE615DA"/>
    <w:rsid w:val="0C225B2B"/>
    <w:rsid w:val="0C7D4936"/>
    <w:rsid w:val="0CAF2803"/>
    <w:rsid w:val="0CCB7A3E"/>
    <w:rsid w:val="0CD64120"/>
    <w:rsid w:val="0D344F5F"/>
    <w:rsid w:val="0D60627B"/>
    <w:rsid w:val="0E127B39"/>
    <w:rsid w:val="0E3D21AC"/>
    <w:rsid w:val="0E4465FD"/>
    <w:rsid w:val="0E915129"/>
    <w:rsid w:val="0F815D3B"/>
    <w:rsid w:val="0F956ABA"/>
    <w:rsid w:val="0FD213FD"/>
    <w:rsid w:val="101F0548"/>
    <w:rsid w:val="10586678"/>
    <w:rsid w:val="10DB7759"/>
    <w:rsid w:val="10FD6AB0"/>
    <w:rsid w:val="1116353D"/>
    <w:rsid w:val="11432C40"/>
    <w:rsid w:val="11513F99"/>
    <w:rsid w:val="11B06C7E"/>
    <w:rsid w:val="11C7702D"/>
    <w:rsid w:val="11C80A9B"/>
    <w:rsid w:val="12344E87"/>
    <w:rsid w:val="12443B05"/>
    <w:rsid w:val="12617F9A"/>
    <w:rsid w:val="131B21BC"/>
    <w:rsid w:val="135A1D67"/>
    <w:rsid w:val="13B92D10"/>
    <w:rsid w:val="13E21730"/>
    <w:rsid w:val="14B04B7F"/>
    <w:rsid w:val="14B416DC"/>
    <w:rsid w:val="14D05551"/>
    <w:rsid w:val="14DC1762"/>
    <w:rsid w:val="14EE357F"/>
    <w:rsid w:val="152C0567"/>
    <w:rsid w:val="154B27DD"/>
    <w:rsid w:val="156761AB"/>
    <w:rsid w:val="15A63124"/>
    <w:rsid w:val="15AD7341"/>
    <w:rsid w:val="15F34E8B"/>
    <w:rsid w:val="162F1B65"/>
    <w:rsid w:val="16934663"/>
    <w:rsid w:val="169C01D9"/>
    <w:rsid w:val="170F3B6B"/>
    <w:rsid w:val="171B4088"/>
    <w:rsid w:val="174A35B9"/>
    <w:rsid w:val="177C7C4E"/>
    <w:rsid w:val="17933217"/>
    <w:rsid w:val="17D14A09"/>
    <w:rsid w:val="17E53D67"/>
    <w:rsid w:val="18031236"/>
    <w:rsid w:val="1853133B"/>
    <w:rsid w:val="18912904"/>
    <w:rsid w:val="18D15FB2"/>
    <w:rsid w:val="191F60E8"/>
    <w:rsid w:val="19447BBC"/>
    <w:rsid w:val="196A0E53"/>
    <w:rsid w:val="19766365"/>
    <w:rsid w:val="197E6D60"/>
    <w:rsid w:val="199A2ACC"/>
    <w:rsid w:val="1A3355DE"/>
    <w:rsid w:val="1A446548"/>
    <w:rsid w:val="1A586C4E"/>
    <w:rsid w:val="1A9E708C"/>
    <w:rsid w:val="1AE368AE"/>
    <w:rsid w:val="1B0C7FB5"/>
    <w:rsid w:val="1C747391"/>
    <w:rsid w:val="1CAA4FE9"/>
    <w:rsid w:val="1D2F289E"/>
    <w:rsid w:val="1D642980"/>
    <w:rsid w:val="1DD9748C"/>
    <w:rsid w:val="1E394BC9"/>
    <w:rsid w:val="1E49736C"/>
    <w:rsid w:val="1E6A399F"/>
    <w:rsid w:val="1EDE07FD"/>
    <w:rsid w:val="1EF03223"/>
    <w:rsid w:val="1F0336AC"/>
    <w:rsid w:val="1F3D698D"/>
    <w:rsid w:val="1F5E3770"/>
    <w:rsid w:val="1F6A62AC"/>
    <w:rsid w:val="1FC5276D"/>
    <w:rsid w:val="1FD25DEB"/>
    <w:rsid w:val="20A02A0D"/>
    <w:rsid w:val="21677A00"/>
    <w:rsid w:val="21992504"/>
    <w:rsid w:val="220A6C76"/>
    <w:rsid w:val="22142D04"/>
    <w:rsid w:val="224F4019"/>
    <w:rsid w:val="22522A13"/>
    <w:rsid w:val="2276110D"/>
    <w:rsid w:val="228E40A5"/>
    <w:rsid w:val="22D823B7"/>
    <w:rsid w:val="22E81088"/>
    <w:rsid w:val="230D58FA"/>
    <w:rsid w:val="237B5F22"/>
    <w:rsid w:val="23F11FDC"/>
    <w:rsid w:val="240F0DC7"/>
    <w:rsid w:val="24391CDE"/>
    <w:rsid w:val="245120C1"/>
    <w:rsid w:val="24683273"/>
    <w:rsid w:val="246F3B99"/>
    <w:rsid w:val="24700119"/>
    <w:rsid w:val="24F86D6F"/>
    <w:rsid w:val="25076D92"/>
    <w:rsid w:val="25371D50"/>
    <w:rsid w:val="254152C4"/>
    <w:rsid w:val="2591557F"/>
    <w:rsid w:val="25D106EC"/>
    <w:rsid w:val="260645A3"/>
    <w:rsid w:val="26317A52"/>
    <w:rsid w:val="26883C2F"/>
    <w:rsid w:val="26B96952"/>
    <w:rsid w:val="26BD6808"/>
    <w:rsid w:val="26DC252D"/>
    <w:rsid w:val="2725111B"/>
    <w:rsid w:val="27975AC7"/>
    <w:rsid w:val="27B13857"/>
    <w:rsid w:val="27C84DA3"/>
    <w:rsid w:val="27FD629C"/>
    <w:rsid w:val="28364C6C"/>
    <w:rsid w:val="28EA1FFA"/>
    <w:rsid w:val="2A4B0367"/>
    <w:rsid w:val="2A501352"/>
    <w:rsid w:val="2A995DF1"/>
    <w:rsid w:val="2AA150E0"/>
    <w:rsid w:val="2AEF7D03"/>
    <w:rsid w:val="2AFE6CEA"/>
    <w:rsid w:val="2B297E76"/>
    <w:rsid w:val="2B4312AB"/>
    <w:rsid w:val="2B6D0B0D"/>
    <w:rsid w:val="2BBD52E0"/>
    <w:rsid w:val="2C2B5140"/>
    <w:rsid w:val="2C904EF9"/>
    <w:rsid w:val="2CA731C4"/>
    <w:rsid w:val="2CD6338A"/>
    <w:rsid w:val="2D07054C"/>
    <w:rsid w:val="2D077542"/>
    <w:rsid w:val="2D1D7812"/>
    <w:rsid w:val="2DA5524E"/>
    <w:rsid w:val="2DA72EB3"/>
    <w:rsid w:val="2DE01FF8"/>
    <w:rsid w:val="2E8C2E9D"/>
    <w:rsid w:val="2E992CE5"/>
    <w:rsid w:val="2E9B14EE"/>
    <w:rsid w:val="2EBF52C4"/>
    <w:rsid w:val="2EC10BC3"/>
    <w:rsid w:val="2EC16C05"/>
    <w:rsid w:val="2FF51053"/>
    <w:rsid w:val="30033855"/>
    <w:rsid w:val="30194EF4"/>
    <w:rsid w:val="302D79B5"/>
    <w:rsid w:val="30724AC0"/>
    <w:rsid w:val="31AE2FD3"/>
    <w:rsid w:val="31B76152"/>
    <w:rsid w:val="322D533B"/>
    <w:rsid w:val="325B1391"/>
    <w:rsid w:val="326C1646"/>
    <w:rsid w:val="32EC2FE0"/>
    <w:rsid w:val="32F133BF"/>
    <w:rsid w:val="33A258A8"/>
    <w:rsid w:val="33FA252C"/>
    <w:rsid w:val="34063F97"/>
    <w:rsid w:val="343E2F1E"/>
    <w:rsid w:val="345F5A0C"/>
    <w:rsid w:val="34C03539"/>
    <w:rsid w:val="34C27719"/>
    <w:rsid w:val="34F01106"/>
    <w:rsid w:val="350777EE"/>
    <w:rsid w:val="35161879"/>
    <w:rsid w:val="351864D5"/>
    <w:rsid w:val="351A635B"/>
    <w:rsid w:val="35453CCA"/>
    <w:rsid w:val="356602FA"/>
    <w:rsid w:val="356A4376"/>
    <w:rsid w:val="357C2BBE"/>
    <w:rsid w:val="35A20D64"/>
    <w:rsid w:val="35A87C6E"/>
    <w:rsid w:val="366B11D8"/>
    <w:rsid w:val="371A300D"/>
    <w:rsid w:val="37892A4A"/>
    <w:rsid w:val="37925B0E"/>
    <w:rsid w:val="37A61377"/>
    <w:rsid w:val="37C61525"/>
    <w:rsid w:val="37E01B8B"/>
    <w:rsid w:val="37FB386A"/>
    <w:rsid w:val="38D40ECE"/>
    <w:rsid w:val="38ED00DA"/>
    <w:rsid w:val="3917341E"/>
    <w:rsid w:val="39736B1E"/>
    <w:rsid w:val="39A74538"/>
    <w:rsid w:val="39E75677"/>
    <w:rsid w:val="3B226AB9"/>
    <w:rsid w:val="3B2D5F10"/>
    <w:rsid w:val="3B4D581A"/>
    <w:rsid w:val="3B772766"/>
    <w:rsid w:val="3B8B1406"/>
    <w:rsid w:val="3C564FC0"/>
    <w:rsid w:val="3D057D01"/>
    <w:rsid w:val="3D3833AE"/>
    <w:rsid w:val="3D441E93"/>
    <w:rsid w:val="3D953A93"/>
    <w:rsid w:val="3DA63EE1"/>
    <w:rsid w:val="3DAC6CDD"/>
    <w:rsid w:val="3ED66C5B"/>
    <w:rsid w:val="3EE45619"/>
    <w:rsid w:val="3F0E6FD2"/>
    <w:rsid w:val="3FB3797C"/>
    <w:rsid w:val="3FB63453"/>
    <w:rsid w:val="3FF74C68"/>
    <w:rsid w:val="40915146"/>
    <w:rsid w:val="4115519E"/>
    <w:rsid w:val="416A710C"/>
    <w:rsid w:val="427F5EB6"/>
    <w:rsid w:val="432419AC"/>
    <w:rsid w:val="433954D5"/>
    <w:rsid w:val="43927327"/>
    <w:rsid w:val="440F0C35"/>
    <w:rsid w:val="44216DE6"/>
    <w:rsid w:val="44623D8B"/>
    <w:rsid w:val="44676B33"/>
    <w:rsid w:val="44B11D79"/>
    <w:rsid w:val="456F3381"/>
    <w:rsid w:val="45976B32"/>
    <w:rsid w:val="45B06AE7"/>
    <w:rsid w:val="45E74077"/>
    <w:rsid w:val="464434BF"/>
    <w:rsid w:val="467209BC"/>
    <w:rsid w:val="46817929"/>
    <w:rsid w:val="46F11ECD"/>
    <w:rsid w:val="47053254"/>
    <w:rsid w:val="47173B9A"/>
    <w:rsid w:val="47253F95"/>
    <w:rsid w:val="47956C4B"/>
    <w:rsid w:val="47AE64B8"/>
    <w:rsid w:val="480E2D9B"/>
    <w:rsid w:val="48213E9E"/>
    <w:rsid w:val="48A13023"/>
    <w:rsid w:val="48C46C07"/>
    <w:rsid w:val="48DC7882"/>
    <w:rsid w:val="48E716D6"/>
    <w:rsid w:val="48F37F6C"/>
    <w:rsid w:val="4A0042B9"/>
    <w:rsid w:val="4A4E36F1"/>
    <w:rsid w:val="4A4F0884"/>
    <w:rsid w:val="4A6A3580"/>
    <w:rsid w:val="4ABD5ABF"/>
    <w:rsid w:val="4AC24334"/>
    <w:rsid w:val="4B8940B8"/>
    <w:rsid w:val="4C175940"/>
    <w:rsid w:val="4C4E5A68"/>
    <w:rsid w:val="4C9C3A81"/>
    <w:rsid w:val="4CB7771B"/>
    <w:rsid w:val="4CC04E50"/>
    <w:rsid w:val="4CF26D82"/>
    <w:rsid w:val="4D6433B5"/>
    <w:rsid w:val="4D877D28"/>
    <w:rsid w:val="4D9A7808"/>
    <w:rsid w:val="4E0C20B7"/>
    <w:rsid w:val="4E350319"/>
    <w:rsid w:val="4EBF5C67"/>
    <w:rsid w:val="4EC10691"/>
    <w:rsid w:val="4F3E124D"/>
    <w:rsid w:val="4F483B83"/>
    <w:rsid w:val="4F4C3D88"/>
    <w:rsid w:val="4FA85ADF"/>
    <w:rsid w:val="501777E2"/>
    <w:rsid w:val="504C050E"/>
    <w:rsid w:val="50607195"/>
    <w:rsid w:val="50C6389E"/>
    <w:rsid w:val="50CB0DD5"/>
    <w:rsid w:val="515177F3"/>
    <w:rsid w:val="515C3EE8"/>
    <w:rsid w:val="517E61FF"/>
    <w:rsid w:val="51E25A4B"/>
    <w:rsid w:val="52507936"/>
    <w:rsid w:val="528A34A9"/>
    <w:rsid w:val="52FE47D9"/>
    <w:rsid w:val="531C5D1D"/>
    <w:rsid w:val="53C83BCF"/>
    <w:rsid w:val="53D54270"/>
    <w:rsid w:val="543F7464"/>
    <w:rsid w:val="54836936"/>
    <w:rsid w:val="54840359"/>
    <w:rsid w:val="54DC267B"/>
    <w:rsid w:val="559D1192"/>
    <w:rsid w:val="55A928F4"/>
    <w:rsid w:val="55E36534"/>
    <w:rsid w:val="55EE3290"/>
    <w:rsid w:val="55F064FD"/>
    <w:rsid w:val="584C41C9"/>
    <w:rsid w:val="5874632C"/>
    <w:rsid w:val="58803792"/>
    <w:rsid w:val="58836F68"/>
    <w:rsid w:val="58BB0A14"/>
    <w:rsid w:val="597C7A60"/>
    <w:rsid w:val="59EB597B"/>
    <w:rsid w:val="59F70B40"/>
    <w:rsid w:val="5A976505"/>
    <w:rsid w:val="5AA16910"/>
    <w:rsid w:val="5AC35B5A"/>
    <w:rsid w:val="5B5561B7"/>
    <w:rsid w:val="5B6B6CE6"/>
    <w:rsid w:val="5B9F7168"/>
    <w:rsid w:val="5C0668D9"/>
    <w:rsid w:val="5C2D0CF8"/>
    <w:rsid w:val="5C403922"/>
    <w:rsid w:val="5C571330"/>
    <w:rsid w:val="5C60148E"/>
    <w:rsid w:val="5C720B88"/>
    <w:rsid w:val="5D054537"/>
    <w:rsid w:val="5D375B56"/>
    <w:rsid w:val="5D3A0116"/>
    <w:rsid w:val="5D701E14"/>
    <w:rsid w:val="5DA50E48"/>
    <w:rsid w:val="5DB72BB6"/>
    <w:rsid w:val="5DCA7057"/>
    <w:rsid w:val="5DDB5CCA"/>
    <w:rsid w:val="5DE5252B"/>
    <w:rsid w:val="5E0C58C9"/>
    <w:rsid w:val="5E963FD1"/>
    <w:rsid w:val="5EBC5E95"/>
    <w:rsid w:val="5EE22819"/>
    <w:rsid w:val="5F245529"/>
    <w:rsid w:val="5F282159"/>
    <w:rsid w:val="5F303A73"/>
    <w:rsid w:val="5F4676FC"/>
    <w:rsid w:val="5FBD53BE"/>
    <w:rsid w:val="5FBF327F"/>
    <w:rsid w:val="5FF73BA6"/>
    <w:rsid w:val="601526E7"/>
    <w:rsid w:val="60281AC3"/>
    <w:rsid w:val="60843C8D"/>
    <w:rsid w:val="60F110D0"/>
    <w:rsid w:val="612B3558"/>
    <w:rsid w:val="61A53290"/>
    <w:rsid w:val="61CD29EE"/>
    <w:rsid w:val="625A0194"/>
    <w:rsid w:val="62604FFA"/>
    <w:rsid w:val="6288653B"/>
    <w:rsid w:val="62956BBF"/>
    <w:rsid w:val="636555C2"/>
    <w:rsid w:val="63AC080D"/>
    <w:rsid w:val="63D07490"/>
    <w:rsid w:val="64306E4C"/>
    <w:rsid w:val="64DF2D70"/>
    <w:rsid w:val="64E41DBB"/>
    <w:rsid w:val="64EB17DA"/>
    <w:rsid w:val="65352AF8"/>
    <w:rsid w:val="671150D7"/>
    <w:rsid w:val="671D0114"/>
    <w:rsid w:val="672A7945"/>
    <w:rsid w:val="67314D68"/>
    <w:rsid w:val="67AA1CF5"/>
    <w:rsid w:val="67B77780"/>
    <w:rsid w:val="67D67B17"/>
    <w:rsid w:val="68303B37"/>
    <w:rsid w:val="689A276C"/>
    <w:rsid w:val="68FE1FC0"/>
    <w:rsid w:val="6954000D"/>
    <w:rsid w:val="6AB440C8"/>
    <w:rsid w:val="6AD4503E"/>
    <w:rsid w:val="6B0B426E"/>
    <w:rsid w:val="6BB87463"/>
    <w:rsid w:val="6BF123D2"/>
    <w:rsid w:val="6C117AEB"/>
    <w:rsid w:val="6CAC428A"/>
    <w:rsid w:val="6D6A0ED8"/>
    <w:rsid w:val="6DA955A7"/>
    <w:rsid w:val="6DF453E1"/>
    <w:rsid w:val="6E0551BD"/>
    <w:rsid w:val="6E212038"/>
    <w:rsid w:val="6E4B4DC5"/>
    <w:rsid w:val="6E7F2EF2"/>
    <w:rsid w:val="6EBB68BB"/>
    <w:rsid w:val="6FDE2F41"/>
    <w:rsid w:val="6FFA604B"/>
    <w:rsid w:val="70074117"/>
    <w:rsid w:val="70443FA0"/>
    <w:rsid w:val="70497D2A"/>
    <w:rsid w:val="70847F6D"/>
    <w:rsid w:val="71424F96"/>
    <w:rsid w:val="71557707"/>
    <w:rsid w:val="715B5914"/>
    <w:rsid w:val="7165190D"/>
    <w:rsid w:val="7204402C"/>
    <w:rsid w:val="726D7568"/>
    <w:rsid w:val="72E229AB"/>
    <w:rsid w:val="731F2697"/>
    <w:rsid w:val="742D69C0"/>
    <w:rsid w:val="74534A0C"/>
    <w:rsid w:val="74D46A50"/>
    <w:rsid w:val="74ED3C61"/>
    <w:rsid w:val="7560358B"/>
    <w:rsid w:val="75E92702"/>
    <w:rsid w:val="76662712"/>
    <w:rsid w:val="76F30696"/>
    <w:rsid w:val="7734072F"/>
    <w:rsid w:val="774A4E26"/>
    <w:rsid w:val="776B1F40"/>
    <w:rsid w:val="776C5220"/>
    <w:rsid w:val="779D3365"/>
    <w:rsid w:val="77DA6D60"/>
    <w:rsid w:val="78644238"/>
    <w:rsid w:val="78B45ADF"/>
    <w:rsid w:val="78B54481"/>
    <w:rsid w:val="79DD65E1"/>
    <w:rsid w:val="7ADA3C8A"/>
    <w:rsid w:val="7B1D4CFB"/>
    <w:rsid w:val="7B8A32BA"/>
    <w:rsid w:val="7BA52FE0"/>
    <w:rsid w:val="7BAE7124"/>
    <w:rsid w:val="7BCC60EC"/>
    <w:rsid w:val="7C1315F7"/>
    <w:rsid w:val="7C5A26DF"/>
    <w:rsid w:val="7C9503A2"/>
    <w:rsid w:val="7C964FE5"/>
    <w:rsid w:val="7CB07B8A"/>
    <w:rsid w:val="7D6B417E"/>
    <w:rsid w:val="7E3C60B8"/>
    <w:rsid w:val="7E5334C3"/>
    <w:rsid w:val="7E533C81"/>
    <w:rsid w:val="7E7A15C2"/>
    <w:rsid w:val="7E883F22"/>
    <w:rsid w:val="7EA0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方正小标宋简体" w:hAnsi="方正小标宋简体" w:eastAsia="方正小标宋简体" w:cs="方正小标宋简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0"/>
    <w:pPr>
      <w:spacing w:line="200" w:lineRule="exact"/>
      <w:ind w:firstLine="0" w:firstLineChars="0"/>
    </w:pPr>
    <w:rPr>
      <w:rFonts w:ascii="Times New Roman" w:hAnsi="Times New Roman" w:eastAsia="仿宋_GB2312" w:cs="Times New Roman"/>
      <w:color w:val="FF0000"/>
      <w:sz w:val="32"/>
      <w:szCs w:val="32"/>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newsstyle=&quot;font-siz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永福县</Company>
  <Pages>13</Pages>
  <Words>6580</Words>
  <Characters>7205</Characters>
  <Lines>61</Lines>
  <Paragraphs>17</Paragraphs>
  <TotalTime>1559</TotalTime>
  <ScaleCrop>false</ScaleCrop>
  <LinksUpToDate>false</LinksUpToDate>
  <CharactersWithSpaces>7214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2022-02-14T07:14:00Z</dcterms:created>
  <dc:creator>Administrator</dc:creator>
  <cp:lastModifiedBy>Administrator</cp:lastModifiedBy>
  <cp:lastPrinted>2023-02-12T09:43:00Z</cp:lastPrinted>
  <dcterms:modified xsi:type="dcterms:W3CDTF">2024-05-07T02:44:28Z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425CB059A7CF4B55B77C14ACB644B20A_13</vt:lpwstr>
  </property>
</Properties>
</file>