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eastAsia="方正小标宋_GBK"/>
          <w:b/>
          <w:bCs/>
          <w:snapToGrid w:val="0"/>
          <w:kern w:val="0"/>
          <w:sz w:val="44"/>
          <w:szCs w:val="44"/>
        </w:rPr>
      </w:pPr>
      <w:r>
        <w:rPr>
          <w:rFonts w:hint="eastAsia" w:eastAsia="方正小标宋_GBK"/>
          <w:b/>
          <w:bCs/>
          <w:snapToGrid w:val="0"/>
          <w:kern w:val="0"/>
          <w:sz w:val="44"/>
          <w:szCs w:val="44"/>
        </w:rPr>
        <w:t>关于永福县</w:t>
      </w:r>
      <w:r>
        <w:rPr>
          <w:rFonts w:hint="eastAsia" w:ascii="方正小标宋简体" w:hAnsi="方正小标宋简体" w:eastAsia="方正小标宋简体" w:cs="方正小标宋简体"/>
          <w:b/>
          <w:bCs/>
          <w:snapToGrid w:val="0"/>
          <w:kern w:val="0"/>
          <w:sz w:val="44"/>
          <w:szCs w:val="44"/>
        </w:rPr>
        <w:t>2021</w:t>
      </w:r>
      <w:r>
        <w:rPr>
          <w:rFonts w:hint="eastAsia" w:eastAsia="方正小标宋_GBK"/>
          <w:b/>
          <w:bCs/>
          <w:snapToGrid w:val="0"/>
          <w:kern w:val="0"/>
          <w:sz w:val="44"/>
          <w:szCs w:val="44"/>
        </w:rPr>
        <w:t>年预算执行情况和</w:t>
      </w:r>
    </w:p>
    <w:p>
      <w:pPr>
        <w:adjustRightInd w:val="0"/>
        <w:snapToGrid w:val="0"/>
        <w:spacing w:line="640" w:lineRule="exact"/>
        <w:jc w:val="center"/>
        <w:rPr>
          <w:rFonts w:hint="eastAsia" w:ascii="楷体_GB2312" w:hAnsi="楷体_GB2312" w:eastAsia="方正小标宋_GBK" w:cs="楷体_GB2312"/>
          <w:spacing w:val="-20"/>
          <w:sz w:val="32"/>
          <w:szCs w:val="32"/>
          <w:lang w:eastAsia="zh-CN"/>
        </w:rPr>
      </w:pPr>
      <w:r>
        <w:rPr>
          <w:rFonts w:hint="eastAsia" w:ascii="方正小标宋简体" w:hAnsi="方正小标宋简体" w:eastAsia="方正小标宋简体" w:cs="方正小标宋简体"/>
          <w:b/>
          <w:bCs/>
          <w:snapToGrid w:val="0"/>
          <w:kern w:val="0"/>
          <w:sz w:val="44"/>
          <w:szCs w:val="44"/>
        </w:rPr>
        <w:t>2022</w:t>
      </w:r>
      <w:r>
        <w:rPr>
          <w:rFonts w:hint="eastAsia" w:eastAsia="方正小标宋_GBK"/>
          <w:b/>
          <w:bCs/>
          <w:snapToGrid w:val="0"/>
          <w:kern w:val="0"/>
          <w:sz w:val="44"/>
          <w:szCs w:val="44"/>
        </w:rPr>
        <w:t>年预算草案的报告</w:t>
      </w:r>
      <w:r>
        <w:rPr>
          <w:rFonts w:hint="eastAsia" w:eastAsia="方正小标宋_GBK"/>
          <w:snapToGrid w:val="0"/>
          <w:kern w:val="0"/>
          <w:sz w:val="44"/>
          <w:szCs w:val="44"/>
          <w:lang w:eastAsia="zh-CN"/>
        </w:rPr>
        <w:t>（</w:t>
      </w:r>
      <w:r>
        <w:rPr>
          <w:rFonts w:hint="eastAsia" w:eastAsia="方正小标宋_GBK"/>
          <w:snapToGrid w:val="0"/>
          <w:kern w:val="0"/>
          <w:sz w:val="44"/>
          <w:szCs w:val="44"/>
        </w:rPr>
        <w:t>书面</w:t>
      </w:r>
      <w:r>
        <w:rPr>
          <w:rFonts w:hint="eastAsia" w:eastAsia="方正小标宋_GBK"/>
          <w:snapToGrid w:val="0"/>
          <w:kern w:val="0"/>
          <w:sz w:val="44"/>
          <w:szCs w:val="44"/>
          <w:lang w:eastAsia="zh-CN"/>
        </w:rPr>
        <w:t>）</w:t>
      </w:r>
    </w:p>
    <w:p>
      <w:pPr>
        <w:spacing w:line="800" w:lineRule="exact"/>
        <w:jc w:val="center"/>
        <w:rPr>
          <w:rFonts w:hint="default" w:ascii="Times New Roman" w:hAnsi="Times New Roman" w:eastAsia="楷体_GB2312" w:cs="Times New Roman"/>
          <w:spacing w:val="-20"/>
          <w:sz w:val="32"/>
          <w:szCs w:val="32"/>
        </w:rPr>
      </w:pPr>
      <w:r>
        <w:rPr>
          <w:rFonts w:hint="default" w:ascii="Times New Roman" w:hAnsi="Times New Roman" w:eastAsia="楷体_GB2312" w:cs="Times New Roman"/>
          <w:spacing w:val="-20"/>
          <w:sz w:val="32"/>
          <w:szCs w:val="32"/>
        </w:rPr>
        <w:t>——2022年2月24日在永福县第十七届人民代表大会第二次会议上</w:t>
      </w:r>
    </w:p>
    <w:p>
      <w:pPr>
        <w:spacing w:line="586"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永福县财政局</w:t>
      </w:r>
    </w:p>
    <w:p>
      <w:pPr>
        <w:spacing w:line="586" w:lineRule="exact"/>
        <w:jc w:val="left"/>
        <w:rPr>
          <w:rFonts w:eastAsia="仿宋_GB2312"/>
          <w:sz w:val="32"/>
          <w:szCs w:val="32"/>
        </w:rPr>
      </w:pPr>
      <w:r>
        <w:rPr>
          <w:rFonts w:hint="eastAsia" w:eastAsia="仿宋_GB2312"/>
          <w:sz w:val="32"/>
          <w:szCs w:val="32"/>
        </w:rPr>
        <w:t>各位代表：</w:t>
      </w:r>
    </w:p>
    <w:p>
      <w:pPr>
        <w:spacing w:line="586"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受县人民政府委托，现将永福县2021年预算执行情况和2022年预算草案提请县十六届人大第七次会议审议，并请政协各位委员和其他列席会议的同志提出意见。</w:t>
      </w:r>
    </w:p>
    <w:p>
      <w:pPr>
        <w:spacing w:line="586"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一、2021年预算执行情况</w:t>
      </w:r>
    </w:p>
    <w:p>
      <w:pPr>
        <w:spacing w:line="586"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是“十四五”规划的开局之年，也是全面建设社会主义现代化国家新征程开启之年，面对复杂的经济形势，财政部门在县委、县政府的坚强领导下，在县人大和县政协的监督指导下，克难攻坚，开拓奋进，开源节流，牢固树立“财为政服务”理念，严格预算执行，加强财政监督，不断规范财政管理，较好地完成了全年各项工作任务，为全县经济社会稳步发展、持续向好提供强有力的财力保障。</w:t>
      </w:r>
    </w:p>
    <w:p>
      <w:pPr>
        <w:spacing w:line="586"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全县组织财政收入累计完成59234万元，完成年度收入预算53725万元的110.25%，同比增加8548万元（上年同期50686万元），增长16.86%。其中：一般公共预算收入31835万元（上年同期29529万元），完成年初预算29776万元的106.91%，同比增加2306万元，增长7.81%。全县组织财政收入中税收收入完成53114万元（上年42580万元），同比增加10534万元，增长24.74%；财政收入完成6120万元（上年同期8106万元），同比减少1986万元，减少24.53%。</w:t>
      </w:r>
    </w:p>
    <w:p>
      <w:pPr>
        <w:spacing w:line="586"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全县一般公共财政预算收入31835万元，其中税收收入24235万元，非税收入7600万元，税收收入占一般公共预算收入的76.13%，同比上年增长了6.11个百分点。</w:t>
      </w:r>
    </w:p>
    <w:p>
      <w:pPr>
        <w:spacing w:line="586" w:lineRule="exact"/>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　　（一）公共财政预算执行情况</w:t>
      </w:r>
    </w:p>
    <w:p>
      <w:pPr>
        <w:spacing w:line="586"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2021年公共财政预算收入280630万元，支出258738万元。收支相抵，年终滚存结余21892万元，其中：专款结余21892万元。</w:t>
      </w:r>
    </w:p>
    <w:p>
      <w:pPr>
        <w:spacing w:line="586" w:lineRule="exact"/>
        <w:ind w:firstLine="643" w:firstLineChars="200"/>
        <w:jc w:val="left"/>
        <w:rPr>
          <w:rFonts w:eastAsia="仿宋_GB2312"/>
          <w:b/>
          <w:bCs/>
          <w:sz w:val="32"/>
          <w:szCs w:val="32"/>
        </w:rPr>
      </w:pPr>
      <w:r>
        <w:rPr>
          <w:rFonts w:hint="default" w:ascii="Times New Roman" w:hAnsi="Times New Roman" w:eastAsia="仿宋_GB2312" w:cs="Times New Roman"/>
          <w:b/>
          <w:bCs/>
          <w:sz w:val="32"/>
          <w:szCs w:val="32"/>
        </w:rPr>
        <w:t>1</w:t>
      </w:r>
      <w:r>
        <w:rPr>
          <w:rFonts w:hint="eastAsia" w:eastAsia="仿宋_GB2312"/>
          <w:b/>
          <w:bCs/>
          <w:sz w:val="32"/>
          <w:szCs w:val="32"/>
        </w:rPr>
        <w:t>.公共财政预算收入</w:t>
      </w:r>
    </w:p>
    <w:p>
      <w:pPr>
        <w:spacing w:line="586"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公共财政预算收入280630万元。其中：一般公共财政预算收入31835万元；上级补助收入181889万元；上年结余收入11764万元；政府性基金预算调入46700万元，动用预算稳定调节基金1916万元；地方政府性债券转贷收入6526万元。</w:t>
      </w:r>
    </w:p>
    <w:p>
      <w:pPr>
        <w:spacing w:line="586"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本级一般公共财政预算收入31835万元。税收收入24235万元，完成年初预算23026万元的105.25%，与上年执行数20677万元同比增加3557万元，增长17.20%。其中：增值税9223万元，增长27.74%；企业所得税1022万元，减少12.8%；个人所得税1170万元，增长137.8%；耕地占用税1230万元，减少59.91%；契税2777万元，增长16.83%。</w:t>
      </w:r>
    </w:p>
    <w:p>
      <w:pPr>
        <w:spacing w:line="586" w:lineRule="exact"/>
        <w:ind w:firstLine="640" w:firstLineChars="200"/>
        <w:jc w:val="left"/>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非税收入7600万元，完成年初预算6750万元112.59%，与上年执行数8852万元减少1252万元，减少14.14%。其中：</w:t>
      </w:r>
      <w:r>
        <w:rPr>
          <w:rFonts w:hint="eastAsia" w:ascii="仿宋_GB2312" w:hAnsi="仿宋_GB2312" w:eastAsia="仿宋_GB2312" w:cs="仿宋_GB2312"/>
          <w:sz w:val="32"/>
          <w:szCs w:val="32"/>
        </w:rPr>
        <w:t>专项收入</w:t>
      </w:r>
      <w:r>
        <w:rPr>
          <w:rFonts w:hint="default" w:ascii="Times New Roman" w:hAnsi="Times New Roman" w:eastAsia="仿宋_GB2312" w:cs="Times New Roman"/>
          <w:sz w:val="32"/>
          <w:szCs w:val="32"/>
        </w:rPr>
        <w:t>2104</w:t>
      </w:r>
      <w:r>
        <w:rPr>
          <w:rFonts w:hint="eastAsia" w:ascii="仿宋_GB2312" w:hAnsi="仿宋_GB2312" w:eastAsia="仿宋_GB2312" w:cs="仿宋_GB2312"/>
          <w:sz w:val="32"/>
          <w:szCs w:val="32"/>
        </w:rPr>
        <w:t>万元，增长</w:t>
      </w:r>
      <w:r>
        <w:rPr>
          <w:rFonts w:hint="default" w:ascii="Times New Roman" w:hAnsi="Times New Roman" w:eastAsia="仿宋_GB2312" w:cs="Times New Roman"/>
          <w:sz w:val="32"/>
          <w:szCs w:val="32"/>
        </w:rPr>
        <w:t>40.92%</w:t>
      </w:r>
      <w:r>
        <w:rPr>
          <w:rFonts w:hint="eastAsia" w:ascii="仿宋_GB2312" w:hAnsi="仿宋_GB2312" w:eastAsia="仿宋_GB2312" w:cs="仿宋_GB2312"/>
          <w:sz w:val="32"/>
          <w:szCs w:val="32"/>
        </w:rPr>
        <w:t>；国有资源（资产）有偿使用收入</w:t>
      </w:r>
      <w:r>
        <w:rPr>
          <w:rFonts w:hint="default" w:ascii="Times New Roman" w:hAnsi="Times New Roman" w:eastAsia="仿宋_GB2312" w:cs="Times New Roman"/>
          <w:sz w:val="32"/>
          <w:szCs w:val="32"/>
        </w:rPr>
        <w:t>884</w:t>
      </w:r>
      <w:r>
        <w:rPr>
          <w:rFonts w:hint="eastAsia" w:ascii="仿宋_GB2312" w:hAnsi="仿宋_GB2312" w:eastAsia="仿宋_GB2312" w:cs="仿宋_GB2312"/>
          <w:sz w:val="32"/>
          <w:szCs w:val="32"/>
        </w:rPr>
        <w:t>万元，减少</w:t>
      </w:r>
      <w:r>
        <w:rPr>
          <w:rFonts w:hint="default" w:ascii="Times New Roman" w:hAnsi="Times New Roman" w:eastAsia="仿宋_GB2312" w:cs="Times New Roman"/>
          <w:sz w:val="32"/>
          <w:szCs w:val="32"/>
        </w:rPr>
        <w:t>78.4%</w:t>
      </w:r>
      <w:r>
        <w:rPr>
          <w:rFonts w:hint="eastAsia" w:ascii="仿宋_GB2312" w:hAnsi="仿宋_GB2312" w:eastAsia="仿宋_GB2312" w:cs="仿宋_GB2312"/>
          <w:sz w:val="32"/>
          <w:szCs w:val="32"/>
        </w:rPr>
        <w:t>；行政事业性收费收入</w:t>
      </w:r>
      <w:r>
        <w:rPr>
          <w:rFonts w:hint="default" w:ascii="Times New Roman" w:hAnsi="Times New Roman" w:eastAsia="仿宋_GB2312" w:cs="Times New Roman"/>
          <w:sz w:val="32"/>
          <w:szCs w:val="32"/>
        </w:rPr>
        <w:t>2151</w:t>
      </w:r>
      <w:r>
        <w:rPr>
          <w:rFonts w:hint="eastAsia" w:ascii="仿宋_GB2312" w:hAnsi="仿宋_GB2312" w:eastAsia="仿宋_GB2312" w:cs="仿宋_GB2312"/>
          <w:sz w:val="32"/>
          <w:szCs w:val="32"/>
        </w:rPr>
        <w:t>万元，增长</w:t>
      </w:r>
      <w:r>
        <w:rPr>
          <w:rFonts w:hint="default" w:ascii="Times New Roman" w:hAnsi="Times New Roman" w:eastAsia="仿宋_GB2312" w:cs="Times New Roman"/>
          <w:sz w:val="32"/>
          <w:szCs w:val="32"/>
        </w:rPr>
        <w:t>64.07%</w:t>
      </w:r>
      <w:r>
        <w:rPr>
          <w:rFonts w:hint="eastAsia" w:ascii="仿宋_GB2312" w:hAnsi="仿宋_GB2312" w:eastAsia="仿宋_GB2312" w:cs="仿宋_GB2312"/>
          <w:sz w:val="32"/>
          <w:szCs w:val="32"/>
        </w:rPr>
        <w:t>；罚没收入</w:t>
      </w:r>
      <w:r>
        <w:rPr>
          <w:rFonts w:hint="default" w:ascii="Times New Roman" w:hAnsi="Times New Roman" w:eastAsia="仿宋_GB2312" w:cs="Times New Roman"/>
          <w:sz w:val="32"/>
          <w:szCs w:val="32"/>
        </w:rPr>
        <w:t>1598</w:t>
      </w:r>
      <w:r>
        <w:rPr>
          <w:rFonts w:hint="eastAsia" w:ascii="仿宋_GB2312" w:hAnsi="仿宋_GB2312" w:eastAsia="仿宋_GB2312" w:cs="仿宋_GB2312"/>
          <w:sz w:val="32"/>
          <w:szCs w:val="32"/>
        </w:rPr>
        <w:t>万元，增长</w:t>
      </w:r>
      <w:r>
        <w:rPr>
          <w:rFonts w:hint="default" w:ascii="Times New Roman" w:hAnsi="Times New Roman" w:eastAsia="仿宋_GB2312" w:cs="Times New Roman"/>
          <w:sz w:val="32"/>
          <w:szCs w:val="32"/>
        </w:rPr>
        <w:t>12.46%</w:t>
      </w:r>
      <w:r>
        <w:rPr>
          <w:rFonts w:hint="eastAsia" w:ascii="仿宋_GB2312" w:hAnsi="仿宋_GB2312" w:eastAsia="仿宋_GB2312" w:cs="仿宋_GB2312"/>
          <w:sz w:val="32"/>
          <w:szCs w:val="32"/>
        </w:rPr>
        <w:t>；其它收入</w:t>
      </w:r>
      <w:r>
        <w:rPr>
          <w:rFonts w:hint="default" w:ascii="Times New Roman" w:hAnsi="Times New Roman" w:eastAsia="仿宋_GB2312" w:cs="Times New Roman"/>
          <w:sz w:val="32"/>
          <w:szCs w:val="32"/>
        </w:rPr>
        <w:t>555</w:t>
      </w:r>
      <w:r>
        <w:rPr>
          <w:rFonts w:hint="eastAsia" w:ascii="仿宋_GB2312" w:hAnsi="仿宋_GB2312" w:eastAsia="仿宋_GB2312" w:cs="仿宋_GB2312"/>
          <w:sz w:val="32"/>
          <w:szCs w:val="32"/>
        </w:rPr>
        <w:t>万元，增长</w:t>
      </w:r>
      <w:r>
        <w:rPr>
          <w:rFonts w:hint="default" w:ascii="Times New Roman" w:hAnsi="Times New Roman" w:eastAsia="仿宋_GB2312" w:cs="Times New Roman"/>
          <w:sz w:val="32"/>
          <w:szCs w:val="32"/>
        </w:rPr>
        <w:t>183.16%</w:t>
      </w:r>
      <w:r>
        <w:rPr>
          <w:rFonts w:hint="eastAsia" w:ascii="仿宋_GB2312" w:hAnsi="仿宋_GB2312" w:eastAsia="仿宋_GB2312" w:cs="仿宋_GB2312"/>
          <w:sz w:val="32"/>
          <w:szCs w:val="32"/>
        </w:rPr>
        <w:t>。</w:t>
      </w:r>
    </w:p>
    <w:p>
      <w:pPr>
        <w:spacing w:line="586" w:lineRule="exact"/>
        <w:ind w:firstLine="643" w:firstLineChars="200"/>
        <w:jc w:val="left"/>
        <w:rPr>
          <w:rFonts w:eastAsia="仿宋_GB2312"/>
          <w:b/>
          <w:bCs/>
          <w:sz w:val="32"/>
          <w:szCs w:val="32"/>
        </w:rPr>
      </w:pPr>
      <w:r>
        <w:rPr>
          <w:rFonts w:hint="default" w:ascii="Times New Roman" w:hAnsi="Times New Roman" w:eastAsia="仿宋_GB2312" w:cs="Times New Roman"/>
          <w:b/>
          <w:bCs/>
          <w:sz w:val="32"/>
          <w:szCs w:val="32"/>
        </w:rPr>
        <w:t>2</w:t>
      </w:r>
      <w:r>
        <w:rPr>
          <w:rFonts w:hint="eastAsia" w:eastAsia="仿宋_GB2312"/>
          <w:b/>
          <w:bCs/>
          <w:sz w:val="32"/>
          <w:szCs w:val="32"/>
        </w:rPr>
        <w:t>.公共财政预算支出</w:t>
      </w:r>
    </w:p>
    <w:p>
      <w:pPr>
        <w:spacing w:line="58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2021年公共财政预算支出</w:t>
      </w:r>
      <w:r>
        <w:rPr>
          <w:rFonts w:hint="default" w:ascii="Times New Roman" w:hAnsi="Times New Roman" w:eastAsia="仿宋_GB2312" w:cs="Times New Roman"/>
          <w:sz w:val="32"/>
          <w:szCs w:val="32"/>
        </w:rPr>
        <w:t>280630</w:t>
      </w:r>
      <w:r>
        <w:rPr>
          <w:rFonts w:hint="eastAsia" w:ascii="仿宋_GB2312" w:hAnsi="仿宋_GB2312" w:eastAsia="仿宋_GB2312" w:cs="仿宋_GB2312"/>
          <w:sz w:val="32"/>
          <w:szCs w:val="32"/>
        </w:rPr>
        <w:t>万元，其中：一般公共财政预算支出</w:t>
      </w:r>
      <w:r>
        <w:rPr>
          <w:rFonts w:hint="default" w:ascii="Times New Roman" w:hAnsi="Times New Roman" w:eastAsia="仿宋_GB2312" w:cs="Times New Roman"/>
          <w:sz w:val="32"/>
          <w:szCs w:val="32"/>
        </w:rPr>
        <w:t>252250</w:t>
      </w:r>
      <w:r>
        <w:rPr>
          <w:rFonts w:hint="eastAsia" w:ascii="仿宋_GB2312" w:hAnsi="仿宋_GB2312" w:eastAsia="仿宋_GB2312" w:cs="仿宋_GB2312"/>
          <w:sz w:val="32"/>
          <w:szCs w:val="32"/>
        </w:rPr>
        <w:t>万元、上解上级支出</w:t>
      </w:r>
      <w:r>
        <w:rPr>
          <w:rFonts w:hint="default" w:ascii="Times New Roman" w:hAnsi="Times New Roman" w:eastAsia="仿宋_GB2312" w:cs="Times New Roman"/>
          <w:sz w:val="32"/>
          <w:szCs w:val="32"/>
        </w:rPr>
        <w:t>1205</w:t>
      </w:r>
      <w:r>
        <w:rPr>
          <w:rFonts w:hint="eastAsia" w:ascii="仿宋_GB2312" w:hAnsi="仿宋_GB2312" w:eastAsia="仿宋_GB2312" w:cs="仿宋_GB2312"/>
          <w:sz w:val="32"/>
          <w:szCs w:val="32"/>
        </w:rPr>
        <w:t>万元、债务还本支出</w:t>
      </w:r>
      <w:r>
        <w:rPr>
          <w:rFonts w:hint="default" w:ascii="Times New Roman" w:hAnsi="Times New Roman" w:eastAsia="仿宋_GB2312" w:cs="Times New Roman"/>
          <w:sz w:val="32"/>
          <w:szCs w:val="32"/>
        </w:rPr>
        <w:t>4329</w:t>
      </w:r>
      <w:r>
        <w:rPr>
          <w:rFonts w:hint="eastAsia" w:ascii="仿宋_GB2312" w:hAnsi="仿宋_GB2312" w:eastAsia="仿宋_GB2312" w:cs="仿宋_GB2312"/>
          <w:sz w:val="32"/>
          <w:szCs w:val="32"/>
        </w:rPr>
        <w:t>万元、安排预算稳定调节基金</w:t>
      </w:r>
      <w:r>
        <w:rPr>
          <w:rFonts w:hint="default" w:ascii="Times New Roman" w:hAnsi="Times New Roman" w:eastAsia="仿宋_GB2312" w:cs="Times New Roman"/>
          <w:sz w:val="32"/>
          <w:szCs w:val="32"/>
        </w:rPr>
        <w:t>954</w:t>
      </w:r>
      <w:r>
        <w:rPr>
          <w:rFonts w:hint="eastAsia" w:ascii="仿宋_GB2312" w:hAnsi="仿宋_GB2312" w:eastAsia="仿宋_GB2312" w:cs="仿宋_GB2312"/>
          <w:sz w:val="32"/>
          <w:szCs w:val="32"/>
        </w:rPr>
        <w:t>万元。</w:t>
      </w:r>
    </w:p>
    <w:p>
      <w:pPr>
        <w:spacing w:line="586" w:lineRule="exact"/>
        <w:ind w:firstLine="643" w:firstLineChars="200"/>
        <w:jc w:val="left"/>
        <w:rPr>
          <w:rFonts w:eastAsia="仿宋_GB2312"/>
          <w:b/>
          <w:bCs/>
          <w:sz w:val="32"/>
          <w:szCs w:val="32"/>
        </w:rPr>
      </w:pPr>
      <w:r>
        <w:rPr>
          <w:rFonts w:hint="default" w:ascii="Times New Roman" w:hAnsi="Times New Roman" w:eastAsia="仿宋_GB2312" w:cs="Times New Roman"/>
          <w:b/>
          <w:bCs/>
          <w:sz w:val="32"/>
          <w:szCs w:val="32"/>
        </w:rPr>
        <w:t>3</w:t>
      </w:r>
      <w:r>
        <w:rPr>
          <w:rFonts w:hint="eastAsia" w:eastAsia="仿宋_GB2312"/>
          <w:b/>
          <w:bCs/>
          <w:sz w:val="32"/>
          <w:szCs w:val="32"/>
        </w:rPr>
        <w:t>.总预备费安排使用情况</w:t>
      </w:r>
    </w:p>
    <w:p>
      <w:pPr>
        <w:spacing w:line="586" w:lineRule="exact"/>
        <w:ind w:firstLine="640" w:firstLineChars="200"/>
        <w:jc w:val="left"/>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2021</w:t>
      </w:r>
      <w:r>
        <w:rPr>
          <w:rFonts w:hint="eastAsia" w:ascii="仿宋_GB2312" w:hAnsi="仿宋_GB2312" w:eastAsia="仿宋_GB2312" w:cs="仿宋_GB2312"/>
          <w:sz w:val="32"/>
          <w:szCs w:val="32"/>
        </w:rPr>
        <w:t>年县本级预算安排总预备费</w:t>
      </w:r>
      <w:r>
        <w:rPr>
          <w:rFonts w:hint="default" w:ascii="Times New Roman" w:hAnsi="Times New Roman" w:eastAsia="仿宋_GB2312" w:cs="Times New Roman"/>
          <w:sz w:val="32"/>
          <w:szCs w:val="32"/>
        </w:rPr>
        <w:t>2800</w:t>
      </w:r>
      <w:r>
        <w:rPr>
          <w:rFonts w:hint="eastAsia" w:ascii="仿宋_GB2312" w:hAnsi="仿宋_GB2312" w:eastAsia="仿宋_GB2312" w:cs="仿宋_GB2312"/>
          <w:sz w:val="32"/>
          <w:szCs w:val="32"/>
        </w:rPr>
        <w:t>万元，由于刚性支出增加，已全部用于平衡预算，分散在各支出科目中。</w:t>
      </w:r>
    </w:p>
    <w:p>
      <w:pPr>
        <w:spacing w:line="586" w:lineRule="exact"/>
        <w:ind w:firstLine="643" w:firstLineChars="200"/>
        <w:jc w:val="left"/>
        <w:rPr>
          <w:rFonts w:eastAsia="仿宋_GB2312"/>
          <w:b/>
          <w:bCs/>
          <w:sz w:val="32"/>
          <w:szCs w:val="32"/>
        </w:rPr>
      </w:pPr>
      <w:r>
        <w:rPr>
          <w:rFonts w:hint="eastAsia" w:ascii="楷体_GB2312" w:hAnsi="楷体_GB2312" w:eastAsia="楷体_GB2312" w:cs="楷体_GB2312"/>
          <w:b/>
          <w:bCs/>
          <w:sz w:val="32"/>
          <w:szCs w:val="32"/>
        </w:rPr>
        <w:t>（二）政府性基金预算执行情况</w:t>
      </w:r>
    </w:p>
    <w:p>
      <w:pPr>
        <w:spacing w:line="58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政府性基金总收入</w:t>
      </w:r>
      <w:r>
        <w:rPr>
          <w:rFonts w:hint="default" w:ascii="Times New Roman" w:hAnsi="Times New Roman" w:eastAsia="仿宋_GB2312" w:cs="Times New Roman"/>
          <w:sz w:val="32"/>
          <w:szCs w:val="32"/>
        </w:rPr>
        <w:t>151470</w:t>
      </w:r>
      <w:r>
        <w:rPr>
          <w:rFonts w:hint="eastAsia" w:ascii="仿宋_GB2312" w:hAnsi="仿宋_GB2312" w:eastAsia="仿宋_GB2312" w:cs="仿宋_GB2312"/>
          <w:sz w:val="32"/>
          <w:szCs w:val="32"/>
        </w:rPr>
        <w:t>万元，其中：当年基金收入</w:t>
      </w:r>
      <w:r>
        <w:rPr>
          <w:rFonts w:hint="default" w:ascii="Times New Roman" w:hAnsi="Times New Roman" w:eastAsia="仿宋_GB2312" w:cs="Times New Roman"/>
          <w:sz w:val="32"/>
          <w:szCs w:val="32"/>
        </w:rPr>
        <w:t>95582</w:t>
      </w:r>
      <w:r>
        <w:rPr>
          <w:rFonts w:hint="eastAsia" w:ascii="仿宋_GB2312" w:hAnsi="仿宋_GB2312" w:eastAsia="仿宋_GB2312" w:cs="仿宋_GB2312"/>
          <w:sz w:val="32"/>
          <w:szCs w:val="32"/>
        </w:rPr>
        <w:t>万元，完成年初预算的</w:t>
      </w:r>
      <w:r>
        <w:rPr>
          <w:rFonts w:hint="default" w:ascii="Times New Roman" w:hAnsi="Times New Roman" w:eastAsia="仿宋_GB2312" w:cs="Times New Roman"/>
          <w:sz w:val="32"/>
          <w:szCs w:val="32"/>
        </w:rPr>
        <w:t>78.34%</w:t>
      </w:r>
      <w:r>
        <w:rPr>
          <w:rFonts w:hint="eastAsia" w:ascii="仿宋_GB2312" w:hAnsi="仿宋_GB2312" w:eastAsia="仿宋_GB2312" w:cs="仿宋_GB2312"/>
          <w:sz w:val="32"/>
          <w:szCs w:val="32"/>
        </w:rPr>
        <w:t>，同比增长</w:t>
      </w:r>
      <w:r>
        <w:rPr>
          <w:rFonts w:hint="default" w:ascii="Times New Roman" w:hAnsi="Times New Roman" w:eastAsia="仿宋_GB2312" w:cs="Times New Roman"/>
          <w:sz w:val="32"/>
          <w:szCs w:val="32"/>
        </w:rPr>
        <w:t>47.72%</w:t>
      </w:r>
      <w:r>
        <w:rPr>
          <w:rFonts w:hint="eastAsia" w:ascii="仿宋_GB2312" w:hAnsi="仿宋_GB2312" w:eastAsia="仿宋_GB2312" w:cs="仿宋_GB2312"/>
          <w:sz w:val="32"/>
          <w:szCs w:val="32"/>
        </w:rPr>
        <w:t>；上年结余收入</w:t>
      </w:r>
      <w:r>
        <w:rPr>
          <w:rFonts w:hint="default" w:ascii="Times New Roman" w:hAnsi="Times New Roman" w:eastAsia="仿宋_GB2312" w:cs="Times New Roman"/>
          <w:sz w:val="32"/>
          <w:szCs w:val="32"/>
        </w:rPr>
        <w:t>3478</w:t>
      </w:r>
      <w:r>
        <w:rPr>
          <w:rFonts w:hint="eastAsia" w:ascii="仿宋_GB2312" w:hAnsi="仿宋_GB2312" w:eastAsia="仿宋_GB2312" w:cs="仿宋_GB2312"/>
          <w:sz w:val="32"/>
          <w:szCs w:val="32"/>
        </w:rPr>
        <w:t>万元；上级补助收入</w:t>
      </w:r>
      <w:r>
        <w:rPr>
          <w:rFonts w:hint="default" w:ascii="Times New Roman" w:hAnsi="Times New Roman" w:eastAsia="仿宋_GB2312" w:cs="Times New Roman"/>
          <w:sz w:val="32"/>
          <w:szCs w:val="32"/>
        </w:rPr>
        <w:t>1676</w:t>
      </w:r>
      <w:r>
        <w:rPr>
          <w:rFonts w:hint="eastAsia" w:ascii="仿宋_GB2312" w:hAnsi="仿宋_GB2312" w:eastAsia="仿宋_GB2312" w:cs="仿宋_GB2312"/>
          <w:sz w:val="32"/>
          <w:szCs w:val="32"/>
        </w:rPr>
        <w:t>万元；地方政府专项债务转贷收入</w:t>
      </w:r>
      <w:r>
        <w:rPr>
          <w:rFonts w:hint="default" w:ascii="Times New Roman" w:hAnsi="Times New Roman" w:eastAsia="仿宋_GB2312" w:cs="Times New Roman"/>
          <w:sz w:val="32"/>
          <w:szCs w:val="32"/>
        </w:rPr>
        <w:t>45100</w:t>
      </w:r>
      <w:r>
        <w:rPr>
          <w:rFonts w:hint="eastAsia" w:ascii="仿宋_GB2312" w:hAnsi="仿宋_GB2312" w:eastAsia="仿宋_GB2312" w:cs="仿宋_GB2312"/>
          <w:sz w:val="32"/>
          <w:szCs w:val="32"/>
        </w:rPr>
        <w:t>万元。</w:t>
      </w:r>
    </w:p>
    <w:p>
      <w:pPr>
        <w:spacing w:line="586" w:lineRule="exact"/>
        <w:ind w:firstLine="640" w:firstLineChars="200"/>
        <w:jc w:val="left"/>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政府性基金支出</w:t>
      </w:r>
      <w:r>
        <w:rPr>
          <w:rFonts w:hint="default" w:ascii="Times New Roman" w:hAnsi="Times New Roman" w:eastAsia="仿宋_GB2312" w:cs="Times New Roman"/>
          <w:sz w:val="32"/>
          <w:szCs w:val="32"/>
        </w:rPr>
        <w:t>151470</w:t>
      </w:r>
      <w:r>
        <w:rPr>
          <w:rFonts w:hint="eastAsia" w:ascii="仿宋_GB2312" w:hAnsi="仿宋_GB2312" w:eastAsia="仿宋_GB2312" w:cs="仿宋_GB2312"/>
          <w:sz w:val="32"/>
          <w:szCs w:val="32"/>
        </w:rPr>
        <w:t>万元，其中：当年基金支出</w:t>
      </w:r>
      <w:r>
        <w:rPr>
          <w:rFonts w:hint="default" w:ascii="Times New Roman" w:hAnsi="Times New Roman" w:eastAsia="仿宋_GB2312" w:cs="Times New Roman"/>
          <w:sz w:val="32"/>
          <w:szCs w:val="32"/>
        </w:rPr>
        <w:t>95372</w:t>
      </w:r>
      <w:r>
        <w:rPr>
          <w:rFonts w:hint="eastAsia" w:ascii="仿宋_GB2312" w:hAnsi="仿宋_GB2312" w:eastAsia="仿宋_GB2312" w:cs="仿宋_GB2312"/>
          <w:sz w:val="32"/>
          <w:szCs w:val="32"/>
        </w:rPr>
        <w:t>万元，完成年初预算的</w:t>
      </w:r>
      <w:r>
        <w:rPr>
          <w:rFonts w:hint="default" w:ascii="Times New Roman" w:hAnsi="Times New Roman" w:eastAsia="仿宋_GB2312" w:cs="Times New Roman"/>
          <w:sz w:val="32"/>
          <w:szCs w:val="32"/>
        </w:rPr>
        <w:t>264.14%</w:t>
      </w:r>
      <w:r>
        <w:rPr>
          <w:rFonts w:hint="eastAsia" w:ascii="仿宋_GB2312" w:hAnsi="仿宋_GB2312" w:eastAsia="仿宋_GB2312" w:cs="仿宋_GB2312"/>
          <w:sz w:val="32"/>
          <w:szCs w:val="32"/>
        </w:rPr>
        <w:t>，同比增长</w:t>
      </w:r>
      <w:r>
        <w:rPr>
          <w:rFonts w:hint="default" w:ascii="Times New Roman" w:hAnsi="Times New Roman" w:eastAsia="仿宋_GB2312" w:cs="Times New Roman"/>
          <w:sz w:val="32"/>
          <w:szCs w:val="32"/>
        </w:rPr>
        <w:t>21.17%</w:t>
      </w:r>
      <w:r>
        <w:rPr>
          <w:rFonts w:hint="eastAsia" w:ascii="仿宋_GB2312" w:hAnsi="仿宋_GB2312" w:eastAsia="仿宋_GB2312" w:cs="仿宋_GB2312"/>
          <w:sz w:val="32"/>
          <w:szCs w:val="32"/>
        </w:rPr>
        <w:t>；调出资金</w:t>
      </w:r>
      <w:r>
        <w:rPr>
          <w:rFonts w:hint="default" w:ascii="Times New Roman" w:hAnsi="Times New Roman" w:eastAsia="仿宋_GB2312" w:cs="Times New Roman"/>
          <w:sz w:val="32"/>
          <w:szCs w:val="32"/>
        </w:rPr>
        <w:t>46700</w:t>
      </w:r>
      <w:r>
        <w:rPr>
          <w:rFonts w:hint="eastAsia" w:ascii="仿宋_GB2312" w:hAnsi="仿宋_GB2312" w:eastAsia="仿宋_GB2312" w:cs="仿宋_GB2312"/>
          <w:sz w:val="32"/>
          <w:szCs w:val="32"/>
        </w:rPr>
        <w:t>万元。收支相抵，年终滚存结余</w:t>
      </w:r>
      <w:r>
        <w:rPr>
          <w:rFonts w:hint="default" w:ascii="Times New Roman" w:hAnsi="Times New Roman" w:eastAsia="仿宋_GB2312" w:cs="Times New Roman"/>
          <w:sz w:val="32"/>
          <w:szCs w:val="32"/>
        </w:rPr>
        <w:t>9398</w:t>
      </w:r>
      <w:r>
        <w:rPr>
          <w:rFonts w:hint="eastAsia" w:ascii="仿宋_GB2312" w:hAnsi="仿宋_GB2312" w:eastAsia="仿宋_GB2312" w:cs="仿宋_GB2312"/>
          <w:sz w:val="32"/>
          <w:szCs w:val="32"/>
        </w:rPr>
        <w:t>万元。</w:t>
      </w:r>
    </w:p>
    <w:p>
      <w:pPr>
        <w:spacing w:line="586" w:lineRule="exact"/>
        <w:ind w:firstLine="643"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（三）社会保险基金预算执行情况</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保险两项基金收入合计31904万元，完成预算101%，同比增长11%。其中：城乡居民基本养老保险基金收入9713万元，完成预算107%，同比增长6%；机关事业单位基本养老保险基金收入22191万元，完成预算99%，同比增长14%。</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保险两项基金支出合计27085万元，完成预算107%，同比增长19%，其中：城乡居民基本养老保险基金支出7301万元，完成预算105%，同比增长13%；机关事业单位基本养老保险基金支出19784万元，完成预算108%，同比增长22%。</w:t>
      </w:r>
    </w:p>
    <w:p>
      <w:pPr>
        <w:spacing w:line="58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收支相抵，当年收支实现平衡并结余4819万元，年终滚存结余32731万元，其中：城乡居民基本养老保险基金结余15856万元；机关事业单位基本养老保险基金结余16874万元。</w:t>
      </w:r>
    </w:p>
    <w:p>
      <w:pPr>
        <w:spacing w:line="586" w:lineRule="exact"/>
        <w:ind w:firstLine="643"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（四）政府债务举借、安排使用和偿还情况</w:t>
      </w:r>
    </w:p>
    <w:p>
      <w:pPr>
        <w:rPr>
          <w:rFonts w:hint="default" w:ascii="Times New Roman" w:hAnsi="Times New Roman" w:eastAsia="仿宋_GB2312" w:cs="Times New Roman"/>
          <w:sz w:val="32"/>
          <w:szCs w:val="32"/>
        </w:rPr>
      </w:pPr>
      <w:r>
        <w:rPr>
          <w:rFonts w:hint="eastAsia" w:eastAsia="仿宋_GB2312" w:cs="Times New Roman"/>
          <w:sz w:val="32"/>
          <w:szCs w:val="32"/>
        </w:rPr>
        <w:t>　　</w:t>
      </w:r>
      <w:r>
        <w:rPr>
          <w:rFonts w:hint="default" w:ascii="Times New Roman" w:hAnsi="Times New Roman" w:eastAsia="仿宋_GB2312" w:cs="Times New Roman"/>
          <w:b/>
          <w:bCs/>
          <w:sz w:val="32"/>
          <w:szCs w:val="32"/>
        </w:rPr>
        <w:t>1.政府债务限额情况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自治区核定我县2021年政府债务限额191000万元，其中:一般债务限额73900万元，专项债务限额117100万元。</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2.政府债务余额情况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截至2021年底，全县政府债务余额188221.35万元，其中：一般债务余额71751.35万元，专项债务余额116470万元。全县政府债务余额均控制在限额以内。</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3.新增政府债务资金安排使用情况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全县新增政府债券47726万元，其中：新增一般债券2626万元，用于县水利局的小型水库安全运行项目；新增社会领域专项债券30100万元，用于县鼎成投资有限公司的永福县罗锦农贸市场项目7800万元，县鼎成投资有限公司的永福县百寿养生文化旅游主题小镇项目11300万元，县鼎成投资有限公司的桂林龙江乡罗汉果一二三产融合发展工程1000万元，县文化广电体育和旅游局的永福县非物质文化遗产（彩调）传承综合建设项目10000万元；新增产业园区专项债券15000万元，用于县经济建设投资有限公司的永福县福龙工业园C区产业园（一期）项目。</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4.再融资债券安排使用情况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2021年，自治区代我县发行再融资一般债券3900万元，用于偿还2014年和2016年发行到期的债券本金。</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5.政府债务还本情况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2021年全县政府债务还本3900万元，已如期偿还。</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6.政府债务付息情况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2021年，全县一般债务付息支出2486.96万元，一般债务利息支出率0.09%；专项债务付息支出2951.52万元，专项债务利息支出率3.32%。全县未发生政府债务违约行为。</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7.未来政府债券到期情况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2022年到期本金13600万元；2023年到期本金30000万元；2024年到期本金8800万元；2025年到期本金10000万元；2026年到期本金8264万元；2027年及以后年度到期本金117557.35亿元。</w:t>
      </w:r>
    </w:p>
    <w:p>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（五）落实县人大预算决议及财政重点工作完成情况</w:t>
      </w:r>
    </w:p>
    <w:p>
      <w:pPr>
        <w:ind w:firstLine="642"/>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1</w:t>
      </w:r>
      <w:r>
        <w:rPr>
          <w:rFonts w:hint="default" w:ascii="Times New Roman" w:hAnsi="Times New Roman" w:eastAsia="仿宋_GB2312" w:cs="Times New Roman"/>
          <w:b/>
          <w:bCs/>
          <w:sz w:val="32"/>
          <w:szCs w:val="32"/>
        </w:rPr>
        <w:t>.</w:t>
      </w:r>
      <w:r>
        <w:rPr>
          <w:rFonts w:hint="default" w:ascii="Times New Roman" w:hAnsi="Times New Roman" w:eastAsia="楷体_GB2312" w:cs="Times New Roman"/>
          <w:b/>
          <w:bCs/>
          <w:sz w:val="32"/>
          <w:szCs w:val="32"/>
        </w:rPr>
        <w:t>开源节流，强化管理，财政收支实现新提升。</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克服困难、积极应对，千方百计组织财政收入。在县委、县政府的坚强领导和正确决策下，财税部门团结协作，坚持按月分解、按旬督收，不断加强征管措施，勤征细管，排查单项税种、重点税源，严防“跑冒滴漏”，做到颗粒归仓，应收尽收。同时，进一步规范非税收入管理，全力挖掘非税收入潜力，确保非税收入及时足额入库，全年组织财政收入同比增长16.86%，在保持收入快速增长的同时，我们克服重重困难，坚决挤掉财政收入中的水分，努力提高财政收入质量，县级一般公共预算收入中税收收入占比由2018年的43.52%上升至2021年的76.13%，三年提升了32.6个百分点，财政收入质量跃居全区第三名。</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做好土地文章，盘活土地资源，抓好涉土收入征收管理，发挥以地生财、由地带税的作用。全年国有土地使用权出让收入完成94983万元，同比增长49.61%，有效弥补一般公共预算的财力缺口。</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向上争资金跑项目，切实增加县级财政保障能力。积极争取上级转移支付资金18.19亿元，其中：一般性转移支付13.72亿元，专项转移支付3.88亿元。认真策划债券项目，全年争取新增债券资金4.77亿元，有效缓解了我县基础设施建设资金不足的困难。</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盘活存量资金。摸清结余结转资金形成的原因，分类盘活财政存量资金，对超过使用年限的资金，全额收回县财政，集中用于“三保”等重点支出，全年盘活存量资金、清理结余结转资金合计1.2亿元。</w:t>
      </w:r>
      <w:r>
        <w:rPr>
          <w:rFonts w:hint="default" w:ascii="Times New Roman" w:hAnsi="Times New Roman" w:eastAsia="仿宋_GB2312" w:cs="Times New Roman"/>
          <w:b/>
          <w:bCs/>
          <w:sz w:val="32"/>
          <w:szCs w:val="32"/>
        </w:rPr>
        <w:t>五是</w:t>
      </w:r>
      <w:r>
        <w:rPr>
          <w:rFonts w:hint="default" w:ascii="Times New Roman" w:hAnsi="Times New Roman" w:eastAsia="仿宋_GB2312" w:cs="Times New Roman"/>
          <w:sz w:val="32"/>
          <w:szCs w:val="32"/>
        </w:rPr>
        <w:t>优化支出结构、守住底线。深入贯彻落实习近平总书记关于“牢固树立过紧日子思想”的重要指示精神，全力保障“三保”和重点支出，突出财政资金使用有效性，确保每笔预算资金都能用在“刀刃”上。2021年一般公共预算支出累计完成25.22亿元，同比增加1.53亿元，增长6.44%，支出进度排名跃居全市前列。</w:t>
      </w:r>
    </w:p>
    <w:p>
      <w:pPr>
        <w:ind w:firstLine="642"/>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2.用心用情，保障民生，民生福祉达到新水平。</w:t>
      </w:r>
      <w:r>
        <w:rPr>
          <w:rFonts w:hint="default" w:ascii="Times New Roman" w:hAnsi="Times New Roman" w:eastAsia="仿宋_GB2312" w:cs="Times New Roman"/>
          <w:sz w:val="32"/>
          <w:szCs w:val="32"/>
        </w:rPr>
        <w:t>坚持底线思维，切实把涉及群众切身利益的教育、医疗卫生、社会保障、就业、住房保障等各项基本民生政策落实好。2021年全县财政民生支出206042万元，占全部财政支出的81.68%，同比增加2211万元，增长1.08%。</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坚持教育优先，支持发展公平而有质量的教育。全县教育支出31606万元，全面保障义务教育经费和生均公用经费，支持永福县东江学校、龙湾小学等学校建设，解决中小学生学位紧缺问题。加大学前教育投入力度，支持建设县第二幼儿园、凤凰幼儿园等公办幼儿园。支持特殊教育，建设永福县培源专门教育学校。</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突出就业优先，深入推进社会保障体系建设。持续加大财政投入和统筹失业保险基金，支持企业复工复产，完成社会保障和就业支出41418万元，做好农民工、大中专毕业生、退役军人等就业创业服务。2021年，财政对基本养老保险基金补助9589万元，确保及时足额发放社保待遇。落实城乡低保提标长效机制，做好双拥工作，退役士兵安置待遇保障工作。</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繁荣发展文体事业，完成文化旅游体育与传媒支出1932万元，支持彩调博物馆、文化馆、图书馆、全民健身中心等项目建设，不断完善县乡公共服务设施。</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推进平安永福建设。加大公共安全投入，健全社会治安防控体系建设，增强人民安全感，全年完成公共安全支出9594万元。</w:t>
      </w:r>
      <w:r>
        <w:rPr>
          <w:rFonts w:hint="default" w:ascii="Times New Roman" w:hAnsi="Times New Roman" w:eastAsia="仿宋_GB2312" w:cs="Times New Roman"/>
          <w:b/>
          <w:bCs/>
          <w:sz w:val="32"/>
          <w:szCs w:val="32"/>
        </w:rPr>
        <w:t>五是</w:t>
      </w:r>
      <w:r>
        <w:rPr>
          <w:rFonts w:hint="default" w:ascii="Times New Roman" w:hAnsi="Times New Roman" w:eastAsia="仿宋_GB2312" w:cs="Times New Roman"/>
          <w:sz w:val="32"/>
          <w:szCs w:val="32"/>
        </w:rPr>
        <w:t>推动完善基本住房保障体系建设。完成住房保障支出10077万元，加快推进棚户区改造、农村危房改造、老旧小区改造等保障性安居工程建设。</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3.筹措资金，支持建设，城乡面貌取得新变化。</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管好用好直达资金。2021年我县共争取中央、自治区直达资金53633万元，全部按照中央规定直接下达到项目单位、企业和个人，主要用于保就业保基本民生保市场主体，直接惠企利民。</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争取到各类债券资金47726万元，重点投向水利、城乡基础设施建设等我县经济社会发展亟需的项目建设，支持产业园区扩容增效，完善园区内基础设施建设，做强平台支撑。直达资金和债券资金很好地弥补了我县财政资金缺口，有力支持我县重点项目建设，为我县落实“六稳”“六保”任务提供了财力保障。</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筹措资金改善优化营商环境，全县商业服务业支出16565万元、金融支出1692万元，努力推动实体经济提质增效、民营经济健康发展。积极支持解决融资难问题，全年投入“桂惠贷”财政贴息2434万元。</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大力支持交通路网建设。继续加大交通设施建设资金投入，完成交通运输支出3413万元，推进高速公路建设和乡村公路改扩建。</w:t>
      </w:r>
      <w:r>
        <w:rPr>
          <w:rFonts w:hint="default" w:ascii="Times New Roman" w:hAnsi="Times New Roman" w:eastAsia="仿宋_GB2312" w:cs="Times New Roman"/>
          <w:b/>
          <w:bCs/>
          <w:sz w:val="32"/>
          <w:szCs w:val="32"/>
        </w:rPr>
        <w:t>五是</w:t>
      </w:r>
      <w:r>
        <w:rPr>
          <w:rFonts w:hint="default" w:ascii="Times New Roman" w:hAnsi="Times New Roman" w:eastAsia="仿宋_GB2312" w:cs="Times New Roman"/>
          <w:sz w:val="32"/>
          <w:szCs w:val="32"/>
        </w:rPr>
        <w:t>大力支持城乡基础设施建设。投入城乡社区设施建设资金18521万元，支持百寿养生文化旅游主题小镇、状元卷特色文化街区等项目建设，聚力建设宜居宜业的美丽永福。</w:t>
      </w:r>
      <w:r>
        <w:rPr>
          <w:rFonts w:hint="default" w:ascii="Times New Roman" w:hAnsi="Times New Roman" w:eastAsia="仿宋_GB2312" w:cs="Times New Roman"/>
          <w:b/>
          <w:bCs/>
          <w:sz w:val="32"/>
          <w:szCs w:val="32"/>
        </w:rPr>
        <w:t>六是</w:t>
      </w:r>
      <w:r>
        <w:rPr>
          <w:rFonts w:hint="default" w:ascii="Times New Roman" w:hAnsi="Times New Roman" w:eastAsia="仿宋_GB2312" w:cs="Times New Roman"/>
          <w:sz w:val="32"/>
          <w:szCs w:val="32"/>
        </w:rPr>
        <w:t>统筹涉农资金，支持实施乡村振兴战略。坚定不移支农强农，全年完成农林水支出40483万元，推进农村人居环境整治，创建生态宜居美丽乡村。</w:t>
      </w:r>
      <w:r>
        <w:rPr>
          <w:rFonts w:hint="default" w:ascii="Times New Roman" w:hAnsi="Times New Roman" w:eastAsia="仿宋_GB2312" w:cs="Times New Roman"/>
          <w:b/>
          <w:bCs/>
          <w:sz w:val="32"/>
          <w:szCs w:val="32"/>
        </w:rPr>
        <w:t>七是</w:t>
      </w:r>
      <w:r>
        <w:rPr>
          <w:rFonts w:hint="default" w:ascii="Times New Roman" w:hAnsi="Times New Roman" w:eastAsia="仿宋_GB2312" w:cs="Times New Roman"/>
          <w:sz w:val="32"/>
          <w:szCs w:val="32"/>
        </w:rPr>
        <w:t>坚持保护生态环境、绿色发展，全力支持打好污染防治攻坚战。大力推进生活污水处理设施及管网建设，支持垃圾清运、县级垃圾填埋场等突出问题的治理。</w:t>
      </w:r>
    </w:p>
    <w:p>
      <w:pPr>
        <w:ind w:firstLine="643" w:firstLineChars="200"/>
        <w:rPr>
          <w:rFonts w:hint="default" w:ascii="Times New Roman" w:hAnsi="Times New Roman" w:eastAsia="仿宋_GB2312" w:cs="Times New Roman"/>
          <w:bCs/>
          <w:sz w:val="32"/>
          <w:szCs w:val="32"/>
        </w:rPr>
      </w:pPr>
      <w:r>
        <w:rPr>
          <w:rFonts w:hint="default" w:ascii="Times New Roman" w:hAnsi="Times New Roman" w:eastAsia="楷体_GB2312" w:cs="Times New Roman"/>
          <w:b/>
          <w:bCs/>
          <w:sz w:val="32"/>
          <w:szCs w:val="32"/>
        </w:rPr>
        <w:t>4.深化改革，完善制度，财政管理迈出新步伐。</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提升财政信息化管理水平。加快推进财政预算管理一体化系统项目建设，打通预算编制、预算执行、预算监督各个环节的信息孤岛，全面提高财政管理现代化、信息化水平。</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强化财政资金投资审核管理，对重点项目的项目评审，加强现场勘查，严格项目结算审核，加强投资控制，节省财政资金，切实提高评审效率和质量。</w:t>
      </w:r>
      <w:r>
        <w:rPr>
          <w:rFonts w:hint="default" w:ascii="Times New Roman" w:hAnsi="Times New Roman" w:eastAsia="仿宋_GB2312" w:cs="Times New Roman"/>
          <w:b/>
          <w:bCs/>
          <w:color w:val="000000"/>
          <w:sz w:val="32"/>
          <w:szCs w:val="32"/>
        </w:rPr>
        <w:t>三是</w:t>
      </w:r>
      <w:r>
        <w:rPr>
          <w:rFonts w:hint="default" w:ascii="Times New Roman" w:hAnsi="Times New Roman" w:eastAsia="仿宋_GB2312" w:cs="Times New Roman"/>
          <w:color w:val="000000"/>
          <w:sz w:val="32"/>
          <w:szCs w:val="32"/>
        </w:rPr>
        <w:t>健全地方政府债务管理机制，坚持债务风险源头管控。把主动防范化解隐性债务纳入县委县政府重要议事议程，同时成立了政府性债务管理领导小组，进一步细化部门职责分工，落实各单位责任。精确测算年度全县政府债务还本付息额，建立偿债准备金，做好政府债务预算保障，将2021年政府债务余额严格控制在政府债务限额以内，全县债务风险评级为绿色，远低于预警标准。</w:t>
      </w:r>
      <w:r>
        <w:rPr>
          <w:rFonts w:hint="default" w:ascii="Times New Roman" w:hAnsi="Times New Roman" w:eastAsia="仿宋_GB2312" w:cs="Times New Roman"/>
          <w:b/>
          <w:bCs/>
          <w:color w:val="000000"/>
          <w:sz w:val="32"/>
          <w:szCs w:val="32"/>
        </w:rPr>
        <w:t>四是</w:t>
      </w:r>
      <w:r>
        <w:rPr>
          <w:rFonts w:hint="default" w:ascii="Times New Roman" w:hAnsi="Times New Roman" w:eastAsia="仿宋_GB2312" w:cs="Times New Roman"/>
          <w:sz w:val="32"/>
          <w:szCs w:val="32"/>
        </w:rPr>
        <w:t>加强预算绩效管理，强化责任担当，科学安排部署，建立了《永福县本级预算绩效目标管理暂行办法》、《永福县财政局2021年预算绩效管理工作实施方案》、《永福县本级项目支出绩效评价管理办法》等相关制度。稳步推进全方位、全过程、全覆盖的预算绩效管理体系建设，</w:t>
      </w:r>
      <w:r>
        <w:rPr>
          <w:rFonts w:hint="default" w:ascii="Times New Roman" w:hAnsi="Times New Roman" w:eastAsia="仿宋_GB2312" w:cs="Times New Roman"/>
          <w:bCs/>
          <w:sz w:val="32"/>
          <w:szCs w:val="32"/>
        </w:rPr>
        <w:t>助推预算项目支出工作新篇章，实现绩效管理水平提升。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在县委、县政府正确领导下，永福县财政局积极改变理财观念，立足新发展，坚持“大财政、大预算、大资产”理念，集中财力办大事、办好事，切实保障各项民生领域支出和重点支出，加强财政对永福县重点工作的保障作用，同时积极深入推进预算执行管理改革，多措并举，不断提高理财水平，财政管理绩效工作综合评价入围全国前100名，全国排名第65位，全区排名第一位，获得一次性综合财力奖励3000万元。</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各位代表，虽然一年来的财政工作取得了一定的成绩，但我县财政经济运行仍然存在着一些困难和问题：</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预算平衡压力大。我县财政自身造血功能低，对上级转移支付的依赖度过高，自给能力极差，2021年财政自给率仅为12.62%。</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国内外环境依然复杂严峻，我县经济恢复的基础仍不牢固，一些行业企业恢复尚未达到疫情前水平，部分引进项目仍处于政策优惠期，无法形成稳定税源，财政增收任务艰难。随着土地市场下行，过度依赖于基金收入的“土地财政”稳定性极差。</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近年来，为稳增长、调结构、促改革、保“三保”和支持重点项目建设，财政支出不断增加，预算内支出很难压减，财政增收乏力与城乡建设以及民生保障等方面的刚性支出增长较快之间的矛盾日益突出，财政保平衡压力与日俱增。</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政府债务还本付息压力逐年增大，与财政稳健运行的矛盾日渐彰显。</w:t>
      </w:r>
      <w:r>
        <w:rPr>
          <w:rFonts w:hint="default" w:ascii="Times New Roman" w:hAnsi="Times New Roman" w:eastAsia="仿宋_GB2312" w:cs="Times New Roman"/>
          <w:b/>
          <w:bCs/>
          <w:sz w:val="32"/>
          <w:szCs w:val="32"/>
        </w:rPr>
        <w:t>五是</w:t>
      </w:r>
      <w:r>
        <w:rPr>
          <w:rFonts w:hint="default" w:ascii="Times New Roman" w:hAnsi="Times New Roman" w:eastAsia="仿宋_GB2312" w:cs="Times New Roman"/>
          <w:sz w:val="32"/>
          <w:szCs w:val="32"/>
        </w:rPr>
        <w:t>预算执行的规范性和约束性不够，财政绩效管理工作有待进一步加强。对于这些问题，我们将认真分析，找准症结，综合施策，切实加以改进解决。</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现在报告的2021年预算执行数为快报数，具体执行情况详见决算草案，最终执行结果以自治区批复的决算数为准，我们将在自治区财政厅批复决算后进行相应调整并按程序报县人大常委会审查批准。</w:t>
      </w:r>
    </w:p>
    <w:p>
      <w:pPr>
        <w:spacing w:line="586"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二、2022年预算草案</w:t>
      </w:r>
    </w:p>
    <w:p>
      <w:pPr>
        <w:spacing w:line="586" w:lineRule="exact"/>
        <w:ind w:firstLine="643" w:firstLineChars="200"/>
        <w:jc w:val="left"/>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（一）预算编制基本原则</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厉行节约。坚决落实政府过“紧日子”要求，完善能增能减、有保有压的分配机制，继续压减一般性、非重点、非刚性支出，降低行政运行成本。</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以收定支。坚持量入为出，做到支出安排与经济发展需要、财力保障水平相适应。</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保障重点。聚焦县委县政府重大决策部署，调整优化支出结构，把有限的财政资金用在刀刃上。</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注重绩效。全面实施预算绩效管理，强化评价结果与预算安排挂钩机制建设，大力削减低效无效支出，切实提高财政资源配置和资金使用效益。</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b/>
          <w:bCs/>
          <w:sz w:val="32"/>
          <w:szCs w:val="32"/>
        </w:rPr>
        <w:t>（二）公共财政预算安排情况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组织财政收入：2022年全县计划组织财政收入62987万元，比2021年执行数59234万元增加3753万元，增长6.34%。其中：税务局计划组织收入55727万元，比2021年执行数53114万元增加2613万元，增长4.92%；财政局计划组织收入7260万元，比2021年执行数6120万元增加1140万元，增长18.63%。</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2.一般公共财政预算收入：按现行分税制体制计算，2022年组织财政收入62987万元形成的可用财力即一般公共财政预算收入为33429万元，比上年执行数增加1594万元，增长5.01%。其中：</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税收收入24329万元，比2021年执行数24235万元增长94万元，增长0.39%。非税收入9100万元，比2021年执行数7600万元增加1500万元，增长19.74%。</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公共财政预算收入：根据现行财政体制测算，预计2022年全县公共财政总收入265812万元，其中：一般公共财政预算收入33429万元；上级补助收入132046万元（返还性收入5878万元、一般性转移支付收入118535万元、专项转移支付收入7633万元）；上年结余收入21892万元；动用预算稳定调节基金954万元；调入资金77491万元(从土地出让净收入调入77491万元)。</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4.公共财政支出：2022年公共财政预算总支出安排265812万元，收支平衡。（详细见附表）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公共财政预算支出安排优先用于保障基本支出和教育、科技、农业、文化、社保和医疗等重点支出，以及落实中央、自治区出台的各项增支政策和支持县委、县政府确定的重点项目，严格控制一般性项目支出增长。</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公共财政预算总支出中，一般公共预算支出250372万元，专项上解支出1400万元，债务还本支出14040万元。</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（三）政府性基金预算安排情况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2022年全县政府性基金总收入预算拟安排130862万元。其中：基金收入预算安排117267万元，比2021年执行数95582万元增长22.69%；上年结余收入9398万元。</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2022年政府性基金支出预算拟安排47843万元，比2021年预算数36170万元增长32.5%，调出资金77491万元，预计年终结余5528万元。</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（四）社会保险基金预算安排情况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2022年全县社会保险2项基金收入合计拟安排32764万元，比2021年执行数增长3%。其中：城乡居民基本养老保险基金收入10133万元，增长4%。机关事业单位基本养老保险基金收入22631万元，增长2%。</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2022年全县社会保险2项基金支出合计拟安排27042万元，比2021年执行数增长0%。其中：城乡居民基本养老保险基金支出7445万元，增长2%；机关事业单位基本养老保险基金支出19597万元，减少1%。</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收支相抵结余5722万元，年终滚存结余38453万元，其中：城乡居民基本养老保险基金18544万元；机关事业单位基本养老保险基金19908万元。</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（五）2022年“三保”预算支出情况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2022年，我</w:t>
      </w:r>
      <w:bookmarkStart w:id="0" w:name="_GoBack"/>
      <w:bookmarkEnd w:id="0"/>
      <w:r>
        <w:rPr>
          <w:rFonts w:hint="default" w:ascii="Times New Roman" w:hAnsi="Times New Roman" w:eastAsia="仿宋_GB2312" w:cs="Times New Roman"/>
          <w:sz w:val="32"/>
          <w:szCs w:val="32"/>
        </w:rPr>
        <w:t>县财政部门将全面贯彻落实中央、自治区决策部署，按照市委、市政府要求，切实履行财政职能，加大财政支持力度，围绕全年目标，想方设法、多措并举，全力应对疫情影响，集中财力重点用于保障全县“三保”支出，坚持把“保工资”作为政治任务列入资金调度的第一序列，将保运转和保基本民生作为基本要求来确保，力促全县经济平稳运行。2022年，我县“三保”预计支出104429万元，其中“保工资”支出44259万元，“保运转”支出2900万元，“保民生”支出57270万元。</w:t>
      </w:r>
    </w:p>
    <w:p>
      <w:pPr>
        <w:spacing w:line="586"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三、2022年财政工作安排</w:t>
      </w:r>
    </w:p>
    <w:p>
      <w:pPr>
        <w:spacing w:line="586"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（一）继续加强财源建设、强化收入征管，确保增收提</w:t>
      </w:r>
      <w:r>
        <w:rPr>
          <w:rFonts w:hint="default" w:ascii="Times New Roman" w:hAnsi="Times New Roman" w:eastAsia="仿宋_GB2312" w:cs="Times New Roman"/>
          <w:b/>
          <w:bCs/>
          <w:sz w:val="32"/>
          <w:szCs w:val="32"/>
        </w:rPr>
        <w:t>质。</w:t>
      </w:r>
      <w:r>
        <w:rPr>
          <w:rFonts w:hint="default" w:ascii="Times New Roman" w:hAnsi="Times New Roman" w:eastAsia="仿宋_GB2312" w:cs="Times New Roman"/>
          <w:sz w:val="32"/>
          <w:szCs w:val="32"/>
        </w:rPr>
        <w:t>继续发挥财政资金和招商政策的引导作用，支持经济较快发展，涵养税源，全力支持优质项目落地建设，做大经济总量。做好全县国有资产清查，盘活存量国有资产，提高国有资产、资源的变现和增值能力，使资产变资金、资源变财源。做实非税收入，提升财政收入质量，确保财政收入规模合理增长、质量稳步提升。</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w:t>
      </w:r>
      <w:r>
        <w:rPr>
          <w:rFonts w:hint="default" w:ascii="Times New Roman" w:hAnsi="Times New Roman" w:eastAsia="楷体_GB2312" w:cs="Times New Roman"/>
          <w:b/>
          <w:bCs/>
          <w:sz w:val="32"/>
          <w:szCs w:val="32"/>
        </w:rPr>
        <w:t>继续争资争项、整合存量，缓解收支矛盾。</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密切跟踪政策调整动向，加强政策研究，积极与上级财政部门对接，反映我县的实际困难，争取在县级基本财力保障、均衡性转移支付以及重点生态功能区等一般性转移支付方面有一定幅度的增长。</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主动配合相关部门做好项目前期准备工作，加大申报力度，争取更多的项目立项，获取更多的专项转移支付资金。</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抢抓国家增加地方政府专项债券、一般性转移支付的机遇，及时了解最新动态，积极梳理对接资金扶持项目，向上争取更多的资金额度。</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（三）继续“过紧日子”，守住底线、防范风险，巩固保障能力。</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认清形势，树立继续“过紧日子”思想。要继续优化支出结构，大力压减一般性支出，从严控制新增项目支出，无预算来源的项目原则上不实施；要坚持量入为出，有保有压，注重实效和可持续发展的财政支出原则，尽力而为，量力而行。</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牢守“隐性债务总量不增长、借新还息不发生、‘三保’资金不断链”的底线，守住工资发放、正常运转、基本民生政策特别是到人的民生政策和债务还本付息、扶贫资金等刚性支出、必保支出的兑现底线。</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（四）强化管理、深化改革，提升工作效能。</w:t>
      </w:r>
      <w:r>
        <w:rPr>
          <w:rFonts w:hint="default" w:ascii="Times New Roman" w:hAnsi="Times New Roman" w:eastAsia="仿宋_GB2312" w:cs="Times New Roman"/>
          <w:sz w:val="32"/>
          <w:szCs w:val="32"/>
        </w:rPr>
        <w:t>谋划推进零基预算，健全项目库管理，推进预算管理一体化建设，科学编制、执行财政预算，继续加大一般公共预算、政府性基金预算和社会保险基金预算的统筹力度，提高预算编制的全面性和准确性，提升预算管理水平。</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位代表，做好2022年财政工作任务繁重、使命光荣。事虽难做则必成。我们将进一步坚定决心和信心，撸起袖子加油干、俯下身子抓落实，以“咬定目标不放松”的定力，不为任何风险所惧，不为任何干扰所惑，用结果论英雄、用实绩作答卷，为我县社会经济事业健康、平稳发展提供较好的财力支撑，作出新的积极的贡献。</w:t>
      </w:r>
    </w:p>
    <w:p>
      <w:pPr>
        <w:rPr>
          <w:rFonts w:eastAsia="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snapToGrid w:val="0"/>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47391"/>
    <w:rsid w:val="002E4372"/>
    <w:rsid w:val="00874316"/>
    <w:rsid w:val="009E25AC"/>
    <w:rsid w:val="00AD3BC8"/>
    <w:rsid w:val="00D52A74"/>
    <w:rsid w:val="00DC2B7E"/>
    <w:rsid w:val="01D46B4A"/>
    <w:rsid w:val="02A17558"/>
    <w:rsid w:val="04E56AB8"/>
    <w:rsid w:val="051F7B62"/>
    <w:rsid w:val="05682675"/>
    <w:rsid w:val="06B81E33"/>
    <w:rsid w:val="075A4662"/>
    <w:rsid w:val="0787134B"/>
    <w:rsid w:val="09274BB6"/>
    <w:rsid w:val="09626D45"/>
    <w:rsid w:val="09A61739"/>
    <w:rsid w:val="0B645629"/>
    <w:rsid w:val="0C7D4936"/>
    <w:rsid w:val="0CAF2803"/>
    <w:rsid w:val="0D344F5F"/>
    <w:rsid w:val="0D60627B"/>
    <w:rsid w:val="10586678"/>
    <w:rsid w:val="10FD6AB0"/>
    <w:rsid w:val="11432C40"/>
    <w:rsid w:val="12443B05"/>
    <w:rsid w:val="14B416DC"/>
    <w:rsid w:val="14D05551"/>
    <w:rsid w:val="154B27DD"/>
    <w:rsid w:val="156761AB"/>
    <w:rsid w:val="15A63124"/>
    <w:rsid w:val="16934663"/>
    <w:rsid w:val="170F3B6B"/>
    <w:rsid w:val="1853133B"/>
    <w:rsid w:val="18D15FB2"/>
    <w:rsid w:val="19766365"/>
    <w:rsid w:val="197E6D60"/>
    <w:rsid w:val="1A3355DE"/>
    <w:rsid w:val="1A9E708C"/>
    <w:rsid w:val="1C747391"/>
    <w:rsid w:val="1E394BC9"/>
    <w:rsid w:val="1F0336AC"/>
    <w:rsid w:val="1FD25DEB"/>
    <w:rsid w:val="22142D04"/>
    <w:rsid w:val="2276110D"/>
    <w:rsid w:val="22D823B7"/>
    <w:rsid w:val="22E81088"/>
    <w:rsid w:val="237B5F22"/>
    <w:rsid w:val="240F0DC7"/>
    <w:rsid w:val="25076D92"/>
    <w:rsid w:val="25371D50"/>
    <w:rsid w:val="254152C4"/>
    <w:rsid w:val="25D106EC"/>
    <w:rsid w:val="260645A3"/>
    <w:rsid w:val="27975AC7"/>
    <w:rsid w:val="27B13857"/>
    <w:rsid w:val="27C84DA3"/>
    <w:rsid w:val="28364C6C"/>
    <w:rsid w:val="28EA1FFA"/>
    <w:rsid w:val="2A4B0367"/>
    <w:rsid w:val="2B6D0B0D"/>
    <w:rsid w:val="2BBD52E0"/>
    <w:rsid w:val="2E8C2E9D"/>
    <w:rsid w:val="2E9B14EE"/>
    <w:rsid w:val="2FF51053"/>
    <w:rsid w:val="30724AC0"/>
    <w:rsid w:val="31B76152"/>
    <w:rsid w:val="343E2F1E"/>
    <w:rsid w:val="345F5A0C"/>
    <w:rsid w:val="34C03539"/>
    <w:rsid w:val="35453CCA"/>
    <w:rsid w:val="356602FA"/>
    <w:rsid w:val="37E01B8B"/>
    <w:rsid w:val="38ED00DA"/>
    <w:rsid w:val="3917341E"/>
    <w:rsid w:val="39736B1E"/>
    <w:rsid w:val="3B2D5F10"/>
    <w:rsid w:val="3B772766"/>
    <w:rsid w:val="3D057D01"/>
    <w:rsid w:val="3D953A93"/>
    <w:rsid w:val="3DAC6CDD"/>
    <w:rsid w:val="3EE45619"/>
    <w:rsid w:val="3FB3797C"/>
    <w:rsid w:val="3FF74C68"/>
    <w:rsid w:val="40915146"/>
    <w:rsid w:val="416A710C"/>
    <w:rsid w:val="433954D5"/>
    <w:rsid w:val="45976B32"/>
    <w:rsid w:val="467209BC"/>
    <w:rsid w:val="46817929"/>
    <w:rsid w:val="47173B9A"/>
    <w:rsid w:val="47253F95"/>
    <w:rsid w:val="47956C4B"/>
    <w:rsid w:val="480E2D9B"/>
    <w:rsid w:val="48A13023"/>
    <w:rsid w:val="48C46C07"/>
    <w:rsid w:val="48DC7882"/>
    <w:rsid w:val="4A6A3580"/>
    <w:rsid w:val="4C175940"/>
    <w:rsid w:val="4C9C3A81"/>
    <w:rsid w:val="4CB7771B"/>
    <w:rsid w:val="4CF26D82"/>
    <w:rsid w:val="4D877D28"/>
    <w:rsid w:val="4D9A7808"/>
    <w:rsid w:val="4E350319"/>
    <w:rsid w:val="4EC10691"/>
    <w:rsid w:val="4FA85ADF"/>
    <w:rsid w:val="50607195"/>
    <w:rsid w:val="50CB0DD5"/>
    <w:rsid w:val="515177F3"/>
    <w:rsid w:val="515C3EE8"/>
    <w:rsid w:val="517E61FF"/>
    <w:rsid w:val="52FE47D9"/>
    <w:rsid w:val="53D54270"/>
    <w:rsid w:val="54DC267B"/>
    <w:rsid w:val="5A976505"/>
    <w:rsid w:val="5B5561B7"/>
    <w:rsid w:val="5B6B6CE6"/>
    <w:rsid w:val="5B9F7168"/>
    <w:rsid w:val="5C2D0CF8"/>
    <w:rsid w:val="5C403922"/>
    <w:rsid w:val="5D054537"/>
    <w:rsid w:val="5D375B56"/>
    <w:rsid w:val="5DA50E48"/>
    <w:rsid w:val="5E963FD1"/>
    <w:rsid w:val="5F303A73"/>
    <w:rsid w:val="5F4676FC"/>
    <w:rsid w:val="5FF73BA6"/>
    <w:rsid w:val="60843C8D"/>
    <w:rsid w:val="61A53290"/>
    <w:rsid w:val="625A0194"/>
    <w:rsid w:val="6288653B"/>
    <w:rsid w:val="64DF2D70"/>
    <w:rsid w:val="64EB17DA"/>
    <w:rsid w:val="671150D7"/>
    <w:rsid w:val="68303B37"/>
    <w:rsid w:val="68FE1FC0"/>
    <w:rsid w:val="6AB440C8"/>
    <w:rsid w:val="6BF123D2"/>
    <w:rsid w:val="6DF453E1"/>
    <w:rsid w:val="6E4B4DC5"/>
    <w:rsid w:val="6EBB68BB"/>
    <w:rsid w:val="7165190D"/>
    <w:rsid w:val="742D69C0"/>
    <w:rsid w:val="7734072F"/>
    <w:rsid w:val="78B45ADF"/>
    <w:rsid w:val="7B1D4CFB"/>
    <w:rsid w:val="7BA52FE0"/>
    <w:rsid w:val="7D6B417E"/>
    <w:rsid w:val="7E3C60B8"/>
    <w:rsid w:val="7E5334C3"/>
    <w:rsid w:val="7E7A1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unhideWhenUsed/>
    <w:qFormat/>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永福县</Company>
  <Pages>16</Pages>
  <Words>1297</Words>
  <Characters>7394</Characters>
  <Lines>61</Lines>
  <Paragraphs>17</Paragraphs>
  <TotalTime>0</TotalTime>
  <ScaleCrop>false</ScaleCrop>
  <LinksUpToDate>false</LinksUpToDate>
  <CharactersWithSpaces>8674</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2022-02-14T07:14:00Z</dcterms:created>
  <dc:creator>Administrator</dc:creator>
  <cp:lastModifiedBy>Administrator</cp:lastModifiedBy>
  <cp:lastPrinted>2022-02-08T02:08:00Z</cp:lastPrinted>
  <dcterms:modified xsi:type="dcterms:W3CDTF">2022-02-28T01:29:21Z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881DA5D03D894E9F90347AB3A00F8E5D</vt:lpwstr>
  </property>
</Properties>
</file>