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40" w:lineRule="exact"/>
        <w:ind w:left="0" w:leftChars="0" w:right="0" w:rightChars="0" w:firstLine="0" w:firstLineChars="0"/>
        <w:jc w:val="center"/>
        <w:textAlignment w:val="auto"/>
        <w:outlineLvl w:val="9"/>
        <w:rPr>
          <w:rFonts w:hint="eastAsia" w:eastAsia="方正小标宋_GBK"/>
          <w:b/>
          <w:bCs/>
          <w:snapToGrid w:val="0"/>
          <w:kern w:val="0"/>
          <w:sz w:val="44"/>
          <w:szCs w:val="44"/>
        </w:rPr>
      </w:pPr>
      <w:r>
        <w:rPr>
          <w:rFonts w:hint="eastAsia" w:eastAsia="方正小标宋_GBK"/>
          <w:b/>
          <w:bCs/>
          <w:snapToGrid w:val="0"/>
          <w:kern w:val="0"/>
          <w:sz w:val="44"/>
          <w:szCs w:val="44"/>
        </w:rPr>
        <w:t>关于永福县20</w:t>
      </w:r>
      <w:r>
        <w:rPr>
          <w:rFonts w:hint="eastAsia" w:eastAsia="方正小标宋_GBK"/>
          <w:b/>
          <w:bCs/>
          <w:snapToGrid w:val="0"/>
          <w:kern w:val="0"/>
          <w:sz w:val="44"/>
          <w:szCs w:val="44"/>
          <w:lang w:val="en-US" w:eastAsia="zh-CN"/>
        </w:rPr>
        <w:t>20</w:t>
      </w:r>
      <w:r>
        <w:rPr>
          <w:rFonts w:hint="eastAsia" w:eastAsia="方正小标宋_GBK"/>
          <w:b/>
          <w:bCs/>
          <w:snapToGrid w:val="0"/>
          <w:kern w:val="0"/>
          <w:sz w:val="44"/>
          <w:szCs w:val="44"/>
        </w:rPr>
        <w:t>年预算执行情况和</w:t>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right="0" w:rightChars="0" w:firstLine="0" w:firstLineChars="0"/>
        <w:jc w:val="center"/>
        <w:textAlignment w:val="auto"/>
        <w:outlineLvl w:val="9"/>
        <w:rPr>
          <w:rFonts w:hint="eastAsia" w:ascii="楷体_GB2312" w:hAnsi="楷体_GB2312" w:eastAsia="楷体_GB2312" w:cs="楷体_GB2312"/>
          <w:spacing w:val="-20"/>
          <w:sz w:val="32"/>
          <w:szCs w:val="32"/>
          <w:lang w:val="en-US" w:eastAsia="zh-CN"/>
        </w:rPr>
      </w:pPr>
      <w:r>
        <w:rPr>
          <w:rFonts w:hint="eastAsia" w:eastAsia="方正小标宋_GBK"/>
          <w:b/>
          <w:bCs/>
          <w:snapToGrid w:val="0"/>
          <w:kern w:val="0"/>
          <w:sz w:val="44"/>
          <w:szCs w:val="44"/>
        </w:rPr>
        <w:t>20</w:t>
      </w:r>
      <w:r>
        <w:rPr>
          <w:rFonts w:hint="eastAsia" w:eastAsia="方正小标宋_GBK"/>
          <w:b/>
          <w:bCs/>
          <w:snapToGrid w:val="0"/>
          <w:kern w:val="0"/>
          <w:sz w:val="44"/>
          <w:szCs w:val="44"/>
          <w:lang w:val="en-US" w:eastAsia="zh-CN"/>
        </w:rPr>
        <w:t>21</w:t>
      </w:r>
      <w:r>
        <w:rPr>
          <w:rFonts w:hint="eastAsia" w:eastAsia="方正小标宋_GBK"/>
          <w:b/>
          <w:bCs/>
          <w:snapToGrid w:val="0"/>
          <w:kern w:val="0"/>
          <w:sz w:val="44"/>
          <w:szCs w:val="44"/>
        </w:rPr>
        <w:t>年预算草案的报告</w:t>
      </w:r>
      <w:r>
        <w:rPr>
          <w:rFonts w:hint="eastAsia" w:eastAsia="方正小标宋_GBK"/>
          <w:b w:val="0"/>
          <w:bCs w:val="0"/>
          <w:snapToGrid w:val="0"/>
          <w:kern w:val="0"/>
          <w:sz w:val="44"/>
          <w:szCs w:val="44"/>
        </w:rPr>
        <w:t>(书面)</w:t>
      </w:r>
    </w:p>
    <w:p>
      <w:pPr>
        <w:keepNext w:val="0"/>
        <w:keepLines w:val="0"/>
        <w:pageBreakBefore w:val="0"/>
        <w:widowControl w:val="0"/>
        <w:kinsoku/>
        <w:wordWrap/>
        <w:overflowPunct/>
        <w:topLinePunct w:val="0"/>
        <w:autoSpaceDE/>
        <w:autoSpaceDN/>
        <w:bidi w:val="0"/>
        <w:adjustRightInd/>
        <w:snapToGrid/>
        <w:spacing w:line="800" w:lineRule="exact"/>
        <w:ind w:right="0" w:rightChars="0"/>
        <w:jc w:val="center"/>
        <w:textAlignment w:val="auto"/>
        <w:outlineLvl w:val="9"/>
        <w:rPr>
          <w:rFonts w:hint="eastAsia" w:ascii="楷体_GB2312" w:hAnsi="楷体_GB2312" w:eastAsia="楷体_GB2312" w:cs="楷体_GB2312"/>
          <w:spacing w:val="-20"/>
          <w:sz w:val="32"/>
          <w:szCs w:val="32"/>
          <w:lang w:val="en-US" w:eastAsia="zh-CN"/>
        </w:rPr>
      </w:pPr>
      <w:r>
        <w:rPr>
          <w:rFonts w:hint="eastAsia" w:ascii="楷体_GB2312" w:hAnsi="楷体_GB2312" w:eastAsia="楷体_GB2312" w:cs="楷体_GB2312"/>
          <w:spacing w:val="-20"/>
          <w:sz w:val="32"/>
          <w:szCs w:val="32"/>
          <w:lang w:val="en-US" w:eastAsia="zh-CN"/>
        </w:rPr>
        <w:t>——2021年1月28日在永福县第十六届人民代表大会第七次会议上</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center"/>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永福县财政局</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各位代表：</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受县人民政府委托，现将永福县2020年预算执行情况和2021年预算草案提请县</w:t>
      </w:r>
      <w:r>
        <w:rPr>
          <w:rFonts w:hint="eastAsia" w:eastAsia="仿宋_GB2312"/>
          <w:sz w:val="32"/>
          <w:szCs w:val="32"/>
          <w:highlight w:val="none"/>
          <w:lang w:val="en-US" w:eastAsia="zh-CN"/>
        </w:rPr>
        <w:t>十六</w:t>
      </w:r>
      <w:r>
        <w:rPr>
          <w:rFonts w:hint="eastAsia" w:eastAsia="仿宋_GB2312"/>
          <w:sz w:val="32"/>
          <w:szCs w:val="32"/>
          <w:lang w:val="en-US" w:eastAsia="zh-CN"/>
        </w:rPr>
        <w:t>届人大第七次会议审议，并请政协各位委员和其他列席会议的同志提出意见。</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一、2020年预算执行情况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lang w:val="en-US" w:eastAsia="zh-CN"/>
        </w:rPr>
      </w:pPr>
      <w:r>
        <w:rPr>
          <w:rFonts w:hint="eastAsia" w:eastAsia="仿宋_GB2312"/>
          <w:sz w:val="32"/>
          <w:szCs w:val="32"/>
          <w:lang w:val="en-US" w:eastAsia="zh-CN"/>
        </w:rPr>
        <w:t>2020年是我县攻坚克难、砥砺奋进的一年，面对突然来袭的新冠疫情和持续加大的经济下行压力以及艰巨复杂的改革发展任务，受疫情对经济发展的严重冲击、减税降费政策的减收效应影响，财政收入减收压力显著加大，财政收支矛盾加剧，财政运行举步维艰，面对困难形势，财政部门在县委、县政府的坚强领导下，在县人大和县政协的监督指导下，坚持服从服务于全县改革、发展、稳定的大局，克服重重困难和挑战，扎实做好“六稳”工作、落实“六保”任务，努力确保了全年的工资发放、机关运转和基本民生需求，坚定不移维护政府诚信，为永福县域经济发展提供财力支撑。</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sz w:val="32"/>
          <w:szCs w:val="32"/>
          <w:lang w:val="en-US" w:eastAsia="zh-CN"/>
        </w:rPr>
        <w:t>2020年全县组织财政收入累计完成50686万元，完成年度收入预算61170万元的82.86%，完成市任务62330万元的81.32%，同比减少7566万元（上年同期58252万元），减少12.99%。其中：一般公共预算收入29529万元（上年同期36427万元），完成年初预算36403万元的81.12%，同比减少6898万元，减少18.94%，全县组织财政收入中税收收入完成42580万元（上年</w:t>
      </w:r>
      <w:r>
        <w:rPr>
          <w:rFonts w:hint="eastAsia" w:eastAsia="仿宋_GB2312"/>
          <w:sz w:val="32"/>
          <w:szCs w:val="32"/>
          <w:highlight w:val="none"/>
          <w:lang w:val="en-US" w:eastAsia="zh-CN"/>
        </w:rPr>
        <w:t>43118</w:t>
      </w:r>
      <w:r>
        <w:rPr>
          <w:rFonts w:hint="eastAsia" w:eastAsia="仿宋_GB2312"/>
          <w:sz w:val="32"/>
          <w:szCs w:val="32"/>
          <w:lang w:val="en-US" w:eastAsia="zh-CN"/>
        </w:rPr>
        <w:t>万元），同比减少</w:t>
      </w:r>
      <w:r>
        <w:rPr>
          <w:rFonts w:hint="eastAsia" w:eastAsia="仿宋_GB2312"/>
          <w:sz w:val="32"/>
          <w:szCs w:val="32"/>
          <w:highlight w:val="none"/>
          <w:lang w:val="en-US" w:eastAsia="zh-CN"/>
        </w:rPr>
        <w:t>538</w:t>
      </w:r>
      <w:r>
        <w:rPr>
          <w:rFonts w:hint="eastAsia" w:eastAsia="仿宋_GB2312"/>
          <w:sz w:val="32"/>
          <w:szCs w:val="32"/>
          <w:lang w:val="en-US" w:eastAsia="zh-CN"/>
        </w:rPr>
        <w:t>万元，减少1.25%；财政收入</w:t>
      </w:r>
      <w:r>
        <w:rPr>
          <w:rFonts w:hint="eastAsia" w:eastAsia="仿宋_GB2312"/>
          <w:sz w:val="32"/>
          <w:szCs w:val="32"/>
          <w:highlight w:val="none"/>
          <w:lang w:val="en-US" w:eastAsia="zh-CN"/>
        </w:rPr>
        <w:t>8106</w:t>
      </w:r>
      <w:r>
        <w:rPr>
          <w:rFonts w:hint="eastAsia" w:eastAsia="仿宋_GB2312"/>
          <w:sz w:val="32"/>
          <w:szCs w:val="32"/>
          <w:lang w:val="en-US" w:eastAsia="zh-CN"/>
        </w:rPr>
        <w:t>万元（上年同期</w:t>
      </w:r>
      <w:r>
        <w:rPr>
          <w:rFonts w:hint="eastAsia" w:eastAsia="仿宋_GB2312"/>
          <w:sz w:val="32"/>
          <w:szCs w:val="32"/>
          <w:highlight w:val="none"/>
          <w:lang w:val="en-US" w:eastAsia="zh-CN"/>
        </w:rPr>
        <w:t>15134</w:t>
      </w:r>
      <w:r>
        <w:rPr>
          <w:rFonts w:hint="eastAsia" w:eastAsia="仿宋_GB2312"/>
          <w:sz w:val="32"/>
          <w:szCs w:val="32"/>
          <w:lang w:val="en-US" w:eastAsia="zh-CN"/>
        </w:rPr>
        <w:t>万元），同比减少7028万元，减少46.44%</w:t>
      </w:r>
      <w:r>
        <w:rPr>
          <w:rFonts w:hint="eastAsia" w:eastAsia="仿宋_GB2312"/>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全县一般公共财政预算收入</w:t>
      </w:r>
      <w:r>
        <w:rPr>
          <w:rFonts w:hint="eastAsia" w:eastAsia="仿宋_GB2312"/>
          <w:sz w:val="32"/>
          <w:szCs w:val="32"/>
          <w:lang w:val="en-US" w:eastAsia="zh-CN"/>
        </w:rPr>
        <w:t>29529</w:t>
      </w:r>
      <w:r>
        <w:rPr>
          <w:rFonts w:hint="eastAsia" w:eastAsia="仿宋_GB2312"/>
          <w:color w:val="000000" w:themeColor="text1"/>
          <w:sz w:val="32"/>
          <w:szCs w:val="32"/>
          <w:highlight w:val="none"/>
          <w:lang w:val="en-US" w:eastAsia="zh-CN"/>
          <w14:textFill>
            <w14:solidFill>
              <w14:schemeClr w14:val="tx1"/>
            </w14:solidFill>
          </w14:textFill>
        </w:rPr>
        <w:t>万元，其中税收收入20677万元，非税收入</w:t>
      </w:r>
      <w:r>
        <w:rPr>
          <w:rFonts w:hint="eastAsia" w:eastAsia="仿宋_GB2312"/>
          <w:sz w:val="32"/>
          <w:szCs w:val="32"/>
          <w:lang w:val="en-US" w:eastAsia="zh-CN"/>
        </w:rPr>
        <w:t>8852</w:t>
      </w:r>
      <w:r>
        <w:rPr>
          <w:rFonts w:hint="eastAsia" w:eastAsia="仿宋_GB2312"/>
          <w:color w:val="000000" w:themeColor="text1"/>
          <w:sz w:val="32"/>
          <w:szCs w:val="32"/>
          <w:highlight w:val="none"/>
          <w:lang w:val="en-US" w:eastAsia="zh-CN"/>
          <w14:textFill>
            <w14:solidFill>
              <w14:schemeClr w14:val="tx1"/>
            </w14:solidFill>
          </w14:textFill>
        </w:rPr>
        <w:t>万元，非税收入占一般公共预算收入的29.97%，同比上年下降了13.73个百分点，财政收入质量得到明显提高。</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　　（一）公共财政预算执行情况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lang w:val="en-US" w:eastAsia="zh-CN"/>
        </w:rPr>
        <w:t>2020年公共财政</w:t>
      </w:r>
      <w:r>
        <w:rPr>
          <w:rFonts w:hint="eastAsia" w:eastAsia="仿宋_GB2312"/>
          <w:sz w:val="32"/>
          <w:szCs w:val="32"/>
          <w:highlight w:val="none"/>
          <w:lang w:val="en-US" w:eastAsia="zh-CN"/>
        </w:rPr>
        <w:t>预算收入254102万元，支出243455万元。收支相抵，年终滚存结余10647万元，其中：专款结余10647万元。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eastAsia="仿宋_GB2312"/>
          <w:b/>
          <w:bCs/>
          <w:sz w:val="32"/>
          <w:szCs w:val="32"/>
          <w:highlight w:val="none"/>
          <w:lang w:val="en-US" w:eastAsia="zh-CN"/>
        </w:rPr>
        <w:t>1.公共财政预算收入</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2020年公共财政预算收入254102万元。其中：一般公共财政预算收入29529万元；上级补助收入</w:t>
      </w:r>
      <w:r>
        <w:rPr>
          <w:rFonts w:hint="eastAsia" w:eastAsia="仿宋_GB2312"/>
          <w:sz w:val="32"/>
          <w:szCs w:val="32"/>
          <w:highlight w:val="none"/>
          <w:u w:val="none"/>
          <w:lang w:val="en-US" w:eastAsia="zh-CN"/>
        </w:rPr>
        <w:t>188383</w:t>
      </w:r>
      <w:r>
        <w:rPr>
          <w:rFonts w:hint="eastAsia" w:eastAsia="仿宋_GB2312"/>
          <w:sz w:val="32"/>
          <w:szCs w:val="32"/>
          <w:highlight w:val="none"/>
          <w:lang w:val="en-US" w:eastAsia="zh-CN"/>
        </w:rPr>
        <w:t>万元；上年结余收入9922万元；政府性基金预算调入24002万元，动用预算稳定调节基金266万元；地方政府性债券转贷收入2000万元。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县本级一般公共财政预算收入29529万元，其中：</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税收收入20677万元，完成年初预算24823万元的83.3%，与上年执行数20499万元同比增加178万元，增长0.87%。其中：增值税7220万元，减少5.55%；企业所得税1172万元，增长0.26%；个人所得税492万元，增长27.46%；耕地占用税3068万元，增长17.28%。</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非税收入8852万元，完成年初预算11580万元的76.44%，与上年执行数15928万元减少7076万元，减少44.42%。其中：专项收入1493万元，减少9.52%；国有资源（资产）有偿使用收入4092万元，减少48.79%；行政事业性收费收入1311万元，增长17.68%；罚没收入1421万元，减少1.8%；其它收入196万元，减少72.36%。</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eastAsia="仿宋_GB2312"/>
          <w:b/>
          <w:bCs/>
          <w:sz w:val="32"/>
          <w:szCs w:val="32"/>
          <w:highlight w:val="none"/>
          <w:lang w:val="en-US" w:eastAsia="zh-CN"/>
        </w:rPr>
        <w:t>2.公共财政预算支出</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2020年公共财政预算支出243455万元，其中：一般公共财政预算支出236964万元、专项上解支出1162万元、一般债务还本支出2442万元、安排预算稳定调节基金2887万元。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eastAsia="仿宋_GB2312"/>
          <w:b/>
          <w:bCs/>
          <w:sz w:val="32"/>
          <w:szCs w:val="32"/>
          <w:highlight w:val="none"/>
          <w:lang w:val="en-US" w:eastAsia="zh-CN"/>
        </w:rPr>
        <w:t>3、总预备费安排使用情况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2020年县本级预算安排总预备费2500万元，由于刚性支出增加，已全部用于平衡预算，分散在各支出科目中。</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（二）政府性基金预算执行情况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政府性基金总收入106689万元，其中：当年基金收入64704万元，完成年初预算的98.14%，同比增长226.05%；上年结余收入3170万元；上级补助收入9415万元；地方政府专项债务转贷收入29400万元。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政府性基金支出103210万元，其中：当年基金支出78708万元，完成年初预算的894.41%，同比增长408.43%；调出资金24002万元，专项债务还本支出500万元。收支相抵，年终滚存结余3479万元。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（三）社会保险基金预算执行情况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社会保险2项基金收入合计27584万元，完成预算的97%，增长13%。其中：城乡居民基本养老保险基金收入8430万元，完成预算101%，增长2%；机关事业单位基本养老保险基金收入19154万元，完成预算95%，增长19%。</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社会保险2项基金支出合计23075万元，完成预算的95%，零增长，其中：城乡居民基本养老保险基金支出6640万元，完成预算102%，增长3%；机关事业单位基本养老保险基金支出16435万元，完成预算93%，减少2%。</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收支相抵，当年收支实现平衡并结余4509万元，年终滚存结余26422万元，其中：城乡居民基本养老保险基金结余12558万元；机关事业单位基本养老保险基金结余13864万元。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（四）全县债务情况</w:t>
      </w:r>
    </w:p>
    <w:p>
      <w:pPr>
        <w:numPr>
          <w:ilvl w:val="0"/>
          <w:numId w:val="0"/>
        </w:numPr>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　　</w:t>
      </w:r>
      <w:r>
        <w:rPr>
          <w:rFonts w:hint="eastAsia" w:ascii="Times New Roman" w:hAnsi="Times New Roman" w:eastAsia="仿宋_GB2312" w:cs="Times New Roman"/>
          <w:sz w:val="32"/>
          <w:szCs w:val="32"/>
          <w:highlight w:val="none"/>
          <w:lang w:val="en-US" w:eastAsia="zh-CN"/>
        </w:rPr>
        <w:t>地方政府性债务余额（政府债务系统内债务余额）。</w:t>
      </w:r>
      <w:r>
        <w:rPr>
          <w:rFonts w:hint="eastAsia" w:eastAsia="仿宋_GB2312" w:cs="Times New Roman"/>
          <w:sz w:val="32"/>
          <w:szCs w:val="32"/>
          <w:highlight w:val="none"/>
          <w:lang w:val="en-US" w:eastAsia="zh-CN"/>
        </w:rPr>
        <w:t>2020年预计</w:t>
      </w:r>
      <w:r>
        <w:rPr>
          <w:rFonts w:hint="eastAsia" w:ascii="Times New Roman" w:hAnsi="Times New Roman" w:eastAsia="仿宋_GB2312" w:cs="Times New Roman"/>
          <w:sz w:val="32"/>
          <w:szCs w:val="32"/>
          <w:highlight w:val="none"/>
          <w:lang w:val="en-US" w:eastAsia="zh-CN"/>
        </w:rPr>
        <w:t>我县政府债务限额为</w:t>
      </w:r>
      <w:r>
        <w:rPr>
          <w:rFonts w:hint="eastAsia" w:eastAsia="仿宋_GB2312" w:cs="Times New Roman"/>
          <w:sz w:val="32"/>
          <w:szCs w:val="32"/>
          <w:highlight w:val="none"/>
          <w:lang w:val="en-US" w:eastAsia="zh-CN"/>
        </w:rPr>
        <w:t>143200</w:t>
      </w:r>
      <w:r>
        <w:rPr>
          <w:rFonts w:hint="eastAsia" w:ascii="Times New Roman" w:hAnsi="Times New Roman" w:eastAsia="仿宋_GB2312" w:cs="Times New Roman"/>
          <w:sz w:val="32"/>
          <w:szCs w:val="32"/>
          <w:highlight w:val="none"/>
          <w:lang w:val="en-US" w:eastAsia="zh-CN"/>
        </w:rPr>
        <w:t>万元，其中一般债务</w:t>
      </w:r>
      <w:r>
        <w:rPr>
          <w:rFonts w:hint="eastAsia" w:eastAsia="仿宋_GB2312" w:cs="Times New Roman"/>
          <w:sz w:val="32"/>
          <w:szCs w:val="32"/>
          <w:highlight w:val="none"/>
          <w:lang w:val="en-US" w:eastAsia="zh-CN"/>
        </w:rPr>
        <w:t>71200</w:t>
      </w:r>
      <w:r>
        <w:rPr>
          <w:rFonts w:hint="eastAsia" w:ascii="Times New Roman" w:hAnsi="Times New Roman" w:eastAsia="仿宋_GB2312" w:cs="Times New Roman"/>
          <w:sz w:val="32"/>
          <w:szCs w:val="32"/>
          <w:highlight w:val="none"/>
          <w:lang w:val="en-US" w:eastAsia="zh-CN"/>
        </w:rPr>
        <w:t>万元，专项债务</w:t>
      </w:r>
      <w:r>
        <w:rPr>
          <w:rFonts w:hint="eastAsia" w:eastAsia="仿宋_GB2312" w:cs="Times New Roman"/>
          <w:sz w:val="32"/>
          <w:szCs w:val="32"/>
          <w:highlight w:val="none"/>
          <w:lang w:val="en-US" w:eastAsia="zh-CN"/>
        </w:rPr>
        <w:t>72000</w:t>
      </w:r>
      <w:r>
        <w:rPr>
          <w:rFonts w:hint="eastAsia" w:ascii="Times New Roman" w:hAnsi="Times New Roman" w:eastAsia="仿宋_GB2312" w:cs="Times New Roman"/>
          <w:sz w:val="32"/>
          <w:szCs w:val="32"/>
          <w:highlight w:val="none"/>
          <w:lang w:val="en-US" w:eastAsia="zh-CN"/>
        </w:rPr>
        <w:t>万元。截至20</w:t>
      </w:r>
      <w:r>
        <w:rPr>
          <w:rFonts w:hint="eastAsia"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lang w:val="en-US" w:eastAsia="zh-CN"/>
        </w:rPr>
        <w:t>年12月31日，我县政府债务余额</w:t>
      </w:r>
      <w:r>
        <w:rPr>
          <w:rFonts w:hint="eastAsia" w:eastAsia="仿宋_GB2312" w:cs="Times New Roman"/>
          <w:sz w:val="32"/>
          <w:szCs w:val="32"/>
          <w:highlight w:val="none"/>
          <w:lang w:val="en-US" w:eastAsia="zh-CN"/>
        </w:rPr>
        <w:t>140953.09</w:t>
      </w:r>
      <w:r>
        <w:rPr>
          <w:rFonts w:hint="eastAsia" w:ascii="Times New Roman" w:hAnsi="Times New Roman" w:eastAsia="仿宋_GB2312" w:cs="Times New Roman"/>
          <w:sz w:val="32"/>
          <w:szCs w:val="32"/>
          <w:highlight w:val="none"/>
          <w:lang w:val="en-US" w:eastAsia="zh-CN"/>
        </w:rPr>
        <w:t>万元，其中政府一般债务</w:t>
      </w:r>
      <w:r>
        <w:rPr>
          <w:rFonts w:hint="eastAsia" w:eastAsia="仿宋_GB2312" w:cs="Times New Roman"/>
          <w:sz w:val="32"/>
          <w:szCs w:val="32"/>
          <w:highlight w:val="none"/>
          <w:lang w:val="en-US" w:eastAsia="zh-CN"/>
        </w:rPr>
        <w:t>69583.09</w:t>
      </w:r>
      <w:r>
        <w:rPr>
          <w:rFonts w:hint="eastAsia" w:ascii="Times New Roman" w:hAnsi="Times New Roman" w:eastAsia="仿宋_GB2312" w:cs="Times New Roman"/>
          <w:sz w:val="32"/>
          <w:szCs w:val="32"/>
          <w:highlight w:val="none"/>
          <w:lang w:val="en-US" w:eastAsia="zh-CN"/>
        </w:rPr>
        <w:t>万元，专项债务</w:t>
      </w:r>
      <w:r>
        <w:rPr>
          <w:rFonts w:hint="eastAsia" w:eastAsia="仿宋_GB2312" w:cs="Times New Roman"/>
          <w:sz w:val="32"/>
          <w:szCs w:val="32"/>
          <w:highlight w:val="none"/>
          <w:lang w:val="en-US" w:eastAsia="zh-CN"/>
        </w:rPr>
        <w:t>71370</w:t>
      </w:r>
      <w:r>
        <w:rPr>
          <w:rFonts w:hint="eastAsia" w:ascii="Times New Roman" w:hAnsi="Times New Roman" w:eastAsia="仿宋_GB2312" w:cs="Times New Roman"/>
          <w:sz w:val="32"/>
          <w:szCs w:val="32"/>
          <w:highlight w:val="none"/>
          <w:lang w:val="en-US" w:eastAsia="zh-CN"/>
        </w:rPr>
        <w:t>万元。政府债务余额控制在政府债务限额以内。</w:t>
      </w:r>
      <w:r>
        <w:rPr>
          <w:rFonts w:ascii="宋体" w:hAnsi="宋体" w:eastAsia="宋体" w:cs="宋体"/>
          <w:sz w:val="24"/>
          <w:szCs w:val="24"/>
          <w:highlight w:val="none"/>
        </w:rPr>
        <w:br w:type="textWrapping"/>
      </w:r>
      <w:r>
        <w:rPr>
          <w:rFonts w:hint="eastAsia" w:ascii="宋体" w:hAnsi="宋体" w:cs="宋体"/>
          <w:sz w:val="24"/>
          <w:szCs w:val="24"/>
          <w:highlight w:val="none"/>
          <w:lang w:eastAsia="zh-CN"/>
        </w:rPr>
        <w:t>　　　</w:t>
      </w:r>
      <w:r>
        <w:rPr>
          <w:rFonts w:hint="eastAsia" w:eastAsia="仿宋_GB2312" w:cs="Times New Roman"/>
          <w:sz w:val="32"/>
          <w:szCs w:val="32"/>
          <w:highlight w:val="none"/>
          <w:lang w:val="en-US" w:eastAsia="zh-CN"/>
        </w:rPr>
        <w:t xml:space="preserve"> 2020年我县获得政府新增债券资金31400万元，其中：新增再融资一般债券2000万元，用于偿还2015年新增一般债券；新增再融资专项债券500万元，用于偿还2017年新增专项债券；新增社会领域专项债券4900万元，用于永福县第二自来水厂及输水管网（备用水源）建设；新增公立医院专项债券1500万元，用于永福县妇幼保健院整体搬迁一期建设项目；新增产业园区专项债券15000万元，用于永福县福龙工业园C区产业园（一期）项目；新增棚户区改造专项债券7500万元，用于永福县十字街旧城区棚户区改造项目。</w:t>
      </w:r>
    </w:p>
    <w:p>
      <w:pPr>
        <w:numPr>
          <w:ilvl w:val="0"/>
          <w:numId w:val="0"/>
        </w:numPr>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　　融资公司债务余额。截至2020年12月31日，我县福兴城投公司、福弘投资公司、经济建设投资公司贷款余额合计为82258.43万元，其中：福兴城投公司余额33696.43万元，福弘公司贷款余额36350万元、经济建设投资公司棚户区改造贷款余额12212万元。</w:t>
      </w:r>
    </w:p>
    <w:p>
      <w:pPr>
        <w:numPr>
          <w:ilvl w:val="0"/>
          <w:numId w:val="0"/>
        </w:numPr>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　　</w:t>
      </w:r>
      <w:r>
        <w:rPr>
          <w:rFonts w:hint="eastAsia" w:ascii="楷体_GB2312" w:hAnsi="楷体_GB2312" w:eastAsia="楷体_GB2312" w:cs="楷体_GB2312"/>
          <w:b/>
          <w:bCs/>
          <w:sz w:val="32"/>
          <w:szCs w:val="32"/>
          <w:highlight w:val="none"/>
          <w:u w:val="none"/>
          <w:lang w:val="en-US" w:eastAsia="zh-CN"/>
        </w:rPr>
        <w:t>（五）</w:t>
      </w:r>
      <w:r>
        <w:rPr>
          <w:rFonts w:hint="eastAsia" w:ascii="楷体_GB2312" w:hAnsi="楷体_GB2312" w:eastAsia="楷体_GB2312" w:cs="楷体_GB2312"/>
          <w:b/>
          <w:bCs/>
          <w:sz w:val="32"/>
          <w:szCs w:val="32"/>
          <w:highlight w:val="none"/>
          <w:lang w:val="en-US" w:eastAsia="zh-CN"/>
        </w:rPr>
        <w:t>落实县人大预算决议及财政重点工作情况</w:t>
      </w:r>
    </w:p>
    <w:p>
      <w:pPr>
        <w:numPr>
          <w:ilvl w:val="0"/>
          <w:numId w:val="0"/>
        </w:numPr>
        <w:ind w:firstLine="642"/>
        <w:rPr>
          <w:rFonts w:hint="eastAsia" w:eastAsia="仿宋_GB2312" w:cs="Times New Roman"/>
          <w:b/>
          <w:bCs/>
          <w:sz w:val="32"/>
          <w:szCs w:val="32"/>
          <w:highlight w:val="none"/>
          <w:lang w:val="en-US" w:eastAsia="zh-CN"/>
        </w:rPr>
      </w:pPr>
      <w:r>
        <w:rPr>
          <w:rFonts w:hint="eastAsia" w:eastAsia="仿宋_GB2312" w:cs="Times New Roman"/>
          <w:b/>
          <w:bCs/>
          <w:sz w:val="32"/>
          <w:szCs w:val="32"/>
          <w:highlight w:val="none"/>
          <w:lang w:val="en-US" w:eastAsia="zh-CN"/>
        </w:rPr>
        <w:t>1、迎难而上，提高财政收入质量；发挥职能，全力以赴抗疫情。</w:t>
      </w:r>
    </w:p>
    <w:p>
      <w:pPr>
        <w:numPr>
          <w:ilvl w:val="0"/>
          <w:numId w:val="0"/>
        </w:numPr>
        <w:ind w:firstLine="642"/>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2020年，财税部门及时调整工作措施，深入分析财源现状，认真测算政策落地及受疫情影响企业复工复产情况对财政收入的影响，盘活存量，扩大增量，努力挖潜增收，虽受宏观经济持续下行、落实结构性减税和普遍性降费等政策性影响，以及落实上级决策，严格收入管理，实事求是组织收入、挤出水份等多重因素共同作用，组织收入虽呈现负增长，但夯实了我县的收入基础，实现了较高的收入质量。</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40" w:firstLineChars="200"/>
        <w:jc w:val="both"/>
        <w:textAlignment w:val="auto"/>
        <w:outlineLvl w:val="9"/>
        <w:rPr>
          <w:rFonts w:hint="eastAsia" w:ascii="宋体" w:hAnsi="宋体" w:eastAsia="宋体" w:cs="宋体"/>
          <w:i w:val="0"/>
          <w:caps w:val="0"/>
          <w:color w:val="333333"/>
          <w:spacing w:val="0"/>
          <w:sz w:val="32"/>
          <w:szCs w:val="32"/>
          <w:highlight w:val="none"/>
          <w:shd w:val="clear" w:fill="FFFFFF"/>
        </w:rPr>
      </w:pPr>
      <w:r>
        <w:rPr>
          <w:rFonts w:hint="eastAsia" w:ascii="Times New Roman" w:hAnsi="Times New Roman" w:eastAsia="仿宋_GB2312" w:cs="Times New Roman"/>
          <w:kern w:val="2"/>
          <w:sz w:val="32"/>
          <w:szCs w:val="32"/>
          <w:highlight w:val="none"/>
          <w:lang w:val="en-US" w:eastAsia="zh-CN" w:bidi="ar-SA"/>
        </w:rPr>
        <w:t>新冠肺炎疫情后，财政部门旗帜鲜明讲政治，坚持一手抓防疫、一手促发展</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积极做好疫情防控经费保障，建立资金支付绿色通</w:t>
      </w:r>
      <w:r>
        <w:rPr>
          <w:rFonts w:hint="eastAsia" w:eastAsia="仿宋_GB2312" w:cs="Times New Roman"/>
          <w:kern w:val="2"/>
          <w:sz w:val="32"/>
          <w:szCs w:val="32"/>
          <w:highlight w:val="none"/>
          <w:lang w:val="en-US" w:eastAsia="zh-CN" w:bidi="ar-SA"/>
        </w:rPr>
        <w:t>道，</w:t>
      </w:r>
      <w:r>
        <w:rPr>
          <w:rFonts w:hint="eastAsia" w:ascii="Times New Roman" w:hAnsi="Times New Roman" w:eastAsia="仿宋_GB2312" w:cs="Times New Roman"/>
          <w:kern w:val="2"/>
          <w:sz w:val="32"/>
          <w:szCs w:val="32"/>
          <w:highlight w:val="none"/>
          <w:lang w:val="en-US" w:eastAsia="zh-CN" w:bidi="ar-SA"/>
        </w:rPr>
        <w:t>放宽业务受理时限要</w:t>
      </w:r>
      <w:r>
        <w:rPr>
          <w:rFonts w:hint="eastAsia" w:eastAsia="仿宋_GB2312" w:cs="Times New Roman"/>
          <w:kern w:val="2"/>
          <w:sz w:val="32"/>
          <w:szCs w:val="32"/>
          <w:highlight w:val="none"/>
          <w:lang w:val="en-US" w:eastAsia="zh-CN" w:bidi="ar-SA"/>
        </w:rPr>
        <w:t>求，</w:t>
      </w:r>
      <w:r>
        <w:rPr>
          <w:rFonts w:hint="eastAsia" w:ascii="Times New Roman" w:hAnsi="Times New Roman" w:eastAsia="仿宋_GB2312" w:cs="Times New Roman"/>
          <w:kern w:val="2"/>
          <w:sz w:val="32"/>
          <w:szCs w:val="32"/>
          <w:highlight w:val="none"/>
          <w:lang w:val="en-US" w:eastAsia="zh-CN" w:bidi="ar-SA"/>
        </w:rPr>
        <w:t>坚持 “特事特办”“全力保障</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全年共拨付各类疫情防控资金</w:t>
      </w:r>
      <w:r>
        <w:rPr>
          <w:rFonts w:hint="eastAsia" w:eastAsia="仿宋_GB2312" w:cs="Times New Roman"/>
          <w:kern w:val="2"/>
          <w:sz w:val="32"/>
          <w:szCs w:val="32"/>
          <w:highlight w:val="none"/>
          <w:lang w:val="en-US" w:eastAsia="zh-CN" w:bidi="ar-SA"/>
        </w:rPr>
        <w:t>3526</w:t>
      </w:r>
      <w:r>
        <w:rPr>
          <w:rFonts w:hint="eastAsia" w:ascii="Times New Roman" w:hAnsi="Times New Roman" w:eastAsia="仿宋_GB2312" w:cs="Times New Roman"/>
          <w:kern w:val="2"/>
          <w:sz w:val="32"/>
          <w:szCs w:val="32"/>
          <w:highlight w:val="none"/>
          <w:lang w:val="en-US" w:eastAsia="zh-CN" w:bidi="ar-SA"/>
        </w:rPr>
        <w:t>万元，保证随时拨付采购疫情防控所需的应急药品、医疗设备、器械、防护用品和防治工作经费。</w:t>
      </w:r>
      <w:r>
        <w:rPr>
          <w:rFonts w:hint="eastAsia" w:eastAsia="仿宋_GB2312" w:cs="Times New Roman"/>
          <w:kern w:val="2"/>
          <w:sz w:val="32"/>
          <w:szCs w:val="32"/>
          <w:highlight w:val="none"/>
          <w:lang w:val="en-US" w:eastAsia="zh-CN" w:bidi="ar-SA"/>
        </w:rPr>
        <w:t>财政部门</w:t>
      </w:r>
      <w:r>
        <w:rPr>
          <w:rFonts w:hint="eastAsia" w:ascii="Times New Roman" w:hAnsi="Times New Roman" w:eastAsia="仿宋_GB2312" w:cs="Times New Roman"/>
          <w:kern w:val="2"/>
          <w:sz w:val="32"/>
          <w:szCs w:val="32"/>
          <w:highlight w:val="none"/>
          <w:lang w:val="en-US" w:eastAsia="zh-CN" w:bidi="ar-SA"/>
        </w:rPr>
        <w:t>抢抓时间窗口期</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加大向上争取资金力度应对疫情冲击，全年共争取抗疫特别国债1</w:t>
      </w:r>
      <w:r>
        <w:rPr>
          <w:rFonts w:hint="eastAsia" w:eastAsia="仿宋_GB2312" w:cs="Times New Roman"/>
          <w:kern w:val="2"/>
          <w:sz w:val="32"/>
          <w:szCs w:val="32"/>
          <w:highlight w:val="none"/>
          <w:lang w:val="en-US" w:eastAsia="zh-CN" w:bidi="ar-SA"/>
        </w:rPr>
        <w:t>0001</w:t>
      </w:r>
      <w:r>
        <w:rPr>
          <w:rFonts w:hint="eastAsia" w:ascii="Times New Roman" w:hAnsi="Times New Roman" w:eastAsia="仿宋_GB2312" w:cs="Times New Roman"/>
          <w:kern w:val="2"/>
          <w:sz w:val="32"/>
          <w:szCs w:val="32"/>
          <w:highlight w:val="none"/>
          <w:lang w:val="en-US" w:eastAsia="zh-CN" w:bidi="ar-SA"/>
        </w:rPr>
        <w:t>万元，</w:t>
      </w:r>
      <w:r>
        <w:rPr>
          <w:rFonts w:hint="eastAsia" w:eastAsia="仿宋_GB2312" w:cs="Times New Roman"/>
          <w:kern w:val="2"/>
          <w:sz w:val="32"/>
          <w:szCs w:val="32"/>
          <w:highlight w:val="none"/>
          <w:lang w:val="en-US" w:eastAsia="zh-CN" w:bidi="ar-SA"/>
        </w:rPr>
        <w:t>其中</w:t>
      </w:r>
      <w:r>
        <w:rPr>
          <w:rFonts w:hint="eastAsia" w:ascii="Times New Roman" w:hAnsi="Times New Roman" w:eastAsia="仿宋_GB2312" w:cs="Times New Roman"/>
          <w:sz w:val="32"/>
          <w:szCs w:val="32"/>
          <w:highlight w:val="none"/>
          <w:lang w:val="en-US" w:eastAsia="zh-CN"/>
        </w:rPr>
        <w:t>4455万元用于公共卫生体系建设</w:t>
      </w:r>
      <w:r>
        <w:rPr>
          <w:rFonts w:hint="eastAsia" w:eastAsia="仿宋_GB2312" w:cs="Times New Roman"/>
          <w:sz w:val="32"/>
          <w:szCs w:val="32"/>
          <w:highlight w:val="none"/>
          <w:lang w:val="en-US" w:eastAsia="zh-CN"/>
        </w:rPr>
        <w:t>（其中包括</w:t>
      </w:r>
      <w:r>
        <w:rPr>
          <w:rFonts w:hint="eastAsia" w:ascii="仿宋_GB2312" w:hAnsi="微软雅黑" w:eastAsia="仿宋_GB2312" w:cs="仿宋_GB2312"/>
          <w:i w:val="0"/>
          <w:caps w:val="0"/>
          <w:color w:val="333333"/>
          <w:spacing w:val="0"/>
          <w:sz w:val="32"/>
          <w:szCs w:val="32"/>
          <w:highlight w:val="none"/>
          <w:shd w:val="clear" w:fill="FFFFFF"/>
        </w:rPr>
        <w:t>新冠病毒核酸检测PCR实验室建设及检测相关设备采购</w:t>
      </w:r>
      <w:r>
        <w:rPr>
          <w:rFonts w:hint="eastAsia" w:ascii="仿宋_GB2312" w:hAnsi="微软雅黑" w:eastAsia="仿宋_GB2312" w:cs="仿宋_GB2312"/>
          <w:i w:val="0"/>
          <w:caps w:val="0"/>
          <w:color w:val="333333"/>
          <w:spacing w:val="0"/>
          <w:sz w:val="32"/>
          <w:szCs w:val="32"/>
          <w:highlight w:val="none"/>
          <w:shd w:val="clear" w:fill="FFFFFF"/>
          <w:lang w:eastAsia="zh-CN"/>
        </w:rPr>
        <w:t>）</w:t>
      </w:r>
      <w:r>
        <w:rPr>
          <w:rFonts w:hint="eastAsia" w:ascii="Times New Roman" w:hAnsi="Times New Roman" w:eastAsia="仿宋_GB2312" w:cs="Times New Roman"/>
          <w:sz w:val="32"/>
          <w:szCs w:val="32"/>
          <w:highlight w:val="none"/>
          <w:lang w:val="en-US" w:eastAsia="zh-CN"/>
        </w:rPr>
        <w:t>、重大疫情防控救治体系建设、核酸检测补助等项目，支持打赢疫情防控阻击战，落实“内防扩散”“外防输入”</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kern w:val="2"/>
          <w:sz w:val="32"/>
          <w:szCs w:val="32"/>
          <w:highlight w:val="none"/>
          <w:lang w:val="en-US" w:eastAsia="zh-CN" w:bidi="ar-SA"/>
        </w:rPr>
        <w:t>并督促</w:t>
      </w:r>
      <w:r>
        <w:rPr>
          <w:rFonts w:hint="eastAsia" w:eastAsia="仿宋_GB2312" w:cs="Times New Roman"/>
          <w:kern w:val="2"/>
          <w:sz w:val="32"/>
          <w:szCs w:val="32"/>
          <w:highlight w:val="none"/>
          <w:lang w:val="en-US" w:eastAsia="zh-CN" w:bidi="ar-SA"/>
        </w:rPr>
        <w:t>项目</w:t>
      </w:r>
      <w:r>
        <w:rPr>
          <w:rFonts w:hint="eastAsia" w:ascii="Times New Roman" w:hAnsi="Times New Roman" w:eastAsia="仿宋_GB2312" w:cs="Times New Roman"/>
          <w:kern w:val="2"/>
          <w:sz w:val="32"/>
          <w:szCs w:val="32"/>
          <w:highlight w:val="none"/>
          <w:lang w:val="en-US" w:eastAsia="zh-CN" w:bidi="ar-SA"/>
        </w:rPr>
        <w:t>单位尽快支付债券资金，充分发挥债券资金稳投资、补短板、强弱项的积极作用。</w:t>
      </w:r>
      <w:r>
        <w:rPr>
          <w:rFonts w:hint="eastAsia" w:ascii="宋体" w:hAnsi="宋体" w:eastAsia="宋体" w:cs="宋体"/>
          <w:i w:val="0"/>
          <w:caps w:val="0"/>
          <w:color w:val="333333"/>
          <w:spacing w:val="0"/>
          <w:sz w:val="32"/>
          <w:szCs w:val="32"/>
          <w:highlight w:val="none"/>
          <w:shd w:val="clear" w:fill="FFFFFF"/>
        </w:rPr>
        <w:t>　　　　</w:t>
      </w:r>
    </w:p>
    <w:p>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600" w:lineRule="atLeast"/>
        <w:ind w:left="0" w:right="0" w:firstLine="644"/>
        <w:jc w:val="both"/>
        <w:rPr>
          <w:rFonts w:ascii="仿宋_GB2312" w:hAnsi="微软雅黑" w:eastAsia="仿宋_GB2312" w:cs="仿宋_GB2312"/>
          <w:b/>
          <w:i w:val="0"/>
          <w:caps w:val="0"/>
          <w:color w:val="333333"/>
          <w:spacing w:val="0"/>
          <w:kern w:val="0"/>
          <w:sz w:val="32"/>
          <w:szCs w:val="32"/>
          <w:highlight w:val="none"/>
          <w:shd w:val="clear" w:fill="FFFFFF"/>
          <w:lang w:val="en-US" w:eastAsia="zh-CN" w:bidi="ar-SA"/>
        </w:rPr>
      </w:pPr>
      <w:r>
        <w:rPr>
          <w:rFonts w:ascii="仿宋_GB2312" w:hAnsi="微软雅黑" w:eastAsia="仿宋_GB2312" w:cs="仿宋_GB2312"/>
          <w:b/>
          <w:i w:val="0"/>
          <w:caps w:val="0"/>
          <w:color w:val="333333"/>
          <w:spacing w:val="0"/>
          <w:kern w:val="0"/>
          <w:sz w:val="32"/>
          <w:szCs w:val="32"/>
          <w:highlight w:val="none"/>
          <w:shd w:val="clear" w:fill="FFFFFF"/>
          <w:lang w:val="en-US" w:eastAsia="zh-CN" w:bidi="ar-SA"/>
        </w:rPr>
        <w:t>增加投入，全力以赴保</w:t>
      </w:r>
      <w:r>
        <w:rPr>
          <w:rFonts w:hint="eastAsia" w:ascii="仿宋_GB2312" w:hAnsi="微软雅黑" w:eastAsia="仿宋_GB2312" w:cs="仿宋_GB2312"/>
          <w:b/>
          <w:i w:val="0"/>
          <w:caps w:val="0"/>
          <w:color w:val="333333"/>
          <w:spacing w:val="0"/>
          <w:kern w:val="0"/>
          <w:sz w:val="32"/>
          <w:szCs w:val="32"/>
          <w:highlight w:val="none"/>
          <w:shd w:val="clear" w:fill="FFFFFF"/>
          <w:lang w:val="en-US" w:eastAsia="zh-CN" w:bidi="ar-SA"/>
        </w:rPr>
        <w:t>民生</w:t>
      </w:r>
      <w:r>
        <w:rPr>
          <w:rFonts w:ascii="仿宋_GB2312" w:hAnsi="微软雅黑" w:eastAsia="仿宋_GB2312" w:cs="仿宋_GB2312"/>
          <w:b/>
          <w:i w:val="0"/>
          <w:caps w:val="0"/>
          <w:color w:val="333333"/>
          <w:spacing w:val="0"/>
          <w:kern w:val="0"/>
          <w:sz w:val="32"/>
          <w:szCs w:val="32"/>
          <w:highlight w:val="none"/>
          <w:shd w:val="clear" w:fill="FFFFFF"/>
          <w:lang w:val="en-US" w:eastAsia="zh-CN" w:bidi="ar-SA"/>
        </w:rPr>
        <w:t>。</w:t>
      </w:r>
    </w:p>
    <w:p>
      <w:pPr>
        <w:rPr>
          <w:rFonts w:hint="eastAsia" w:ascii="宋体" w:hAnsi="宋体" w:eastAsia="仿宋_GB2312" w:cs="宋体"/>
          <w:kern w:val="0"/>
          <w:sz w:val="32"/>
          <w:szCs w:val="32"/>
          <w:highlight w:val="none"/>
          <w:lang w:val="en-US" w:eastAsia="zh-CN" w:bidi="ar-SA"/>
        </w:rPr>
      </w:pPr>
      <w:r>
        <w:rPr>
          <w:rFonts w:hint="eastAsia" w:ascii="楷体_GB2312" w:hAnsi="楷体_GB2312" w:eastAsia="楷体_GB2312" w:cs="楷体_GB2312"/>
          <w:b/>
          <w:bCs/>
          <w:sz w:val="32"/>
          <w:szCs w:val="32"/>
          <w:highlight w:val="none"/>
          <w:lang w:val="en-US" w:eastAsia="zh-CN"/>
        </w:rPr>
        <w:t>　　守住“保工资”底线。</w:t>
      </w:r>
      <w:r>
        <w:rPr>
          <w:rFonts w:hint="eastAsia" w:ascii="宋体" w:hAnsi="宋体" w:eastAsia="仿宋_GB2312" w:cs="宋体"/>
          <w:kern w:val="0"/>
          <w:sz w:val="32"/>
          <w:szCs w:val="32"/>
          <w:highlight w:val="none"/>
          <w:lang w:val="en-US" w:eastAsia="zh-CN" w:bidi="ar-SA"/>
        </w:rPr>
        <w:t>2020年，我县在职财政统发工资30395万元，同比增加138万元；兑现绩效奖5498万元；五险一金、职业年金及公务员医疗补助等支出26592万元，同比增加1728万元；各单位聘用人员、自收自支人员、村干团干等工资性支出4170万元，同比增加886万元；离退休生活补助1831万元，同比增加962万元；</w:t>
      </w:r>
    </w:p>
    <w:p>
      <w:pPr>
        <w:rPr>
          <w:rFonts w:hint="eastAsia" w:ascii="Times New Roman" w:hAnsi="Times New Roman" w:eastAsia="仿宋_GB2312" w:cs="Times New Roman"/>
          <w:b w:val="0"/>
          <w:bCs w:val="0"/>
          <w:kern w:val="2"/>
          <w:sz w:val="32"/>
          <w:szCs w:val="32"/>
          <w:highlight w:val="none"/>
          <w:lang w:val="en-US" w:eastAsia="zh-CN" w:bidi="ar-SA"/>
        </w:rPr>
      </w:pPr>
      <w:r>
        <w:rPr>
          <w:rStyle w:val="8"/>
          <w:rFonts w:hint="eastAsia" w:ascii="微软雅黑" w:hAnsi="微软雅黑" w:eastAsia="微软雅黑" w:cs="微软雅黑"/>
          <w:i w:val="0"/>
          <w:caps w:val="0"/>
          <w:color w:val="333333"/>
          <w:spacing w:val="0"/>
          <w:sz w:val="32"/>
          <w:szCs w:val="32"/>
          <w:highlight w:val="none"/>
          <w:shd w:val="clear" w:fill="FFFFFF"/>
          <w:lang w:eastAsia="zh-CN"/>
        </w:rPr>
        <w:t>　　</w:t>
      </w:r>
      <w:r>
        <w:rPr>
          <w:rFonts w:hint="eastAsia" w:ascii="Times New Roman" w:hAnsi="Times New Roman" w:eastAsia="仿宋_GB2312" w:cs="Times New Roman"/>
          <w:b/>
          <w:bCs/>
          <w:kern w:val="2"/>
          <w:sz w:val="32"/>
          <w:szCs w:val="32"/>
          <w:highlight w:val="none"/>
          <w:lang w:val="en-US" w:eastAsia="zh-CN" w:bidi="ar-SA"/>
        </w:rPr>
        <w:t>推进民生补短板。</w:t>
      </w:r>
      <w:r>
        <w:rPr>
          <w:rFonts w:hint="eastAsia" w:ascii="Times New Roman" w:hAnsi="Times New Roman" w:eastAsia="仿宋_GB2312" w:cs="Times New Roman"/>
          <w:b w:val="0"/>
          <w:bCs w:val="0"/>
          <w:kern w:val="2"/>
          <w:sz w:val="32"/>
          <w:szCs w:val="32"/>
          <w:highlight w:val="none"/>
          <w:lang w:val="en-US" w:eastAsia="zh-CN" w:bidi="ar-SA"/>
        </w:rPr>
        <w:t>教育投入26434万元，其中县本级投入20852万元，用于支持中小学校舍建设、校舍改造、义务教育薄弱环节改善与能力提升项目、提高教师工资待遇、困难学生补助、生均公用经费、其中东江小学投入860万元，县幼儿园创自治区级幼儿园经费95万元，向阳小学塑胶运动场建设资金127万元等；文化投入1133万元，其中县本级投入843万元，用于支持非遗文化传承、文保修缮、基层文化站免费开放和图书馆藏书建设、中洲岛工人文化宫投入123万元、崇山古居民投入170万元；体育投入773万元，用于完善体育设施，推进全民健身活动开展。</w:t>
      </w:r>
    </w:p>
    <w:p>
      <w:pPr>
        <w:rPr>
          <w:rFonts w:hint="eastAsia"/>
          <w:highlight w:val="none"/>
        </w:rPr>
      </w:pPr>
      <w:r>
        <w:rPr>
          <w:rFonts w:hint="eastAsia" w:ascii="Times New Roman" w:hAnsi="Times New Roman" w:eastAsia="仿宋_GB2312" w:cs="Times New Roman"/>
          <w:b/>
          <w:bCs/>
          <w:kern w:val="2"/>
          <w:sz w:val="32"/>
          <w:szCs w:val="32"/>
          <w:highlight w:val="none"/>
          <w:lang w:val="en-US" w:eastAsia="zh-CN" w:bidi="ar-SA"/>
        </w:rPr>
        <w:t>　　筑牢社会保障体系。</w:t>
      </w:r>
      <w:r>
        <w:rPr>
          <w:rFonts w:hint="eastAsia" w:ascii="Times New Roman" w:hAnsi="Times New Roman" w:eastAsia="仿宋_GB2312" w:cs="Times New Roman"/>
          <w:b w:val="0"/>
          <w:bCs w:val="0"/>
          <w:kern w:val="2"/>
          <w:sz w:val="32"/>
          <w:szCs w:val="32"/>
          <w:highlight w:val="none"/>
          <w:lang w:val="en-US" w:eastAsia="zh-CN" w:bidi="ar-SA"/>
        </w:rPr>
        <w:t>按照兜底线、织密网、建机制的要求，深入实施全民参保计划，推进各类社会保险参保扩面，实现应保尽保。2020年安排财政对机关事业单位基本养老保险的补助8968万元，财政对城乡居民养老保险补助478万元，财政对城乡居民基本医疗保险基金的补助1336万元，特困人员救助供养1033万元，抚恤支出824万元等。</w:t>
      </w:r>
    </w:p>
    <w:p>
      <w:pPr>
        <w:rPr>
          <w:rFonts w:hint="eastAsia" w:ascii="Times New Roman" w:hAnsi="Times New Roman" w:eastAsia="仿宋_GB2312" w:cs="Times New Roman"/>
          <w:b w:val="0"/>
          <w:bCs w:val="0"/>
          <w:kern w:val="2"/>
          <w:sz w:val="32"/>
          <w:szCs w:val="32"/>
          <w:highlight w:val="none"/>
          <w:lang w:val="en-US" w:eastAsia="zh-CN" w:bidi="ar-SA"/>
        </w:rPr>
      </w:pPr>
      <w:r>
        <w:rPr>
          <w:rFonts w:hint="eastAsia" w:eastAsia="仿宋_GB2312"/>
          <w:b/>
          <w:bCs/>
          <w:sz w:val="32"/>
          <w:szCs w:val="32"/>
          <w:highlight w:val="none"/>
          <w:lang w:val="en-US" w:eastAsia="zh-CN"/>
        </w:rPr>
        <w:t>　　全力保障脱贫攻坚战</w:t>
      </w:r>
      <w:r>
        <w:rPr>
          <w:rFonts w:hint="eastAsia" w:ascii="楷体_GB2312" w:hAnsi="楷体_GB2312" w:eastAsia="楷体_GB2312" w:cs="楷体_GB2312"/>
          <w:b w:val="0"/>
          <w:bCs w:val="0"/>
          <w:sz w:val="32"/>
          <w:szCs w:val="32"/>
          <w:highlight w:val="none"/>
          <w:lang w:val="en-US" w:eastAsia="zh-CN"/>
        </w:rPr>
        <w:t>。</w:t>
      </w:r>
      <w:r>
        <w:rPr>
          <w:rFonts w:hint="eastAsia" w:ascii="Times New Roman" w:hAnsi="Times New Roman" w:eastAsia="仿宋_GB2312" w:cs="Times New Roman"/>
          <w:b w:val="0"/>
          <w:bCs w:val="0"/>
          <w:kern w:val="2"/>
          <w:sz w:val="32"/>
          <w:szCs w:val="32"/>
          <w:highlight w:val="none"/>
          <w:lang w:val="en-US" w:eastAsia="zh-CN" w:bidi="ar-SA"/>
        </w:rPr>
        <w:t>着力抓好财政支持脱贫攻坚政策措施落实，2020年度下达扶贫资金11047万元，在我县财力十分困难的情况下县本级仍投入3727万元支持脱贫攻坚，实施产业扶贫、教育扶贫、健康扶贫、贫困户饮水安全、兜底社会保障和开展扶贫小额信贷。进一步加强扶贫（惠民）资金在线监管系统管理，实现对扶贫基础信息采集、资金分配、预算下达、资金拨付到人到户到项目及绩效管理的全过程在线监管。</w:t>
      </w:r>
    </w:p>
    <w:p>
      <w:pPr>
        <w:rPr>
          <w:rFonts w:hint="eastAsia" w:ascii="Times New Roman" w:hAnsi="Times New Roman" w:eastAsia="仿宋_GB2312" w:cs="Times New Roman"/>
          <w:b w:val="0"/>
          <w:bCs w:val="0"/>
          <w:kern w:val="2"/>
          <w:sz w:val="32"/>
          <w:szCs w:val="32"/>
          <w:highlight w:val="none"/>
          <w:lang w:val="en-US" w:eastAsia="zh-CN" w:bidi="ar-SA"/>
        </w:rPr>
      </w:pPr>
      <w:r>
        <w:rPr>
          <w:rFonts w:hint="eastAsia" w:eastAsia="仿宋_GB2312"/>
          <w:b/>
          <w:bCs/>
          <w:sz w:val="32"/>
          <w:szCs w:val="32"/>
          <w:highlight w:val="none"/>
          <w:lang w:val="en-US" w:eastAsia="zh-CN"/>
        </w:rPr>
        <w:t>　　做细民生工程，提升民生福祉。</w:t>
      </w:r>
      <w:r>
        <w:rPr>
          <w:rFonts w:hint="eastAsia" w:ascii="Times New Roman" w:hAnsi="Times New Roman" w:eastAsia="仿宋_GB2312" w:cs="Times New Roman"/>
          <w:b w:val="0"/>
          <w:bCs w:val="0"/>
          <w:kern w:val="2"/>
          <w:sz w:val="32"/>
          <w:szCs w:val="32"/>
          <w:highlight w:val="none"/>
          <w:lang w:val="en-US" w:eastAsia="zh-CN" w:bidi="ar-SA"/>
        </w:rPr>
        <w:t>扎实推进民生工程建设，2020年我县投入道路建设资金4093万元；农村危房改造4944万元；农村改厨改厕504万元；美丽乡村建设1469万元</w:t>
      </w:r>
      <w:r>
        <w:rPr>
          <w:rFonts w:hint="eastAsia"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乡村振兴建设2926万元；扶持壮大村级集体经济项目150万元，着力提升人民群众的获得感、幸福感、安全感。</w:t>
      </w:r>
    </w:p>
    <w:p>
      <w:pPr>
        <w:rPr>
          <w:rFonts w:hint="eastAsia" w:ascii="Times New Roman" w:hAnsi="Times New Roman" w:eastAsia="仿宋_GB2312" w:cs="Times New Roman"/>
          <w:kern w:val="2"/>
          <w:sz w:val="32"/>
          <w:szCs w:val="32"/>
          <w:highlight w:val="none"/>
          <w:lang w:val="en-US" w:eastAsia="zh-CN" w:bidi="ar-SA"/>
        </w:rPr>
      </w:pPr>
      <w:r>
        <w:rPr>
          <w:rFonts w:hint="eastAsia" w:eastAsia="仿宋_GB2312"/>
          <w:sz w:val="32"/>
          <w:szCs w:val="32"/>
          <w:highlight w:val="none"/>
          <w:lang w:val="en-US" w:eastAsia="zh-CN"/>
        </w:rPr>
        <w:t>　　2020年，我县认真落</w:t>
      </w:r>
      <w:r>
        <w:rPr>
          <w:rFonts w:hint="eastAsia" w:ascii="Times New Roman" w:hAnsi="Times New Roman" w:eastAsia="仿宋_GB2312" w:cs="Times New Roman"/>
          <w:kern w:val="2"/>
          <w:sz w:val="32"/>
          <w:szCs w:val="32"/>
          <w:highlight w:val="none"/>
          <w:lang w:val="en-US" w:eastAsia="zh-CN" w:bidi="ar-SA"/>
        </w:rPr>
        <w:t>实党中央、国务院部署，确实保障和加强财政民生支出，突出财政的公共性和公平性，坚持民生优先导向，不断化解民生难题，全县民生相关支出203831万元，占一般公共预算支出的比重为86%。</w:t>
      </w:r>
    </w:p>
    <w:p>
      <w:pPr>
        <w:rPr>
          <w:rFonts w:hint="eastAsia" w:ascii="Times New Roman" w:hAnsi="Times New Roman" w:eastAsia="仿宋_GB2312" w:cs="Times New Roman"/>
          <w:b w:val="0"/>
          <w:bCs w:val="0"/>
          <w:kern w:val="2"/>
          <w:sz w:val="32"/>
          <w:szCs w:val="32"/>
          <w:highlight w:val="none"/>
          <w:lang w:val="en-US" w:eastAsia="zh-CN" w:bidi="ar-SA"/>
        </w:rPr>
      </w:pPr>
      <w:r>
        <w:rPr>
          <w:rFonts w:hint="eastAsia" w:ascii="楷体_GB2312" w:hAnsi="楷体_GB2312" w:eastAsia="楷体_GB2312" w:cs="楷体_GB2312"/>
          <w:b/>
          <w:bCs/>
          <w:sz w:val="32"/>
          <w:szCs w:val="32"/>
          <w:highlight w:val="none"/>
          <w:lang w:val="en-US" w:eastAsia="zh-CN"/>
        </w:rPr>
        <w:t>　　三、</w:t>
      </w:r>
      <w:r>
        <w:rPr>
          <w:rFonts w:ascii="仿宋_GB2312" w:hAnsi="微软雅黑" w:eastAsia="仿宋_GB2312" w:cs="仿宋_GB2312"/>
          <w:b/>
          <w:i w:val="0"/>
          <w:caps w:val="0"/>
          <w:color w:val="333333"/>
          <w:spacing w:val="0"/>
          <w:kern w:val="0"/>
          <w:sz w:val="32"/>
          <w:szCs w:val="32"/>
          <w:highlight w:val="none"/>
          <w:shd w:val="clear" w:fill="FFFFFF"/>
          <w:lang w:val="en-US" w:eastAsia="zh-CN" w:bidi="ar-SA"/>
        </w:rPr>
        <w:t>优化支出</w:t>
      </w:r>
      <w:r>
        <w:rPr>
          <w:rFonts w:hint="eastAsia" w:ascii="仿宋_GB2312" w:hAnsi="微软雅黑" w:eastAsia="仿宋_GB2312" w:cs="仿宋_GB2312"/>
          <w:b/>
          <w:i w:val="0"/>
          <w:caps w:val="0"/>
          <w:color w:val="333333"/>
          <w:spacing w:val="0"/>
          <w:kern w:val="0"/>
          <w:sz w:val="32"/>
          <w:szCs w:val="32"/>
          <w:highlight w:val="none"/>
          <w:shd w:val="clear" w:fill="FFFFFF"/>
          <w:lang w:val="en-US" w:eastAsia="zh-CN" w:bidi="ar-SA"/>
        </w:rPr>
        <w:t>，</w:t>
      </w:r>
      <w:r>
        <w:rPr>
          <w:rFonts w:hint="eastAsia" w:ascii="楷体_GB2312" w:hAnsi="楷体_GB2312" w:eastAsia="楷体_GB2312" w:cs="楷体_GB2312"/>
          <w:b/>
          <w:bCs/>
          <w:sz w:val="32"/>
          <w:szCs w:val="32"/>
          <w:highlight w:val="none"/>
          <w:lang w:val="en-US" w:eastAsia="zh-CN"/>
        </w:rPr>
        <w:t>全力以赴保平衡。</w:t>
      </w:r>
      <w:r>
        <w:rPr>
          <w:rFonts w:hint="eastAsia" w:ascii="Times New Roman" w:hAnsi="Times New Roman" w:eastAsia="仿宋_GB2312" w:cs="Times New Roman"/>
          <w:b/>
          <w:bCs/>
          <w:kern w:val="2"/>
          <w:sz w:val="32"/>
          <w:szCs w:val="32"/>
          <w:highlight w:val="none"/>
          <w:lang w:val="en-US" w:eastAsia="zh-CN" w:bidi="ar-SA"/>
        </w:rPr>
        <w:t>一是</w:t>
      </w:r>
      <w:r>
        <w:rPr>
          <w:rFonts w:hint="eastAsia" w:ascii="Times New Roman" w:hAnsi="Times New Roman" w:eastAsia="仿宋_GB2312" w:cs="Times New Roman"/>
          <w:b w:val="0"/>
          <w:bCs w:val="0"/>
          <w:kern w:val="2"/>
          <w:sz w:val="32"/>
          <w:szCs w:val="32"/>
          <w:highlight w:val="none"/>
          <w:lang w:val="en-US" w:eastAsia="zh-CN" w:bidi="ar-SA"/>
        </w:rPr>
        <w:t>盘活存量，用好增量，压缩一般性支出，坚持把“三保”放在财政支出的优先位置，持续兜牢“三保”底线。加大各类资金统筹力度，集中财力落实好“六稳”“六保”重点支出，抓好县委县政府补短板和为民办实事项目、重点项目建设资金筹措工作，把有限的资金用在“刀刃”上。</w:t>
      </w:r>
      <w:r>
        <w:rPr>
          <w:rFonts w:hint="eastAsia" w:ascii="Times New Roman" w:hAnsi="Times New Roman" w:eastAsia="仿宋_GB2312" w:cs="Times New Roman"/>
          <w:b/>
          <w:bCs/>
          <w:kern w:val="2"/>
          <w:sz w:val="32"/>
          <w:szCs w:val="32"/>
          <w:highlight w:val="none"/>
          <w:lang w:val="en-US" w:eastAsia="zh-CN" w:bidi="ar-SA"/>
        </w:rPr>
        <w:t>二是</w:t>
      </w:r>
      <w:r>
        <w:rPr>
          <w:rFonts w:hint="eastAsia" w:ascii="Times New Roman" w:hAnsi="Times New Roman" w:eastAsia="仿宋_GB2312" w:cs="Times New Roman"/>
          <w:b w:val="0"/>
          <w:bCs w:val="0"/>
          <w:kern w:val="2"/>
          <w:sz w:val="32"/>
          <w:szCs w:val="32"/>
          <w:highlight w:val="none"/>
          <w:lang w:val="en-US" w:eastAsia="zh-CN" w:bidi="ar-SA"/>
        </w:rPr>
        <w:t>坚持政府债务限额管理，严格将地方政府债务还本、付息资金列入预算，强化预算约束。坚决遏制隐性债务增量，落实债务化解方案，严格落实化债计划，采取有力措施化解存量债务特别是隐性债务。</w:t>
      </w:r>
      <w:r>
        <w:rPr>
          <w:rFonts w:hint="eastAsia" w:ascii="Times New Roman" w:hAnsi="Times New Roman" w:eastAsia="仿宋_GB2312" w:cs="Times New Roman"/>
          <w:b/>
          <w:bCs/>
          <w:kern w:val="2"/>
          <w:sz w:val="32"/>
          <w:szCs w:val="32"/>
          <w:highlight w:val="none"/>
          <w:lang w:val="en-US" w:eastAsia="zh-CN" w:bidi="ar-SA"/>
        </w:rPr>
        <w:t>三是</w:t>
      </w:r>
      <w:r>
        <w:rPr>
          <w:rFonts w:hint="eastAsia" w:ascii="Times New Roman" w:hAnsi="Times New Roman" w:eastAsia="仿宋_GB2312" w:cs="Times New Roman"/>
          <w:b w:val="0"/>
          <w:bCs w:val="0"/>
          <w:kern w:val="2"/>
          <w:sz w:val="32"/>
          <w:szCs w:val="32"/>
          <w:highlight w:val="none"/>
          <w:lang w:val="en-US" w:eastAsia="zh-CN" w:bidi="ar-SA"/>
        </w:rPr>
        <w:t>积极向上争取资金，特别是财力性一般转移支付资金，保障我县工资发放及机构运转；努力争取新增债券资金，保障我县一些重点项目的资金需求</w:t>
      </w:r>
      <w:r>
        <w:rPr>
          <w:rFonts w:hint="eastAsia"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积极帮助企业向上争取</w:t>
      </w:r>
      <w:r>
        <w:rPr>
          <w:rFonts w:hint="eastAsia" w:eastAsia="仿宋_GB2312" w:cs="Times New Roman"/>
          <w:b w:val="0"/>
          <w:bCs w:val="0"/>
          <w:kern w:val="2"/>
          <w:sz w:val="32"/>
          <w:szCs w:val="32"/>
          <w:highlight w:val="none"/>
          <w:lang w:val="en-US" w:eastAsia="zh-CN" w:bidi="ar-SA"/>
        </w:rPr>
        <w:t>专项</w:t>
      </w:r>
      <w:r>
        <w:rPr>
          <w:rFonts w:hint="eastAsia" w:ascii="Times New Roman" w:hAnsi="Times New Roman" w:eastAsia="仿宋_GB2312" w:cs="Times New Roman"/>
          <w:b w:val="0"/>
          <w:bCs w:val="0"/>
          <w:kern w:val="2"/>
          <w:sz w:val="32"/>
          <w:szCs w:val="32"/>
          <w:highlight w:val="none"/>
          <w:lang w:val="en-US" w:eastAsia="zh-CN" w:bidi="ar-SA"/>
        </w:rPr>
        <w:t>资金</w:t>
      </w:r>
      <w:r>
        <w:rPr>
          <w:rFonts w:hint="eastAsia"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配合各部门做好项目的有序申</w:t>
      </w:r>
      <w:r>
        <w:rPr>
          <w:rFonts w:hint="eastAsia" w:eastAsia="仿宋_GB2312" w:cs="Times New Roman"/>
          <w:b w:val="0"/>
          <w:bCs w:val="0"/>
          <w:kern w:val="2"/>
          <w:sz w:val="32"/>
          <w:szCs w:val="32"/>
          <w:highlight w:val="none"/>
          <w:lang w:val="en-US" w:eastAsia="zh-CN" w:bidi="ar-SA"/>
        </w:rPr>
        <w:t>报。</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eastAsia="仿宋_GB2312"/>
          <w:sz w:val="32"/>
          <w:szCs w:val="32"/>
          <w:highlight w:val="none"/>
          <w:lang w:val="en-US" w:eastAsia="zh-CN"/>
        </w:rPr>
      </w:pPr>
      <w:r>
        <w:rPr>
          <w:rFonts w:hint="eastAsia" w:ascii="仿宋_GB2312" w:hAnsi="宋体" w:eastAsia="仿宋_GB2312" w:cs="仿宋_GB2312"/>
          <w:b/>
          <w:bCs/>
          <w:i w:val="0"/>
          <w:caps w:val="0"/>
          <w:color w:val="333333"/>
          <w:spacing w:val="0"/>
          <w:sz w:val="32"/>
          <w:szCs w:val="32"/>
          <w:highlight w:val="none"/>
          <w:shd w:val="clear" w:fill="FFFFFF"/>
          <w:lang w:eastAsia="zh-CN"/>
        </w:rPr>
        <w:t>　　各位代表</w:t>
      </w:r>
      <w:r>
        <w:rPr>
          <w:rFonts w:hint="eastAsia" w:ascii="仿宋_GB2312" w:hAnsi="宋体" w:eastAsia="仿宋_GB2312" w:cs="仿宋_GB2312"/>
          <w:b w:val="0"/>
          <w:bCs w:val="0"/>
          <w:i w:val="0"/>
          <w:caps w:val="0"/>
          <w:color w:val="333333"/>
          <w:spacing w:val="0"/>
          <w:sz w:val="32"/>
          <w:szCs w:val="32"/>
          <w:highlight w:val="none"/>
          <w:shd w:val="clear" w:fill="FFFFFF"/>
          <w:lang w:eastAsia="zh-CN"/>
        </w:rPr>
        <w:t>，</w:t>
      </w:r>
      <w:r>
        <w:rPr>
          <w:rFonts w:ascii="仿宋_GB2312" w:hAnsi="宋体" w:eastAsia="仿宋_GB2312" w:cs="仿宋_GB2312"/>
          <w:i w:val="0"/>
          <w:caps w:val="0"/>
          <w:color w:val="333333"/>
          <w:spacing w:val="0"/>
          <w:sz w:val="32"/>
          <w:szCs w:val="32"/>
          <w:highlight w:val="none"/>
          <w:shd w:val="clear" w:fill="FFFFFF"/>
        </w:rPr>
        <w:t>2020年我们紧紧围绕财政管理的各个环节，预算执行情况总体</w:t>
      </w:r>
      <w:r>
        <w:rPr>
          <w:rFonts w:hint="eastAsia" w:ascii="仿宋_GB2312" w:hAnsi="宋体" w:eastAsia="仿宋_GB2312" w:cs="仿宋_GB2312"/>
          <w:i w:val="0"/>
          <w:caps w:val="0"/>
          <w:color w:val="333333"/>
          <w:spacing w:val="0"/>
          <w:sz w:val="32"/>
          <w:szCs w:val="32"/>
          <w:highlight w:val="none"/>
          <w:shd w:val="clear" w:fill="FFFFFF"/>
          <w:lang w:eastAsia="zh-CN"/>
        </w:rPr>
        <w:t>平稳</w:t>
      </w:r>
      <w:r>
        <w:rPr>
          <w:rFonts w:ascii="仿宋_GB2312" w:hAnsi="宋体" w:eastAsia="仿宋_GB2312" w:cs="仿宋_GB2312"/>
          <w:i w:val="0"/>
          <w:caps w:val="0"/>
          <w:color w:val="333333"/>
          <w:spacing w:val="0"/>
          <w:sz w:val="32"/>
          <w:szCs w:val="32"/>
          <w:highlight w:val="none"/>
          <w:shd w:val="clear" w:fill="FFFFFF"/>
        </w:rPr>
        <w:t>，但是预算执行中仍存在一些矛盾和问题。受新冠疫情、财政体制以及国内、外经济形势等因素的影响财政收入增长乏力，甚至呈下降趋势；保工资、保运转、保基本民生等刚性需求与财政可安排财力的矛盾仍然</w:t>
      </w:r>
      <w:r>
        <w:rPr>
          <w:rFonts w:hint="eastAsia" w:ascii="仿宋_GB2312" w:hAnsi="宋体" w:eastAsia="仿宋_GB2312" w:cs="仿宋_GB2312"/>
          <w:i w:val="0"/>
          <w:caps w:val="0"/>
          <w:color w:val="333333"/>
          <w:spacing w:val="0"/>
          <w:sz w:val="32"/>
          <w:szCs w:val="32"/>
          <w:highlight w:val="none"/>
          <w:shd w:val="clear" w:fill="FFFFFF"/>
        </w:rPr>
        <w:t>突出；财政管理机制还不尽完善，财政支出结构有待进一步优化，财政资金使用效益有待进一步提高；防范和化解财政风险的任务非常艰巨。面对这些问题，我们将通过进一步深化改革，加快经济发展，完善制度，加强管理，逐步加以解决。</w:t>
      </w:r>
      <w:r>
        <w:rPr>
          <w:rFonts w:hint="eastAsia" w:ascii="仿宋_GB2312" w:hAnsi="宋体" w:eastAsia="仿宋_GB2312" w:cs="仿宋_GB2312"/>
          <w:i w:val="0"/>
          <w:caps w:val="0"/>
          <w:color w:val="333333"/>
          <w:spacing w:val="0"/>
          <w:sz w:val="32"/>
          <w:szCs w:val="32"/>
          <w:highlight w:val="none"/>
          <w:shd w:val="clear" w:fill="FFFFFF"/>
          <w:lang w:eastAsia="zh-CN"/>
        </w:rPr>
        <w:t>现</w:t>
      </w:r>
      <w:r>
        <w:rPr>
          <w:rFonts w:hint="eastAsia" w:eastAsia="仿宋_GB2312"/>
          <w:sz w:val="32"/>
          <w:szCs w:val="32"/>
          <w:highlight w:val="none"/>
          <w:lang w:val="en-US" w:eastAsia="zh-CN"/>
        </w:rPr>
        <w:t>在报告的2020年预算执行数为快报数，具体执行情况详见决算草案，最终执行结果以自治区批复的决算数为准，我们将在自治区财政厅批复决算后进行相应调整并按程序报县人大常委会审查批准。</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　　二、2021年预算草案</w:t>
      </w:r>
    </w:p>
    <w:p>
      <w:pPr>
        <w:keepNext w:val="0"/>
        <w:keepLines w:val="0"/>
        <w:pageBreakBefore w:val="0"/>
        <w:widowControl w:val="0"/>
        <w:numPr>
          <w:ilvl w:val="0"/>
          <w:numId w:val="2"/>
        </w:numPr>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我县财政经济形势</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sz w:val="32"/>
          <w:szCs w:val="32"/>
          <w:highlight w:val="none"/>
          <w:lang w:val="en-US" w:eastAsia="zh-CN"/>
        </w:rPr>
        <w:t>2021年，从收入上看，</w:t>
      </w:r>
      <w:r>
        <w:rPr>
          <w:rFonts w:ascii="仿宋_GB2312" w:hAnsi="宋体" w:eastAsia="仿宋_GB2312" w:cs="仿宋_GB2312"/>
          <w:i w:val="0"/>
          <w:caps w:val="0"/>
          <w:color w:val="333333"/>
          <w:spacing w:val="0"/>
          <w:sz w:val="32"/>
          <w:szCs w:val="32"/>
          <w:highlight w:val="none"/>
          <w:shd w:val="clear" w:fill="FFFFFF"/>
        </w:rPr>
        <w:t>经济发展环境更加复杂多变，疫情影响、减税降费、土地出让收入存在</w:t>
      </w:r>
      <w:r>
        <w:rPr>
          <w:rFonts w:hint="eastAsia" w:ascii="仿宋_GB2312" w:eastAsia="仿宋_GB2312" w:cs="仿宋_GB2312"/>
          <w:i w:val="0"/>
          <w:caps w:val="0"/>
          <w:color w:val="333333"/>
          <w:spacing w:val="0"/>
          <w:sz w:val="32"/>
          <w:szCs w:val="32"/>
          <w:highlight w:val="none"/>
          <w:shd w:val="clear" w:fill="FFFFFF"/>
          <w:lang w:eastAsia="zh-CN"/>
        </w:rPr>
        <w:t>的</w:t>
      </w:r>
      <w:r>
        <w:rPr>
          <w:rFonts w:ascii="仿宋_GB2312" w:hAnsi="宋体" w:eastAsia="仿宋_GB2312" w:cs="仿宋_GB2312"/>
          <w:i w:val="0"/>
          <w:caps w:val="0"/>
          <w:color w:val="333333"/>
          <w:spacing w:val="0"/>
          <w:sz w:val="32"/>
          <w:szCs w:val="32"/>
          <w:highlight w:val="none"/>
          <w:shd w:val="clear" w:fill="FFFFFF"/>
        </w:rPr>
        <w:t>不确定性，</w:t>
      </w:r>
      <w:r>
        <w:rPr>
          <w:rFonts w:hint="eastAsia" w:eastAsia="仿宋_GB2312"/>
          <w:color w:val="000000" w:themeColor="text1"/>
          <w:sz w:val="32"/>
          <w:szCs w:val="32"/>
          <w:highlight w:val="none"/>
          <w:lang w:val="en-US" w:eastAsia="zh-CN"/>
          <w14:textFill>
            <w14:solidFill>
              <w14:schemeClr w14:val="tx1"/>
            </w14:solidFill>
          </w14:textFill>
        </w:rPr>
        <w:t>财政收入增长依旧面临严峻挑战。从支出上看，2021年是</w:t>
      </w:r>
      <w:r>
        <w:rPr>
          <w:rFonts w:ascii="仿宋_GB2312" w:hAnsi="宋体" w:eastAsia="仿宋_GB2312" w:cs="仿宋_GB2312"/>
          <w:i w:val="0"/>
          <w:caps w:val="0"/>
          <w:color w:val="333333"/>
          <w:spacing w:val="0"/>
          <w:sz w:val="32"/>
          <w:szCs w:val="32"/>
          <w:highlight w:val="none"/>
          <w:shd w:val="clear" w:fill="FFFFFF"/>
        </w:rPr>
        <w:t>“十四五”规划开局之年，也是向第二个百年奋斗目标进军之年</w:t>
      </w:r>
      <w:r>
        <w:rPr>
          <w:rFonts w:hint="eastAsia" w:eastAsia="仿宋_GB2312"/>
          <w:color w:val="000000" w:themeColor="text1"/>
          <w:sz w:val="32"/>
          <w:szCs w:val="32"/>
          <w:highlight w:val="none"/>
          <w:lang w:val="en-US" w:eastAsia="zh-CN"/>
          <w14:textFill>
            <w14:solidFill>
              <w14:schemeClr w14:val="tx1"/>
            </w14:solidFill>
          </w14:textFill>
        </w:rPr>
        <w:t>，任务繁重、挑战增多、要求更高，补足发展短板、兜底民生保障、城市更新提升、乡村振兴，财政支出将呈现规模更大、刚性更强等发展态势，</w:t>
      </w:r>
      <w:r>
        <w:rPr>
          <w:rFonts w:hint="eastAsia" w:eastAsia="仿宋_GB2312"/>
          <w:sz w:val="32"/>
          <w:szCs w:val="32"/>
          <w:highlight w:val="none"/>
          <w:lang w:val="en-US" w:eastAsia="zh-CN"/>
        </w:rPr>
        <w:t>做好今年的财政工作，责任重大，意义深远，需要全县上下和财政部门一道，认清形势，找准靶点，和衷共济，共同应对</w:t>
      </w:r>
      <w:r>
        <w:rPr>
          <w:rFonts w:hint="eastAsia" w:eastAsia="仿宋_GB2312"/>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（二）预算编制指导思想</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2021年我县财政工作的指导思想是：以习近平新时代中国特色社会主义思想为指导，全面落实各项财政改革政策，积极应对外部经济环境变化，继续实施积极的财政政策，进一步规范预算管理，提高财政收入质量，优化财政支出结构，着力保障改善民生，坚持稳中求进的工作总基调，扎实深化供给侧结构性改革，以人民日益增长的美好生活需要为根本目的，实现巩固拓展</w:t>
      </w:r>
      <w:bookmarkStart w:id="0" w:name="_GoBack"/>
      <w:bookmarkEnd w:id="0"/>
      <w:r>
        <w:rPr>
          <w:rFonts w:hint="eastAsia" w:eastAsia="仿宋_GB2312"/>
          <w:color w:val="000000" w:themeColor="text1"/>
          <w:sz w:val="32"/>
          <w:szCs w:val="32"/>
          <w:highlight w:val="none"/>
          <w:lang w:val="en-US" w:eastAsia="zh-CN"/>
          <w14:textFill>
            <w14:solidFill>
              <w14:schemeClr w14:val="tx1"/>
            </w14:solidFill>
          </w14:textFill>
        </w:rPr>
        <w:t>脱贫攻坚成果同乡村振兴有效衔接，从而促进县域经济持续健康平稳发展。</w:t>
      </w:r>
    </w:p>
    <w:p>
      <w:pPr>
        <w:keepNext w:val="0"/>
        <w:keepLines w:val="0"/>
        <w:pageBreakBefore w:val="0"/>
        <w:widowControl w:val="0"/>
        <w:kinsoku/>
        <w:wordWrap/>
        <w:overflowPunct/>
        <w:topLinePunct w:val="0"/>
        <w:autoSpaceDE/>
        <w:autoSpaceDN/>
        <w:bidi w:val="0"/>
        <w:adjustRightInd/>
        <w:snapToGrid/>
        <w:spacing w:line="586" w:lineRule="exact"/>
        <w:ind w:right="0" w:rightChars="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　　（三）公共财政预算安排情况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eastAsia="仿宋_GB2312"/>
          <w:b/>
          <w:bCs/>
          <w:sz w:val="32"/>
          <w:szCs w:val="32"/>
          <w:highlight w:val="none"/>
          <w:lang w:val="en-US" w:eastAsia="zh-CN"/>
        </w:rPr>
        <w:t>1.组织财政收入：</w:t>
      </w:r>
      <w:r>
        <w:rPr>
          <w:rFonts w:hint="eastAsia" w:eastAsia="仿宋_GB2312"/>
          <w:sz w:val="32"/>
          <w:szCs w:val="32"/>
          <w:highlight w:val="none"/>
          <w:lang w:val="en-US" w:eastAsia="zh-CN"/>
        </w:rPr>
        <w:t>2021年全县计划组织财政收入53725万元，比2020年执行数50686万元增加3039万元，增长6%。其中：税务局计划组织收入47725万元，比2020年执行数42580万元增加5145万元，增长12.08%；财政局计划组织收入6000万元，比2020年执行数8106万元减少2106万元，减少25.98%。</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eastAsia="仿宋_GB2312"/>
          <w:b/>
          <w:bCs/>
          <w:sz w:val="32"/>
          <w:szCs w:val="32"/>
          <w:highlight w:val="none"/>
          <w:lang w:val="en-US" w:eastAsia="zh-CN"/>
        </w:rPr>
        <w:t>2.一般公共财政预算收入：</w:t>
      </w:r>
      <w:r>
        <w:rPr>
          <w:rFonts w:hint="eastAsia" w:eastAsia="仿宋_GB2312"/>
          <w:sz w:val="32"/>
          <w:szCs w:val="32"/>
          <w:highlight w:val="none"/>
          <w:lang w:val="en-US" w:eastAsia="zh-CN"/>
        </w:rPr>
        <w:t>按现行分税制体制计算，2021年组织财政收入53725万元形成的可用财力即一般公共财政预算收入为29776万元，比上年执行数增加247万元，增长0.84%。其中：</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税收收入23026万元，比2020年执行数20677万元增长2349万元，增长11.36%。非税收入6750万元，比2020年执行数8852万元减少2102万元，减少23.75%。</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eastAsia="仿宋_GB2312"/>
          <w:b/>
          <w:bCs/>
          <w:sz w:val="32"/>
          <w:szCs w:val="32"/>
          <w:highlight w:val="none"/>
          <w:lang w:val="en-US" w:eastAsia="zh-CN"/>
        </w:rPr>
        <w:t>3.公共财政预算收入：</w:t>
      </w:r>
      <w:r>
        <w:rPr>
          <w:rFonts w:hint="eastAsia" w:eastAsia="仿宋_GB2312"/>
          <w:sz w:val="32"/>
          <w:szCs w:val="32"/>
          <w:highlight w:val="none"/>
          <w:lang w:val="en-US" w:eastAsia="zh-CN"/>
        </w:rPr>
        <w:t>根据现行财政体制测算，预计2021年全县公共财政总收入258234万元，其中：一般公共财政预算收入29776万元；上级补助收入128259万元（返还性收入5428万元、一般性转移支付收入60090万元、专项转移支付收入62741万元）；上年结余收入10647万元；动用预算稳定调节基金2887万元；调入资金86665万元(从土地出让净收入调入86665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eastAsia="仿宋_GB2312"/>
          <w:b/>
          <w:bCs/>
          <w:sz w:val="32"/>
          <w:szCs w:val="32"/>
          <w:highlight w:val="none"/>
          <w:lang w:val="en-US" w:eastAsia="zh-CN"/>
        </w:rPr>
        <w:t>4.公共财政支出：</w:t>
      </w:r>
      <w:r>
        <w:rPr>
          <w:rFonts w:hint="eastAsia" w:eastAsia="仿宋_GB2312"/>
          <w:sz w:val="32"/>
          <w:szCs w:val="32"/>
          <w:highlight w:val="none"/>
          <w:lang w:val="en-US" w:eastAsia="zh-CN"/>
        </w:rPr>
        <w:t>2021年公共财政预算总支出安排258234万元，收支平衡。（详细见附表）</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2021年公共财政预算支出安排优先用于保障基本支出和教育、科技、农业、文化、社保和医疗等重点支出，以及落实中央、自治区出台的各项增支政策和支持县委、县政府确定的重点项目，严格控制一般性项目支出增长。</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公共财政预算总支出中，一般公共预算支出252484万元，专项上解支出1400万元，债务还本支出4350万元。</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（四）政府性基金预算安排情况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2021年全县政府性基金总收入预算拟安排125484万元。其中：当年收入预算安排122005万元，比2020年执行数64704万元增长88.56%；上年结余收入3479万元。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2021年政府性基金支出预算拟安排36107万元，比2020年年初预算8800增长310.31%，调出资金86665万元（从土地出让收入调出86665万元），收支相抵，预计年终结余2712万元。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（五）社会保险基金预算安排情况</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2021年全县社会保险2项基金收入合计拟安排29799万元，比2020年执行数增长8%。其中：城乡居民基本养老保险基金收入8636万元，增长2%。机关事业单位基本养老保险基金收入21163万元，增长10%。</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2021年全县社会保险2项基金支出合计拟安排25127万元，比2020年执行数增长9%。其中：城乡居民基本养老保险基金支出6849万元，增长3%；机关事业单位基本养老保险基金支出18278万元，增长11%。</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收支相抵结余4672万元，年终滚存结余31094万元，其中：城乡居民基本养老保险基金14345万元；机关事业单位基本养老保险基金16749万元。</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（六）2021年“三保”预算支出情况</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640"/>
        <w:jc w:val="left"/>
        <w:textAlignment w:val="auto"/>
        <w:outlineLvl w:val="9"/>
        <w:rPr>
          <w:rFonts w:hint="eastAsia" w:ascii="仿宋_GB2312" w:hAnsi="仿宋_GB2312" w:eastAsia="仿宋_GB2312" w:cs="仿宋_GB2312"/>
          <w:sz w:val="32"/>
          <w:szCs w:val="32"/>
          <w:highlight w:val="none"/>
        </w:rPr>
      </w:pPr>
      <w:r>
        <w:rPr>
          <w:rFonts w:hint="eastAsia" w:eastAsia="仿宋_GB2312"/>
          <w:sz w:val="32"/>
          <w:szCs w:val="32"/>
          <w:highlight w:val="none"/>
          <w:lang w:val="en-US" w:eastAsia="zh-CN"/>
        </w:rPr>
        <w:t>2021年，我县财政部门将全面贯彻落实中央、自治区决策部署，按照市委、市政府要求，切实履行财政职能，加大财政支持力度，全力做好疫情防控经费保障、落实疫情防控相关补助政策、保障全面复工复产以及经济运行的财政政策等方面工作，围绕全年目标，想方设法、多措并举，全力应对疫情影响，集中财力重点用于保障全县“三保”支出，坚持把“保工资”作为政治任务列入资金调度的第一序列，将保运转和保基本民生作为基本要求来确保，力促全县经济平稳运行。</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年，我县“三保”预计支出</w:t>
      </w:r>
      <w:r>
        <w:rPr>
          <w:rFonts w:hint="eastAsia" w:ascii="仿宋_GB2312" w:hAnsi="仿宋_GB2312" w:eastAsia="仿宋_GB2312" w:cs="仿宋_GB2312"/>
          <w:sz w:val="32"/>
          <w:szCs w:val="32"/>
          <w:highlight w:val="none"/>
          <w:lang w:val="en-US" w:eastAsia="zh-CN"/>
        </w:rPr>
        <w:t>126237</w:t>
      </w:r>
      <w:r>
        <w:rPr>
          <w:rFonts w:hint="eastAsia" w:ascii="仿宋_GB2312" w:hAnsi="仿宋_GB2312" w:eastAsia="仿宋_GB2312" w:cs="仿宋_GB2312"/>
          <w:sz w:val="32"/>
          <w:szCs w:val="32"/>
          <w:highlight w:val="none"/>
        </w:rPr>
        <w:t>万元，其中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保工资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val="en-US" w:eastAsia="zh-CN"/>
        </w:rPr>
        <w:t>56953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保运转</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lang w:val="en-US" w:eastAsia="zh-CN"/>
        </w:rPr>
        <w:t>4305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保民生</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lang w:val="en-US" w:eastAsia="zh-CN"/>
        </w:rPr>
        <w:t>64979</w:t>
      </w:r>
      <w:r>
        <w:rPr>
          <w:rFonts w:hint="eastAsia" w:ascii="仿宋_GB2312" w:hAnsi="仿宋_GB2312" w:eastAsia="仿宋_GB2312" w:cs="仿宋_GB2312"/>
          <w:sz w:val="32"/>
          <w:szCs w:val="32"/>
          <w:highlight w:val="none"/>
        </w:rPr>
        <w:t>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三、2021年财政工作安排</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（一）实事求是、科学预测。</w:t>
      </w:r>
      <w:r>
        <w:rPr>
          <w:rFonts w:hint="eastAsia" w:eastAsia="仿宋_GB2312"/>
          <w:sz w:val="32"/>
          <w:szCs w:val="32"/>
          <w:highlight w:val="none"/>
          <w:lang w:val="en-US" w:eastAsia="zh-CN"/>
        </w:rPr>
        <w:t>收入预算要与经济社会发展相适应，与财政政策相衔接。既综合考虑我县坚持发展战略要求，又要充分考虑减税降费政策翘尾等因素的影响。</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bidi="ar-SA"/>
        </w:rPr>
        <w:t>（二）以收定支、突出重点。</w:t>
      </w:r>
      <w:r>
        <w:rPr>
          <w:rFonts w:hint="eastAsia" w:eastAsia="仿宋_GB2312"/>
          <w:sz w:val="32"/>
          <w:szCs w:val="32"/>
          <w:highlight w:val="none"/>
          <w:lang w:val="en-US" w:eastAsia="zh-CN"/>
        </w:rPr>
        <w:t>支出预算要严格控制，坚持量入为出，切实落实政府过紧日子的要求。加大支出结构调整力度，全力保障县委县政府确定的重点领域支出，严格控制和压减一般性支出，把有限的财政资金用在刀刃上。大力盘活存量、用好增量，提高财政资金配置效率和使用效益。</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bidi="ar-SA"/>
        </w:rPr>
        <w:t>（三）尽力而为、量力而行。</w:t>
      </w:r>
      <w:r>
        <w:rPr>
          <w:rFonts w:hint="eastAsia" w:eastAsia="仿宋_GB2312"/>
          <w:sz w:val="32"/>
          <w:szCs w:val="32"/>
          <w:highlight w:val="none"/>
          <w:lang w:val="en-US" w:eastAsia="zh-CN"/>
        </w:rPr>
        <w:t>综合考虑财力状况和人民群众现实需求，合理确定基本民生支出标准，加强重大建设项目财政承受能力评估，按照可持续、保基本安排好各项民生支出，注重普惠性、基础性、兜底性。规范政府举债融资行为，稳妥化解隐性债务风险，增强财政可持续性。</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3" w:firstLineChars="200"/>
        <w:jc w:val="left"/>
        <w:textAlignment w:val="auto"/>
        <w:outlineLvl w:val="9"/>
        <w:rPr>
          <w:rFonts w:hint="eastAsia" w:eastAsia="仿宋_GB2312"/>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bidi="ar-SA"/>
        </w:rPr>
        <w:t>（四）注重绩效、打破固化。</w:t>
      </w:r>
      <w:r>
        <w:rPr>
          <w:rFonts w:hint="eastAsia" w:eastAsia="仿宋_GB2312"/>
          <w:sz w:val="32"/>
          <w:szCs w:val="32"/>
          <w:highlight w:val="none"/>
          <w:lang w:val="en-US" w:eastAsia="zh-CN"/>
        </w:rPr>
        <w:t>全面实施预算绩效管理，探索运用零基预算理念。将绩效评价结果、审计发现问题与预算安排、政策调整和绩效考评管理挂钩，完善能增能减、有保有压的分配机制，削减低效无效和长期沉淀资金，打破支出固化僵化格局。</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jc w:val="left"/>
        <w:textAlignment w:val="auto"/>
        <w:outlineLvl w:val="9"/>
        <w:rPr>
          <w:rFonts w:hint="eastAsia" w:eastAsia="仿宋_GB2312"/>
          <w:sz w:val="32"/>
          <w:szCs w:val="32"/>
          <w:highlight w:val="none"/>
          <w:lang w:val="en-US" w:eastAsia="zh-CN"/>
        </w:rPr>
      </w:pPr>
      <w:r>
        <w:rPr>
          <w:rFonts w:hint="eastAsia" w:eastAsia="仿宋_GB2312"/>
          <w:sz w:val="32"/>
          <w:szCs w:val="32"/>
          <w:highlight w:val="none"/>
          <w:lang w:val="en-US" w:eastAsia="zh-CN"/>
        </w:rPr>
        <w:t>各位代表！新时代开启新征程，新征程呼唤新作为。让我们在县委、县政府的坚强领导下，在县人大的依法监督下，以更加坚定的信念、担当的品质、务实的作风，不忘初心、砥砺前行，确保“十四五”开好局、迈好步，确保2021年财政预算目标任务圆满完成。</w:t>
      </w:r>
    </w:p>
    <w:p>
      <w:pPr>
        <w:spacing w:line="480" w:lineRule="exact"/>
        <w:rPr>
          <w:rFonts w:ascii="仿宋_GB2312" w:hAnsi="仿宋_GB2312" w:eastAsia="仿宋_GB2312" w:cs="仿宋_GB2312"/>
          <w:sz w:val="32"/>
          <w:szCs w:val="32"/>
        </w:rPr>
      </w:pPr>
    </w:p>
    <w:sectPr>
      <w:headerReference r:id="rId3" w:type="default"/>
      <w:footerReference r:id="rId5" w:type="default"/>
      <w:headerReference r:id="rId4" w:type="even"/>
      <w:footerReference r:id="rId6" w:type="even"/>
      <w:pgSz w:w="11906" w:h="16838"/>
      <w:pgMar w:top="2098" w:right="1304" w:bottom="130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enlo">
    <w:altName w:val="Segoe Print"/>
    <w:panose1 w:val="00000000000000000000"/>
    <w:charset w:val="00"/>
    <w:family w:val="auto"/>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19253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925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ind w:firstLine="326" w:firstLineChars="100"/>
                            <w:rPr>
                              <w:rFonts w:hint="eastAsia" w:asciiTheme="minorEastAsia" w:hAnsiTheme="minorEastAsia" w:eastAsiaTheme="minorEastAsia" w:cstheme="minorEastAsia"/>
                              <w:spacing w:val="23"/>
                              <w:sz w:val="28"/>
                              <w:szCs w:val="28"/>
                              <w:lang w:val="en-US" w:eastAsia="zh-CN"/>
                            </w:rPr>
                          </w:pPr>
                          <w:r>
                            <w:rPr>
                              <w:rFonts w:hint="eastAsia" w:ascii="宋体" w:hAnsi="宋体" w:eastAsia="宋体" w:cs="宋体"/>
                              <w:spacing w:val="23"/>
                              <w:sz w:val="28"/>
                              <w:szCs w:val="28"/>
                              <w:lang w:eastAsia="zh-CN"/>
                            </w:rPr>
                            <w:t>—</w:t>
                          </w:r>
                          <w:r>
                            <w:rPr>
                              <w:rFonts w:hint="eastAsia" w:ascii="宋体" w:hAnsi="宋体" w:cs="宋体"/>
                              <w:spacing w:val="23"/>
                              <w:sz w:val="28"/>
                              <w:szCs w:val="28"/>
                              <w:lang w:val="en-US" w:eastAsia="zh-CN"/>
                            </w:rPr>
                            <w:t xml:space="preserve"> </w:t>
                          </w:r>
                          <w:r>
                            <w:rPr>
                              <w:rFonts w:hint="eastAsia" w:asciiTheme="minorEastAsia" w:hAnsiTheme="minorEastAsia" w:eastAsiaTheme="minorEastAsia" w:cstheme="minorEastAsia"/>
                              <w:spacing w:val="23"/>
                              <w:sz w:val="28"/>
                              <w:szCs w:val="28"/>
                              <w:lang w:eastAsia="zh-CN"/>
                            </w:rPr>
                            <w:fldChar w:fldCharType="begin"/>
                          </w:r>
                          <w:r>
                            <w:rPr>
                              <w:rFonts w:hint="eastAsia" w:asciiTheme="minorEastAsia" w:hAnsiTheme="minorEastAsia" w:eastAsiaTheme="minorEastAsia" w:cstheme="minorEastAsia"/>
                              <w:spacing w:val="23"/>
                              <w:sz w:val="28"/>
                              <w:szCs w:val="28"/>
                              <w:lang w:eastAsia="zh-CN"/>
                            </w:rPr>
                            <w:instrText xml:space="preserve"> PAGE  \* MERGEFORMAT </w:instrText>
                          </w:r>
                          <w:r>
                            <w:rPr>
                              <w:rFonts w:hint="eastAsia" w:asciiTheme="minorEastAsia" w:hAnsiTheme="minorEastAsia" w:eastAsiaTheme="minorEastAsia" w:cstheme="minorEastAsia"/>
                              <w:spacing w:val="23"/>
                              <w:sz w:val="28"/>
                              <w:szCs w:val="28"/>
                              <w:lang w:eastAsia="zh-CN"/>
                            </w:rPr>
                            <w:fldChar w:fldCharType="separate"/>
                          </w:r>
                          <w:r>
                            <w:rPr>
                              <w:rFonts w:hint="eastAsia" w:asciiTheme="minorEastAsia" w:hAnsiTheme="minorEastAsia" w:eastAsiaTheme="minorEastAsia" w:cstheme="minorEastAsia"/>
                              <w:spacing w:val="23"/>
                              <w:sz w:val="28"/>
                              <w:szCs w:val="28"/>
                              <w:lang w:eastAsia="zh-CN"/>
                            </w:rPr>
                            <w:t>- 1 -</w:t>
                          </w:r>
                          <w:r>
                            <w:rPr>
                              <w:rFonts w:hint="eastAsia" w:asciiTheme="minorEastAsia" w:hAnsiTheme="minorEastAsia" w:eastAsiaTheme="minorEastAsia" w:cstheme="minorEastAsia"/>
                              <w:spacing w:val="23"/>
                              <w:sz w:val="28"/>
                              <w:szCs w:val="28"/>
                              <w:lang w:eastAsia="zh-CN"/>
                            </w:rPr>
                            <w:fldChar w:fldCharType="end"/>
                          </w:r>
                          <w:r>
                            <w:rPr>
                              <w:rFonts w:hint="eastAsia" w:asciiTheme="minorEastAsia" w:hAnsiTheme="minorEastAsia" w:eastAsiaTheme="minorEastAsia" w:cstheme="minorEastAsia"/>
                              <w:spacing w:val="23"/>
                              <w:sz w:val="28"/>
                              <w:szCs w:val="28"/>
                              <w:lang w:val="en-US" w:eastAsia="zh-CN"/>
                            </w:rPr>
                            <w:t xml:space="preserve"> </w:t>
                          </w:r>
                          <w:r>
                            <w:rPr>
                              <w:rFonts w:hint="eastAsia" w:ascii="宋体" w:hAnsi="宋体" w:eastAsia="宋体" w:cs="宋体"/>
                              <w:spacing w:val="23"/>
                              <w:sz w:val="28"/>
                              <w:szCs w:val="28"/>
                              <w:lang w:val="en-US" w:eastAsia="zh-CN"/>
                            </w:rPr>
                            <w:t>—</w:t>
                          </w:r>
                          <w:r>
                            <w:rPr>
                              <w:rFonts w:hint="eastAsia" w:ascii="宋体" w:hAnsi="宋体" w:cs="宋体"/>
                              <w:spacing w:val="23"/>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93.9pt;mso-position-horizontal:outside;mso-position-horizontal-relative:margin;z-index:251658240;mso-width-relative:page;mso-height-relative:page;" filled="f" stroked="f" coordsize="21600,21600" o:gfxdata="UEsDBAoAAAAAAIdO4kAAAAAAAAAAAAAAAAAEAAAAZHJzL1BLAwQUAAAACACHTuJAiwOBKdMAAAAF&#10;AQAADwAAAGRycy9kb3ducmV2LnhtbE2PQU/DMAyF70j8h8hI3FiyHaAqTXdAsAOc6BDi6LVuU2ic&#10;qsm6wa/H48Iulqz3/Py9Yn30g5ppin1gC8uFAUVch6bnzsLb9ukmAxUTcoNDYLLwTRHW5eVFgXkT&#10;DvxKc5U6JSEcc7TgUhpzrWPtyGNchJFYtDZMHpOsU6ebCQ8S7ge9MuZWe+xZPjgc6cFR/VXtvWC8&#10;vxi/+Wndh3/GNlZuO28eP629vlqae1CJjunfDCd8uYFSmHZhz01UgwUpkv7mScvupMbOwirLDOiy&#10;0Of05S9QSwMEFAAAAAgAh07iQJKsmJEbAgAAFQQAAA4AAABkcnMvZTJvRG9jLnhtbK1TTY7TMBTe&#10;I3EHy3uatKMZlarpqMyoCKliRiqItes4TSTbzzy7TcoB4Aas2LDnXD0Hz07TQcAKsXG++P1/7/P8&#10;tjOaHRT6BmzBx6OcM2UllI3dFfz9u9WLKWc+CFsKDVYV/Kg8v108fzZv3UxNoAZdKmSUxPpZ6wpe&#10;h+BmWeZlrYzwI3DKkrECNCLQL+6yEkVL2Y3OJnl+k7WApUOQynu6ve+NfJHyV5WS4aGqvApMF5x6&#10;C+nEdG7jmS3mYrZD4epGntsQ/9CFEY2lopdU9yIItsfmj1SmkQgeqjCSYDKoqkaqNANNM85/m2ZT&#10;C6fSLESOdxea/P9LK98eHpE1ZcEnnFlhaEWnr19O336cvn9mk0hP6/yMvDaO/EL3Cjpa83Dv6TJO&#10;3VVo4pfmYWQnoo8XclUXmIxB45eT6ysySbKNp5PpNE/0Z0/hDn14rcCwCAqOtL1EqjisfaBWyHVw&#10;idUsrBqt0wa1ZW3Bb66u8xRwsVCEthQYh+ibjSh02+482RbKIw2G0CvDO7lqqPha+PAokKRADZO8&#10;wwMdlQYqAmfEWQ346W/30Z82RFbOWpJWwf3HvUDFmX5jaXdRhwPAAWwHYPfmDkitY3o4TiZIARj0&#10;ACsE84FUv4xVyCSspFoFDwO8C73A6dVItVwmp73DZlf3AaQ8J8LabpyMZSKV3i33gehMLEeKel7O&#10;zJH2EvnndxLF/et/8np6zY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wOBKdMAAAAFAQAADwAA&#10;AAAAAAABACAAAAAiAAAAZHJzL2Rvd25yZXYueG1sUEsBAhQAFAAAAAgAh07iQJKsmJEbAgAAFQQA&#10;AA4AAAAAAAAAAQAgAAAAIgEAAGRycy9lMm9Eb2MueG1sUEsFBgAAAAAGAAYAWQEAAK8FAAAAAA==&#10;">
              <v:fill on="f" focussize="0,0"/>
              <v:stroke on="f" weight="0.5pt"/>
              <v:imagedata o:title=""/>
              <o:lock v:ext="edit" aspectratio="f"/>
              <v:textbox inset="0mm,0mm,0mm,0mm" style="mso-fit-shape-to-text:t;">
                <w:txbxContent>
                  <w:p>
                    <w:pPr>
                      <w:snapToGrid w:val="0"/>
                      <w:ind w:firstLine="326" w:firstLineChars="100"/>
                      <w:rPr>
                        <w:rFonts w:hint="eastAsia" w:asciiTheme="minorEastAsia" w:hAnsiTheme="minorEastAsia" w:eastAsiaTheme="minorEastAsia" w:cstheme="minorEastAsia"/>
                        <w:spacing w:val="23"/>
                        <w:sz w:val="28"/>
                        <w:szCs w:val="28"/>
                        <w:lang w:val="en-US" w:eastAsia="zh-CN"/>
                      </w:rPr>
                    </w:pPr>
                    <w:r>
                      <w:rPr>
                        <w:rFonts w:hint="eastAsia" w:ascii="宋体" w:hAnsi="宋体" w:eastAsia="宋体" w:cs="宋体"/>
                        <w:spacing w:val="23"/>
                        <w:sz w:val="28"/>
                        <w:szCs w:val="28"/>
                        <w:lang w:eastAsia="zh-CN"/>
                      </w:rPr>
                      <w:t>—</w:t>
                    </w:r>
                    <w:r>
                      <w:rPr>
                        <w:rFonts w:hint="eastAsia" w:ascii="宋体" w:hAnsi="宋体" w:cs="宋体"/>
                        <w:spacing w:val="23"/>
                        <w:sz w:val="28"/>
                        <w:szCs w:val="28"/>
                        <w:lang w:val="en-US" w:eastAsia="zh-CN"/>
                      </w:rPr>
                      <w:t xml:space="preserve"> </w:t>
                    </w:r>
                    <w:r>
                      <w:rPr>
                        <w:rFonts w:hint="eastAsia" w:asciiTheme="minorEastAsia" w:hAnsiTheme="minorEastAsia" w:eastAsiaTheme="minorEastAsia" w:cstheme="minorEastAsia"/>
                        <w:spacing w:val="23"/>
                        <w:sz w:val="28"/>
                        <w:szCs w:val="28"/>
                        <w:lang w:eastAsia="zh-CN"/>
                      </w:rPr>
                      <w:fldChar w:fldCharType="begin"/>
                    </w:r>
                    <w:r>
                      <w:rPr>
                        <w:rFonts w:hint="eastAsia" w:asciiTheme="minorEastAsia" w:hAnsiTheme="minorEastAsia" w:eastAsiaTheme="minorEastAsia" w:cstheme="minorEastAsia"/>
                        <w:spacing w:val="23"/>
                        <w:sz w:val="28"/>
                        <w:szCs w:val="28"/>
                        <w:lang w:eastAsia="zh-CN"/>
                      </w:rPr>
                      <w:instrText xml:space="preserve"> PAGE  \* MERGEFORMAT </w:instrText>
                    </w:r>
                    <w:r>
                      <w:rPr>
                        <w:rFonts w:hint="eastAsia" w:asciiTheme="minorEastAsia" w:hAnsiTheme="minorEastAsia" w:eastAsiaTheme="minorEastAsia" w:cstheme="minorEastAsia"/>
                        <w:spacing w:val="23"/>
                        <w:sz w:val="28"/>
                        <w:szCs w:val="28"/>
                        <w:lang w:eastAsia="zh-CN"/>
                      </w:rPr>
                      <w:fldChar w:fldCharType="separate"/>
                    </w:r>
                    <w:r>
                      <w:rPr>
                        <w:rFonts w:hint="eastAsia" w:asciiTheme="minorEastAsia" w:hAnsiTheme="minorEastAsia" w:eastAsiaTheme="minorEastAsia" w:cstheme="minorEastAsia"/>
                        <w:spacing w:val="23"/>
                        <w:sz w:val="28"/>
                        <w:szCs w:val="28"/>
                        <w:lang w:eastAsia="zh-CN"/>
                      </w:rPr>
                      <w:t>- 1 -</w:t>
                    </w:r>
                    <w:r>
                      <w:rPr>
                        <w:rFonts w:hint="eastAsia" w:asciiTheme="minorEastAsia" w:hAnsiTheme="minorEastAsia" w:eastAsiaTheme="minorEastAsia" w:cstheme="minorEastAsia"/>
                        <w:spacing w:val="23"/>
                        <w:sz w:val="28"/>
                        <w:szCs w:val="28"/>
                        <w:lang w:eastAsia="zh-CN"/>
                      </w:rPr>
                      <w:fldChar w:fldCharType="end"/>
                    </w:r>
                    <w:r>
                      <w:rPr>
                        <w:rFonts w:hint="eastAsia" w:asciiTheme="minorEastAsia" w:hAnsiTheme="minorEastAsia" w:eastAsiaTheme="minorEastAsia" w:cstheme="minorEastAsia"/>
                        <w:spacing w:val="23"/>
                        <w:sz w:val="28"/>
                        <w:szCs w:val="28"/>
                        <w:lang w:val="en-US" w:eastAsia="zh-CN"/>
                      </w:rPr>
                      <w:t xml:space="preserve"> </w:t>
                    </w:r>
                    <w:r>
                      <w:rPr>
                        <w:rFonts w:hint="eastAsia" w:ascii="宋体" w:hAnsi="宋体" w:eastAsia="宋体" w:cs="宋体"/>
                        <w:spacing w:val="23"/>
                        <w:sz w:val="28"/>
                        <w:szCs w:val="28"/>
                        <w:lang w:val="en-US" w:eastAsia="zh-CN"/>
                      </w:rPr>
                      <w:t>—</w:t>
                    </w:r>
                    <w:r>
                      <w:rPr>
                        <w:rFonts w:hint="eastAsia" w:ascii="宋体" w:hAnsi="宋体" w:cs="宋体"/>
                        <w:spacing w:val="23"/>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fldChar w:fldCharType="begin"/>
    </w:r>
    <w:r>
      <w:rPr>
        <w:rStyle w:val="9"/>
      </w:rPr>
      <w:instrText xml:space="preserve">PAGE  </w:instrTex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2B2D9"/>
    <w:multiLevelType w:val="singleLevel"/>
    <w:tmpl w:val="5E22B2D9"/>
    <w:lvl w:ilvl="0" w:tentative="0">
      <w:start w:val="1"/>
      <w:numFmt w:val="chineseCounting"/>
      <w:suff w:val="nothing"/>
      <w:lvlText w:val="（%1）"/>
      <w:lvlJc w:val="left"/>
    </w:lvl>
  </w:abstractNum>
  <w:abstractNum w:abstractNumId="1">
    <w:nsid w:val="60029FF5"/>
    <w:multiLevelType w:val="singleLevel"/>
    <w:tmpl w:val="60029FF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C5E"/>
    <w:rsid w:val="00125CC2"/>
    <w:rsid w:val="0013205F"/>
    <w:rsid w:val="00172A27"/>
    <w:rsid w:val="003358F9"/>
    <w:rsid w:val="003C655F"/>
    <w:rsid w:val="005028A4"/>
    <w:rsid w:val="005B1593"/>
    <w:rsid w:val="006F27C0"/>
    <w:rsid w:val="00763CBA"/>
    <w:rsid w:val="007F26AB"/>
    <w:rsid w:val="007F651C"/>
    <w:rsid w:val="008223BF"/>
    <w:rsid w:val="009B6664"/>
    <w:rsid w:val="00B44AC7"/>
    <w:rsid w:val="00BB355F"/>
    <w:rsid w:val="00BC30F7"/>
    <w:rsid w:val="00C94502"/>
    <w:rsid w:val="00D46F45"/>
    <w:rsid w:val="00D81AFF"/>
    <w:rsid w:val="00DC0E5A"/>
    <w:rsid w:val="00F1423C"/>
    <w:rsid w:val="00F530DE"/>
    <w:rsid w:val="01206833"/>
    <w:rsid w:val="01226B89"/>
    <w:rsid w:val="0146700B"/>
    <w:rsid w:val="014E3B99"/>
    <w:rsid w:val="016D2848"/>
    <w:rsid w:val="01A728A6"/>
    <w:rsid w:val="02510891"/>
    <w:rsid w:val="027B52EF"/>
    <w:rsid w:val="02AB21EF"/>
    <w:rsid w:val="02EA4A15"/>
    <w:rsid w:val="0355691F"/>
    <w:rsid w:val="03B357FA"/>
    <w:rsid w:val="048A42BD"/>
    <w:rsid w:val="048C236A"/>
    <w:rsid w:val="04DC63DC"/>
    <w:rsid w:val="05317DC9"/>
    <w:rsid w:val="056051E3"/>
    <w:rsid w:val="056C700E"/>
    <w:rsid w:val="0589760E"/>
    <w:rsid w:val="058D4AE8"/>
    <w:rsid w:val="05983871"/>
    <w:rsid w:val="05A22B0E"/>
    <w:rsid w:val="06337CF6"/>
    <w:rsid w:val="076E42C1"/>
    <w:rsid w:val="07B32DBC"/>
    <w:rsid w:val="089F33AE"/>
    <w:rsid w:val="08A625FB"/>
    <w:rsid w:val="0912219F"/>
    <w:rsid w:val="094C1761"/>
    <w:rsid w:val="09900A87"/>
    <w:rsid w:val="09A86AB2"/>
    <w:rsid w:val="09AE5FE1"/>
    <w:rsid w:val="09C5497F"/>
    <w:rsid w:val="09FA14A5"/>
    <w:rsid w:val="0A106E52"/>
    <w:rsid w:val="0A1F7755"/>
    <w:rsid w:val="0A641420"/>
    <w:rsid w:val="0A8D6754"/>
    <w:rsid w:val="0AAD5FB1"/>
    <w:rsid w:val="0AEB6A59"/>
    <w:rsid w:val="0B3920B4"/>
    <w:rsid w:val="0BAF0DEF"/>
    <w:rsid w:val="0BAF36F1"/>
    <w:rsid w:val="0C1724DD"/>
    <w:rsid w:val="0CAE6187"/>
    <w:rsid w:val="0CF64ADD"/>
    <w:rsid w:val="0D4D7E0C"/>
    <w:rsid w:val="0D704969"/>
    <w:rsid w:val="0D7D369E"/>
    <w:rsid w:val="0DF47A9F"/>
    <w:rsid w:val="0E7E0609"/>
    <w:rsid w:val="0E8D3DDA"/>
    <w:rsid w:val="0EA048FC"/>
    <w:rsid w:val="0EB51177"/>
    <w:rsid w:val="0EBA3E3D"/>
    <w:rsid w:val="0EF30AB1"/>
    <w:rsid w:val="0EF44D2E"/>
    <w:rsid w:val="0F15782C"/>
    <w:rsid w:val="101927A8"/>
    <w:rsid w:val="10545BA0"/>
    <w:rsid w:val="10A03855"/>
    <w:rsid w:val="10ED2039"/>
    <w:rsid w:val="11702197"/>
    <w:rsid w:val="11717C51"/>
    <w:rsid w:val="12705A7A"/>
    <w:rsid w:val="127925E4"/>
    <w:rsid w:val="12893250"/>
    <w:rsid w:val="12B90C07"/>
    <w:rsid w:val="12D71C98"/>
    <w:rsid w:val="138479B8"/>
    <w:rsid w:val="13A31C92"/>
    <w:rsid w:val="14045A0B"/>
    <w:rsid w:val="144B5605"/>
    <w:rsid w:val="149C3B08"/>
    <w:rsid w:val="14A5294A"/>
    <w:rsid w:val="14BC7390"/>
    <w:rsid w:val="14E43CAE"/>
    <w:rsid w:val="14ED1BB6"/>
    <w:rsid w:val="14FF532A"/>
    <w:rsid w:val="15347A4D"/>
    <w:rsid w:val="157D4A5F"/>
    <w:rsid w:val="15B61EA7"/>
    <w:rsid w:val="15D37007"/>
    <w:rsid w:val="15ED1DF7"/>
    <w:rsid w:val="161A2293"/>
    <w:rsid w:val="16210608"/>
    <w:rsid w:val="164B4D96"/>
    <w:rsid w:val="16515B96"/>
    <w:rsid w:val="168E11CC"/>
    <w:rsid w:val="16936464"/>
    <w:rsid w:val="16E73AB6"/>
    <w:rsid w:val="17097D5B"/>
    <w:rsid w:val="171531B0"/>
    <w:rsid w:val="17AA2A2D"/>
    <w:rsid w:val="18717E63"/>
    <w:rsid w:val="187B6335"/>
    <w:rsid w:val="19346B99"/>
    <w:rsid w:val="19542786"/>
    <w:rsid w:val="197E68CF"/>
    <w:rsid w:val="1998764C"/>
    <w:rsid w:val="19C61EAE"/>
    <w:rsid w:val="1A4C6554"/>
    <w:rsid w:val="1A704AAB"/>
    <w:rsid w:val="1AA4031A"/>
    <w:rsid w:val="1B2E1208"/>
    <w:rsid w:val="1BB30BF0"/>
    <w:rsid w:val="1C22111F"/>
    <w:rsid w:val="1C5A343D"/>
    <w:rsid w:val="1C7471EE"/>
    <w:rsid w:val="1CAC2681"/>
    <w:rsid w:val="1CB11D92"/>
    <w:rsid w:val="1D322159"/>
    <w:rsid w:val="1DD71870"/>
    <w:rsid w:val="1DD912B1"/>
    <w:rsid w:val="1DDD6D36"/>
    <w:rsid w:val="1E103D69"/>
    <w:rsid w:val="1E8421FF"/>
    <w:rsid w:val="1E915688"/>
    <w:rsid w:val="1EC917A8"/>
    <w:rsid w:val="1F572499"/>
    <w:rsid w:val="1F5775D4"/>
    <w:rsid w:val="1FD95FE5"/>
    <w:rsid w:val="1FDF237D"/>
    <w:rsid w:val="20076144"/>
    <w:rsid w:val="20B60C39"/>
    <w:rsid w:val="21945546"/>
    <w:rsid w:val="21BC725E"/>
    <w:rsid w:val="21CB5006"/>
    <w:rsid w:val="21CD1CC5"/>
    <w:rsid w:val="22683E76"/>
    <w:rsid w:val="229527D2"/>
    <w:rsid w:val="232D0EBB"/>
    <w:rsid w:val="23452EB3"/>
    <w:rsid w:val="234C281A"/>
    <w:rsid w:val="23D736B5"/>
    <w:rsid w:val="23DE73A3"/>
    <w:rsid w:val="241252E4"/>
    <w:rsid w:val="242D5EA3"/>
    <w:rsid w:val="25151594"/>
    <w:rsid w:val="25482C00"/>
    <w:rsid w:val="259320AA"/>
    <w:rsid w:val="25DC4A31"/>
    <w:rsid w:val="25EE57E4"/>
    <w:rsid w:val="26014AD4"/>
    <w:rsid w:val="26066026"/>
    <w:rsid w:val="275A7E2F"/>
    <w:rsid w:val="28995DDC"/>
    <w:rsid w:val="28B32291"/>
    <w:rsid w:val="28C74FFE"/>
    <w:rsid w:val="28CC061A"/>
    <w:rsid w:val="292E73FA"/>
    <w:rsid w:val="29526D6A"/>
    <w:rsid w:val="295F0EBB"/>
    <w:rsid w:val="29973A9B"/>
    <w:rsid w:val="2A3B4B7A"/>
    <w:rsid w:val="2A3D4926"/>
    <w:rsid w:val="2AB56401"/>
    <w:rsid w:val="2B0200AA"/>
    <w:rsid w:val="2B101A3E"/>
    <w:rsid w:val="2B250114"/>
    <w:rsid w:val="2B44248B"/>
    <w:rsid w:val="2BB81754"/>
    <w:rsid w:val="2C217EB2"/>
    <w:rsid w:val="2C316C23"/>
    <w:rsid w:val="2C69326A"/>
    <w:rsid w:val="2C79321F"/>
    <w:rsid w:val="2C871C9B"/>
    <w:rsid w:val="2CAF5CA0"/>
    <w:rsid w:val="2CD22575"/>
    <w:rsid w:val="2D15188F"/>
    <w:rsid w:val="2D1D7BDF"/>
    <w:rsid w:val="2D39501E"/>
    <w:rsid w:val="2D456ED6"/>
    <w:rsid w:val="2D487E7A"/>
    <w:rsid w:val="2DEE6C2E"/>
    <w:rsid w:val="2EE31801"/>
    <w:rsid w:val="2EF942C7"/>
    <w:rsid w:val="2F03719F"/>
    <w:rsid w:val="2F4A709E"/>
    <w:rsid w:val="2F5D6D49"/>
    <w:rsid w:val="2F761F43"/>
    <w:rsid w:val="2F8D009E"/>
    <w:rsid w:val="307A2248"/>
    <w:rsid w:val="30FF3174"/>
    <w:rsid w:val="31693A95"/>
    <w:rsid w:val="31D12FBA"/>
    <w:rsid w:val="31EE7C1A"/>
    <w:rsid w:val="322858C6"/>
    <w:rsid w:val="322A6260"/>
    <w:rsid w:val="32396920"/>
    <w:rsid w:val="329D7E11"/>
    <w:rsid w:val="32BA269B"/>
    <w:rsid w:val="32E305DD"/>
    <w:rsid w:val="33184D5E"/>
    <w:rsid w:val="3358154C"/>
    <w:rsid w:val="338140E7"/>
    <w:rsid w:val="34233356"/>
    <w:rsid w:val="345944F6"/>
    <w:rsid w:val="34672D86"/>
    <w:rsid w:val="35095D4B"/>
    <w:rsid w:val="35297CC6"/>
    <w:rsid w:val="357A4A6C"/>
    <w:rsid w:val="361F6C81"/>
    <w:rsid w:val="36593258"/>
    <w:rsid w:val="366F087F"/>
    <w:rsid w:val="36726EE2"/>
    <w:rsid w:val="368C1EEF"/>
    <w:rsid w:val="36A71A1C"/>
    <w:rsid w:val="37010372"/>
    <w:rsid w:val="378907BD"/>
    <w:rsid w:val="37893499"/>
    <w:rsid w:val="37BE65D1"/>
    <w:rsid w:val="37FF7114"/>
    <w:rsid w:val="381369A8"/>
    <w:rsid w:val="382F167D"/>
    <w:rsid w:val="38783557"/>
    <w:rsid w:val="387933D0"/>
    <w:rsid w:val="38946AE1"/>
    <w:rsid w:val="38954902"/>
    <w:rsid w:val="38A41E81"/>
    <w:rsid w:val="38A90FD4"/>
    <w:rsid w:val="38A94437"/>
    <w:rsid w:val="38B752AC"/>
    <w:rsid w:val="39277CD9"/>
    <w:rsid w:val="39986E48"/>
    <w:rsid w:val="39CA1029"/>
    <w:rsid w:val="3A124757"/>
    <w:rsid w:val="3A8F65E1"/>
    <w:rsid w:val="3A996105"/>
    <w:rsid w:val="3AC359C2"/>
    <w:rsid w:val="3AD40BC9"/>
    <w:rsid w:val="3B272A4F"/>
    <w:rsid w:val="3B5D1E43"/>
    <w:rsid w:val="3B700307"/>
    <w:rsid w:val="3BAA4C7C"/>
    <w:rsid w:val="3BE67555"/>
    <w:rsid w:val="3BFC68E1"/>
    <w:rsid w:val="3C144463"/>
    <w:rsid w:val="3C4D5706"/>
    <w:rsid w:val="3CA312BE"/>
    <w:rsid w:val="3CAB376E"/>
    <w:rsid w:val="3CAC7DE0"/>
    <w:rsid w:val="3CBC19D9"/>
    <w:rsid w:val="3CC03D62"/>
    <w:rsid w:val="3CDB2EBD"/>
    <w:rsid w:val="3D624C7E"/>
    <w:rsid w:val="3E4B640C"/>
    <w:rsid w:val="3E6D6463"/>
    <w:rsid w:val="3E8A61C2"/>
    <w:rsid w:val="3EA60E22"/>
    <w:rsid w:val="3ED32B9D"/>
    <w:rsid w:val="3EF860E3"/>
    <w:rsid w:val="3F456CEE"/>
    <w:rsid w:val="3F7C622E"/>
    <w:rsid w:val="40497686"/>
    <w:rsid w:val="405F57BB"/>
    <w:rsid w:val="40E8454B"/>
    <w:rsid w:val="410E453A"/>
    <w:rsid w:val="41127537"/>
    <w:rsid w:val="412D578E"/>
    <w:rsid w:val="416E2E76"/>
    <w:rsid w:val="41A908DB"/>
    <w:rsid w:val="420D0AC5"/>
    <w:rsid w:val="423B5670"/>
    <w:rsid w:val="424050D3"/>
    <w:rsid w:val="42546887"/>
    <w:rsid w:val="431A56F4"/>
    <w:rsid w:val="43B671EF"/>
    <w:rsid w:val="43CE08A4"/>
    <w:rsid w:val="442738C8"/>
    <w:rsid w:val="445718B9"/>
    <w:rsid w:val="450F4151"/>
    <w:rsid w:val="451B384A"/>
    <w:rsid w:val="45271AC0"/>
    <w:rsid w:val="455F244B"/>
    <w:rsid w:val="45802EAC"/>
    <w:rsid w:val="45A264DE"/>
    <w:rsid w:val="46286197"/>
    <w:rsid w:val="46CE3D39"/>
    <w:rsid w:val="46D65B9F"/>
    <w:rsid w:val="475047AD"/>
    <w:rsid w:val="476C0763"/>
    <w:rsid w:val="47BE5260"/>
    <w:rsid w:val="47D43148"/>
    <w:rsid w:val="488D5CF3"/>
    <w:rsid w:val="48EA5539"/>
    <w:rsid w:val="49207FB0"/>
    <w:rsid w:val="49656ACE"/>
    <w:rsid w:val="49AE1BEE"/>
    <w:rsid w:val="49C14509"/>
    <w:rsid w:val="49C7170B"/>
    <w:rsid w:val="49F73687"/>
    <w:rsid w:val="49F9637C"/>
    <w:rsid w:val="4A475135"/>
    <w:rsid w:val="4AAB3DFB"/>
    <w:rsid w:val="4ABC40F3"/>
    <w:rsid w:val="4ACA28F9"/>
    <w:rsid w:val="4ADA2AAD"/>
    <w:rsid w:val="4ADF5A9A"/>
    <w:rsid w:val="4B2B60E4"/>
    <w:rsid w:val="4BAA2C22"/>
    <w:rsid w:val="4BC6312F"/>
    <w:rsid w:val="4BE80503"/>
    <w:rsid w:val="4C7E7841"/>
    <w:rsid w:val="4C832E2F"/>
    <w:rsid w:val="4C8E5ACD"/>
    <w:rsid w:val="4CBD0E83"/>
    <w:rsid w:val="4D3F70B4"/>
    <w:rsid w:val="4D4A6886"/>
    <w:rsid w:val="4D732358"/>
    <w:rsid w:val="4DBF5392"/>
    <w:rsid w:val="4DDC0BBA"/>
    <w:rsid w:val="4E0D7BFD"/>
    <w:rsid w:val="4E411741"/>
    <w:rsid w:val="4ECD3254"/>
    <w:rsid w:val="4F196492"/>
    <w:rsid w:val="4F2312B2"/>
    <w:rsid w:val="4F3B0A7B"/>
    <w:rsid w:val="4F41279A"/>
    <w:rsid w:val="4F661FFC"/>
    <w:rsid w:val="4FC16AED"/>
    <w:rsid w:val="4FF3138A"/>
    <w:rsid w:val="5035049C"/>
    <w:rsid w:val="5048536D"/>
    <w:rsid w:val="50782642"/>
    <w:rsid w:val="50AB085D"/>
    <w:rsid w:val="51804FDB"/>
    <w:rsid w:val="51BF2083"/>
    <w:rsid w:val="51E34D29"/>
    <w:rsid w:val="52087E18"/>
    <w:rsid w:val="5276536C"/>
    <w:rsid w:val="52B70B09"/>
    <w:rsid w:val="52CA3D30"/>
    <w:rsid w:val="53311D2A"/>
    <w:rsid w:val="536B3C11"/>
    <w:rsid w:val="53794A89"/>
    <w:rsid w:val="539E4BE9"/>
    <w:rsid w:val="53CE7907"/>
    <w:rsid w:val="541741AB"/>
    <w:rsid w:val="542A5277"/>
    <w:rsid w:val="54533838"/>
    <w:rsid w:val="54900B24"/>
    <w:rsid w:val="54E64E0C"/>
    <w:rsid w:val="5557428D"/>
    <w:rsid w:val="56094D98"/>
    <w:rsid w:val="566F6343"/>
    <w:rsid w:val="56D61CDA"/>
    <w:rsid w:val="56F145E3"/>
    <w:rsid w:val="57026FC4"/>
    <w:rsid w:val="5745149D"/>
    <w:rsid w:val="57625853"/>
    <w:rsid w:val="5763265A"/>
    <w:rsid w:val="57802EA0"/>
    <w:rsid w:val="57A24EBE"/>
    <w:rsid w:val="57AC49B0"/>
    <w:rsid w:val="57DF0579"/>
    <w:rsid w:val="57E95C7D"/>
    <w:rsid w:val="57EE50F2"/>
    <w:rsid w:val="581408B3"/>
    <w:rsid w:val="589C2275"/>
    <w:rsid w:val="59237D5C"/>
    <w:rsid w:val="593D563E"/>
    <w:rsid w:val="59DF1B85"/>
    <w:rsid w:val="5A8B6EA9"/>
    <w:rsid w:val="5AB36189"/>
    <w:rsid w:val="5AE9718D"/>
    <w:rsid w:val="5B0622D7"/>
    <w:rsid w:val="5B077FE1"/>
    <w:rsid w:val="5B5002F6"/>
    <w:rsid w:val="5B8E2BF6"/>
    <w:rsid w:val="5BA862F1"/>
    <w:rsid w:val="5C2F7FCE"/>
    <w:rsid w:val="5C565D9D"/>
    <w:rsid w:val="5C881F39"/>
    <w:rsid w:val="5CE64AAA"/>
    <w:rsid w:val="5CE876B7"/>
    <w:rsid w:val="5CE956DB"/>
    <w:rsid w:val="5CEF1FEA"/>
    <w:rsid w:val="5D2B170F"/>
    <w:rsid w:val="5DF63819"/>
    <w:rsid w:val="5E01298D"/>
    <w:rsid w:val="5E032593"/>
    <w:rsid w:val="5E1F367A"/>
    <w:rsid w:val="5E6F0167"/>
    <w:rsid w:val="5ECA73BD"/>
    <w:rsid w:val="5F3D03EE"/>
    <w:rsid w:val="5F530421"/>
    <w:rsid w:val="5F6B338B"/>
    <w:rsid w:val="5F776F15"/>
    <w:rsid w:val="5F8F1D60"/>
    <w:rsid w:val="5FCD49AC"/>
    <w:rsid w:val="5FD52E19"/>
    <w:rsid w:val="60155F7A"/>
    <w:rsid w:val="60277CF5"/>
    <w:rsid w:val="611D0EF2"/>
    <w:rsid w:val="618856D5"/>
    <w:rsid w:val="61905D80"/>
    <w:rsid w:val="621F673C"/>
    <w:rsid w:val="62496A47"/>
    <w:rsid w:val="625C660F"/>
    <w:rsid w:val="62B56699"/>
    <w:rsid w:val="62BA3DF3"/>
    <w:rsid w:val="62CC62B9"/>
    <w:rsid w:val="63313297"/>
    <w:rsid w:val="633921F0"/>
    <w:rsid w:val="635845F4"/>
    <w:rsid w:val="63856798"/>
    <w:rsid w:val="644E5F2A"/>
    <w:rsid w:val="646F16FB"/>
    <w:rsid w:val="65635E4F"/>
    <w:rsid w:val="65703CCE"/>
    <w:rsid w:val="657E4E92"/>
    <w:rsid w:val="65B202C7"/>
    <w:rsid w:val="65B87D71"/>
    <w:rsid w:val="65C05BF6"/>
    <w:rsid w:val="65C57522"/>
    <w:rsid w:val="65E24490"/>
    <w:rsid w:val="66272203"/>
    <w:rsid w:val="66431214"/>
    <w:rsid w:val="66BD4658"/>
    <w:rsid w:val="67105669"/>
    <w:rsid w:val="67122E1B"/>
    <w:rsid w:val="67204DDB"/>
    <w:rsid w:val="67645BD6"/>
    <w:rsid w:val="67CD2855"/>
    <w:rsid w:val="68411DF6"/>
    <w:rsid w:val="68483587"/>
    <w:rsid w:val="68CF1CFC"/>
    <w:rsid w:val="68F918AA"/>
    <w:rsid w:val="69046230"/>
    <w:rsid w:val="6913194A"/>
    <w:rsid w:val="69454106"/>
    <w:rsid w:val="696B25BA"/>
    <w:rsid w:val="69DB70FD"/>
    <w:rsid w:val="6A394A09"/>
    <w:rsid w:val="6A3A6B3E"/>
    <w:rsid w:val="6A3F17D8"/>
    <w:rsid w:val="6A4E644D"/>
    <w:rsid w:val="6ABA064A"/>
    <w:rsid w:val="6AC57581"/>
    <w:rsid w:val="6B2178E7"/>
    <w:rsid w:val="6B655F68"/>
    <w:rsid w:val="6BA84E70"/>
    <w:rsid w:val="6BB343A1"/>
    <w:rsid w:val="6BF0053C"/>
    <w:rsid w:val="6C6C65A3"/>
    <w:rsid w:val="6CA874A6"/>
    <w:rsid w:val="6CD33F5E"/>
    <w:rsid w:val="6D1E1232"/>
    <w:rsid w:val="6DFC510B"/>
    <w:rsid w:val="6E0757FE"/>
    <w:rsid w:val="6E6E0819"/>
    <w:rsid w:val="6E9A7A2F"/>
    <w:rsid w:val="6ECF442F"/>
    <w:rsid w:val="6F0052FC"/>
    <w:rsid w:val="6F6314D5"/>
    <w:rsid w:val="6F821DF5"/>
    <w:rsid w:val="6FA20D36"/>
    <w:rsid w:val="6FB7225B"/>
    <w:rsid w:val="70132CF9"/>
    <w:rsid w:val="70267EA3"/>
    <w:rsid w:val="705C62EE"/>
    <w:rsid w:val="706919DB"/>
    <w:rsid w:val="7072086C"/>
    <w:rsid w:val="70EB7211"/>
    <w:rsid w:val="710842E9"/>
    <w:rsid w:val="71856BB0"/>
    <w:rsid w:val="7250500D"/>
    <w:rsid w:val="72646B97"/>
    <w:rsid w:val="72676CDE"/>
    <w:rsid w:val="7298548A"/>
    <w:rsid w:val="72B743AB"/>
    <w:rsid w:val="72C34EA8"/>
    <w:rsid w:val="72CD1125"/>
    <w:rsid w:val="72E543EC"/>
    <w:rsid w:val="72FC6D5F"/>
    <w:rsid w:val="730F30BF"/>
    <w:rsid w:val="73490050"/>
    <w:rsid w:val="73B76A0D"/>
    <w:rsid w:val="73EB1F8E"/>
    <w:rsid w:val="74A216FD"/>
    <w:rsid w:val="74CF38A0"/>
    <w:rsid w:val="74D728EC"/>
    <w:rsid w:val="75054974"/>
    <w:rsid w:val="753A4353"/>
    <w:rsid w:val="75752337"/>
    <w:rsid w:val="758C23E6"/>
    <w:rsid w:val="75AF6B23"/>
    <w:rsid w:val="75C331F8"/>
    <w:rsid w:val="75CF419B"/>
    <w:rsid w:val="75F968CF"/>
    <w:rsid w:val="760B700F"/>
    <w:rsid w:val="76213191"/>
    <w:rsid w:val="764123B1"/>
    <w:rsid w:val="76623FBE"/>
    <w:rsid w:val="77007BE3"/>
    <w:rsid w:val="77557B68"/>
    <w:rsid w:val="77685F70"/>
    <w:rsid w:val="777941B6"/>
    <w:rsid w:val="77C65B0D"/>
    <w:rsid w:val="77E1790C"/>
    <w:rsid w:val="787D034E"/>
    <w:rsid w:val="787E114E"/>
    <w:rsid w:val="78976C3D"/>
    <w:rsid w:val="78B410A0"/>
    <w:rsid w:val="790D1580"/>
    <w:rsid w:val="792C756C"/>
    <w:rsid w:val="794E6BAF"/>
    <w:rsid w:val="799A107B"/>
    <w:rsid w:val="79D408C8"/>
    <w:rsid w:val="79D8550C"/>
    <w:rsid w:val="7A5A0A07"/>
    <w:rsid w:val="7A7355D7"/>
    <w:rsid w:val="7A887859"/>
    <w:rsid w:val="7B3418EE"/>
    <w:rsid w:val="7B3F1E74"/>
    <w:rsid w:val="7B6B60B4"/>
    <w:rsid w:val="7B7B2CB7"/>
    <w:rsid w:val="7BD02F17"/>
    <w:rsid w:val="7CCF716C"/>
    <w:rsid w:val="7DD91278"/>
    <w:rsid w:val="7E1A0B80"/>
    <w:rsid w:val="7E735433"/>
    <w:rsid w:val="7EDC15DB"/>
    <w:rsid w:val="7EE616E6"/>
    <w:rsid w:val="7F2946E4"/>
    <w:rsid w:val="7F8A2ADD"/>
    <w:rsid w:val="7FDC56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ascii="宋体" w:hAnsi="宋体" w:cs="宋体"/>
      <w:kern w:val="0"/>
      <w:sz w:val="24"/>
    </w:rPr>
  </w:style>
  <w:style w:type="character" w:styleId="8">
    <w:name w:val="Strong"/>
    <w:basedOn w:val="7"/>
    <w:qFormat/>
    <w:uiPriority w:val="0"/>
    <w:rPr>
      <w:color w:val="000000"/>
      <w:sz w:val="24"/>
      <w:szCs w:val="24"/>
    </w:rPr>
  </w:style>
  <w:style w:type="character" w:styleId="9">
    <w:name w:val="page number"/>
    <w:basedOn w:val="7"/>
    <w:qFormat/>
    <w:uiPriority w:val="0"/>
  </w:style>
  <w:style w:type="character" w:styleId="10">
    <w:name w:val="FollowedHyperlink"/>
    <w:basedOn w:val="7"/>
    <w:qFormat/>
    <w:uiPriority w:val="0"/>
    <w:rPr>
      <w:color w:val="000000"/>
      <w:sz w:val="18"/>
      <w:szCs w:val="18"/>
      <w:u w:val="none"/>
    </w:rPr>
  </w:style>
  <w:style w:type="character" w:styleId="11">
    <w:name w:val="Emphasis"/>
    <w:basedOn w:val="7"/>
    <w:qFormat/>
    <w:uiPriority w:val="0"/>
    <w:rPr>
      <w:sz w:val="24"/>
      <w:szCs w:val="24"/>
    </w:rPr>
  </w:style>
  <w:style w:type="character" w:styleId="12">
    <w:name w:val="HTML Definition"/>
    <w:basedOn w:val="7"/>
    <w:qFormat/>
    <w:uiPriority w:val="0"/>
    <w:rPr>
      <w:i/>
    </w:rPr>
  </w:style>
  <w:style w:type="character" w:styleId="13">
    <w:name w:val="Hyperlink"/>
    <w:basedOn w:val="7"/>
    <w:qFormat/>
    <w:uiPriority w:val="0"/>
    <w:rPr>
      <w:color w:val="000000"/>
      <w:sz w:val="18"/>
      <w:szCs w:val="18"/>
      <w:u w:val="none"/>
    </w:rPr>
  </w:style>
  <w:style w:type="character" w:styleId="14">
    <w:name w:val="HTML Code"/>
    <w:basedOn w:val="7"/>
    <w:qFormat/>
    <w:uiPriority w:val="0"/>
    <w:rPr>
      <w:rFonts w:ascii="Menlo" w:hAnsi="Menlo" w:eastAsia="Menlo" w:cs="Menlo"/>
      <w:color w:val="C7254E"/>
      <w:sz w:val="21"/>
      <w:szCs w:val="21"/>
      <w:shd w:val="clear" w:fill="F9F2F4"/>
    </w:rPr>
  </w:style>
  <w:style w:type="character" w:styleId="15">
    <w:name w:val="HTML Keyboard"/>
    <w:basedOn w:val="7"/>
    <w:qFormat/>
    <w:uiPriority w:val="0"/>
    <w:rPr>
      <w:rFonts w:hint="default" w:ascii="Menlo" w:hAnsi="Menlo" w:eastAsia="Menlo" w:cs="Menlo"/>
      <w:color w:val="FFFFFF"/>
      <w:sz w:val="21"/>
      <w:szCs w:val="21"/>
      <w:shd w:val="clear" w:fill="333333"/>
    </w:rPr>
  </w:style>
  <w:style w:type="character" w:styleId="16">
    <w:name w:val="HTML Sample"/>
    <w:basedOn w:val="7"/>
    <w:qFormat/>
    <w:uiPriority w:val="0"/>
    <w:rPr>
      <w:rFonts w:hint="default" w:ascii="Menlo" w:hAnsi="Menlo" w:eastAsia="Menlo" w:cs="Menlo"/>
      <w:sz w:val="21"/>
      <w:szCs w:val="21"/>
    </w:rPr>
  </w:style>
  <w:style w:type="paragraph" w:customStyle="1" w:styleId="17">
    <w:name w:val="Char Char Char Char Char Char Char"/>
    <w:basedOn w:val="1"/>
    <w:qFormat/>
    <w:uiPriority w:val="0"/>
  </w:style>
  <w:style w:type="character" w:customStyle="1" w:styleId="18">
    <w:name w:val="txtcontent11"/>
    <w:basedOn w:val="7"/>
    <w:qFormat/>
    <w:uiPriority w:val="0"/>
    <w:rPr>
      <w:rFonts w:hint="default" w:ascii="ˎ̥" w:hAnsi="ˎ̥"/>
      <w:color w:val="000000"/>
      <w:sz w:val="21"/>
      <w:szCs w:val="21"/>
    </w:rPr>
  </w:style>
  <w:style w:type="character" w:customStyle="1" w:styleId="19">
    <w:name w:val="页眉 Char"/>
    <w:basedOn w:val="7"/>
    <w:link w:val="4"/>
    <w:qFormat/>
    <w:uiPriority w:val="0"/>
    <w:rPr>
      <w:kern w:val="2"/>
      <w:sz w:val="18"/>
      <w:szCs w:val="18"/>
    </w:rPr>
  </w:style>
  <w:style w:type="character" w:customStyle="1" w:styleId="20">
    <w:name w:val="wx-space"/>
    <w:basedOn w:val="7"/>
    <w:qFormat/>
    <w:uiPriority w:val="0"/>
  </w:style>
  <w:style w:type="character" w:customStyle="1" w:styleId="21">
    <w:name w:val="wx-space1"/>
    <w:basedOn w:val="7"/>
    <w:qFormat/>
    <w:uiPriority w:val="0"/>
  </w:style>
  <w:style w:type="character" w:customStyle="1" w:styleId="22">
    <w:name w:val="time"/>
    <w:basedOn w:val="7"/>
    <w:qFormat/>
    <w:uiPriority w:val="0"/>
    <w:rPr>
      <w:rFonts w:ascii="Arial" w:hAnsi="Arial" w:cs="Arial"/>
    </w:rPr>
  </w:style>
  <w:style w:type="character" w:customStyle="1" w:styleId="23">
    <w:name w:val="select2-selection__rendered"/>
    <w:basedOn w:val="7"/>
    <w:qFormat/>
    <w:uiPriority w:val="0"/>
    <w:rPr>
      <w:sz w:val="18"/>
      <w:szCs w:val="18"/>
    </w:rPr>
  </w:style>
  <w:style w:type="character" w:customStyle="1" w:styleId="24">
    <w:name w:val="hover17"/>
    <w:basedOn w:val="7"/>
    <w:qFormat/>
    <w:uiPriority w:val="0"/>
    <w:rPr>
      <w:color w:val="000000"/>
      <w:shd w:val="clear" w:fill="FFFFFF"/>
    </w:rPr>
  </w:style>
  <w:style w:type="character" w:customStyle="1" w:styleId="25">
    <w:name w:val="bsharetext"/>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7717</Words>
  <Characters>599</Characters>
  <Lines>4</Lines>
  <Paragraphs>16</Paragraphs>
  <TotalTime>0</TotalTime>
  <ScaleCrop>false</ScaleCrop>
  <LinksUpToDate>false</LinksUpToDate>
  <CharactersWithSpaces>8300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2015-02-16T02:59:00Z</dcterms:created>
  <dc:creator>TCL</dc:creator>
  <cp:lastModifiedBy>Administrator</cp:lastModifiedBy>
  <cp:lastPrinted>2021-01-18T07:04:00Z</cp:lastPrinted>
  <dcterms:modified xsi:type="dcterms:W3CDTF">2024-03-28T08:34:00Z</dcterms:modified>
  <dc:title>关于永福县2013年预算执行情况和2014年预算草案的报告</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