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640" w:lineRule="exact"/>
        <w:ind w:left="0" w:leftChars="0" w:right="0" w:rightChars="0" w:firstLine="0" w:firstLineChars="0"/>
        <w:jc w:val="center"/>
        <w:textAlignment w:val="auto"/>
        <w:outlineLvl w:val="9"/>
        <w:rPr>
          <w:rFonts w:hint="eastAsia" w:eastAsia="方正小标宋_GBK"/>
          <w:b/>
          <w:bCs/>
          <w:snapToGrid w:val="0"/>
          <w:kern w:val="0"/>
          <w:sz w:val="44"/>
          <w:szCs w:val="44"/>
        </w:rPr>
      </w:pPr>
      <w:r>
        <w:rPr>
          <w:rFonts w:hint="eastAsia" w:eastAsia="方正小标宋_GBK"/>
          <w:b/>
          <w:bCs/>
          <w:snapToGrid w:val="0"/>
          <w:kern w:val="0"/>
          <w:sz w:val="44"/>
          <w:szCs w:val="44"/>
        </w:rPr>
        <w:t>关于永福县201</w:t>
      </w:r>
      <w:r>
        <w:rPr>
          <w:rFonts w:hint="eastAsia" w:eastAsia="方正小标宋_GBK"/>
          <w:b/>
          <w:bCs/>
          <w:snapToGrid w:val="0"/>
          <w:kern w:val="0"/>
          <w:sz w:val="44"/>
          <w:szCs w:val="44"/>
          <w:lang w:val="en-US" w:eastAsia="zh-CN"/>
        </w:rPr>
        <w:t>9</w:t>
      </w:r>
      <w:r>
        <w:rPr>
          <w:rFonts w:hint="eastAsia" w:eastAsia="方正小标宋_GBK"/>
          <w:b/>
          <w:bCs/>
          <w:snapToGrid w:val="0"/>
          <w:kern w:val="0"/>
          <w:sz w:val="44"/>
          <w:szCs w:val="44"/>
        </w:rPr>
        <w:t>年预算执行情况和</w:t>
      </w:r>
    </w:p>
    <w:p>
      <w:pPr>
        <w:keepNext w:val="0"/>
        <w:keepLines w:val="0"/>
        <w:pageBreakBefore w:val="0"/>
        <w:widowControl w:val="0"/>
        <w:kinsoku/>
        <w:wordWrap/>
        <w:overflowPunct/>
        <w:topLinePunct w:val="0"/>
        <w:autoSpaceDE/>
        <w:autoSpaceDN/>
        <w:bidi w:val="0"/>
        <w:adjustRightInd w:val="0"/>
        <w:snapToGrid w:val="0"/>
        <w:spacing w:line="640" w:lineRule="exact"/>
        <w:ind w:left="0" w:leftChars="0" w:right="0" w:rightChars="0" w:firstLine="0" w:firstLineChars="0"/>
        <w:jc w:val="center"/>
        <w:textAlignment w:val="auto"/>
        <w:outlineLvl w:val="9"/>
        <w:rPr>
          <w:rFonts w:hint="eastAsia" w:ascii="楷体_GB2312" w:hAnsi="楷体_GB2312" w:eastAsia="楷体_GB2312" w:cs="楷体_GB2312"/>
          <w:spacing w:val="-20"/>
          <w:sz w:val="32"/>
          <w:szCs w:val="32"/>
          <w:lang w:val="en-US" w:eastAsia="zh-CN"/>
        </w:rPr>
      </w:pPr>
      <w:r>
        <w:rPr>
          <w:rFonts w:hint="eastAsia" w:eastAsia="方正小标宋_GBK"/>
          <w:b/>
          <w:bCs/>
          <w:snapToGrid w:val="0"/>
          <w:kern w:val="0"/>
          <w:sz w:val="44"/>
          <w:szCs w:val="44"/>
        </w:rPr>
        <w:t>20</w:t>
      </w:r>
      <w:r>
        <w:rPr>
          <w:rFonts w:hint="eastAsia" w:eastAsia="方正小标宋_GBK"/>
          <w:b/>
          <w:bCs/>
          <w:snapToGrid w:val="0"/>
          <w:kern w:val="0"/>
          <w:sz w:val="44"/>
          <w:szCs w:val="44"/>
          <w:lang w:val="en-US" w:eastAsia="zh-CN"/>
        </w:rPr>
        <w:t>20</w:t>
      </w:r>
      <w:r>
        <w:rPr>
          <w:rFonts w:hint="eastAsia" w:eastAsia="方正小标宋_GBK"/>
          <w:b/>
          <w:bCs/>
          <w:snapToGrid w:val="0"/>
          <w:kern w:val="0"/>
          <w:sz w:val="44"/>
          <w:szCs w:val="44"/>
        </w:rPr>
        <w:t>年预算草案的报告</w:t>
      </w:r>
      <w:r>
        <w:rPr>
          <w:rFonts w:hint="eastAsia" w:eastAsia="方正小标宋_GBK"/>
          <w:b w:val="0"/>
          <w:bCs w:val="0"/>
          <w:snapToGrid w:val="0"/>
          <w:kern w:val="0"/>
          <w:sz w:val="44"/>
          <w:szCs w:val="44"/>
        </w:rPr>
        <w:t>(书面)</w:t>
      </w:r>
    </w:p>
    <w:p>
      <w:pPr>
        <w:keepNext w:val="0"/>
        <w:keepLines w:val="0"/>
        <w:pageBreakBefore w:val="0"/>
        <w:widowControl w:val="0"/>
        <w:kinsoku/>
        <w:wordWrap/>
        <w:overflowPunct/>
        <w:topLinePunct w:val="0"/>
        <w:autoSpaceDE/>
        <w:autoSpaceDN/>
        <w:bidi w:val="0"/>
        <w:adjustRightInd/>
        <w:snapToGrid/>
        <w:spacing w:line="800" w:lineRule="exact"/>
        <w:ind w:right="0" w:rightChars="0"/>
        <w:jc w:val="center"/>
        <w:textAlignment w:val="auto"/>
        <w:outlineLvl w:val="9"/>
        <w:rPr>
          <w:rFonts w:hint="eastAsia" w:ascii="楷体_GB2312" w:hAnsi="楷体_GB2312" w:eastAsia="楷体_GB2312" w:cs="楷体_GB2312"/>
          <w:spacing w:val="-20"/>
          <w:sz w:val="32"/>
          <w:szCs w:val="32"/>
          <w:lang w:val="en-US" w:eastAsia="zh-CN"/>
        </w:rPr>
      </w:pPr>
      <w:r>
        <w:rPr>
          <w:rFonts w:hint="eastAsia" w:ascii="楷体_GB2312" w:hAnsi="楷体_GB2312" w:eastAsia="楷体_GB2312" w:cs="楷体_GB2312"/>
          <w:spacing w:val="-20"/>
          <w:sz w:val="32"/>
          <w:szCs w:val="32"/>
          <w:lang w:val="en-US" w:eastAsia="zh-CN"/>
        </w:rPr>
        <w:t>——2020年5月28</w:t>
      </w:r>
      <w:bookmarkStart w:id="0" w:name="_GoBack"/>
      <w:bookmarkEnd w:id="0"/>
      <w:r>
        <w:rPr>
          <w:rFonts w:hint="eastAsia" w:ascii="楷体_GB2312" w:hAnsi="楷体_GB2312" w:eastAsia="楷体_GB2312" w:cs="楷体_GB2312"/>
          <w:spacing w:val="-20"/>
          <w:sz w:val="32"/>
          <w:szCs w:val="32"/>
          <w:lang w:val="en-US" w:eastAsia="zh-CN"/>
        </w:rPr>
        <w:t>日在永福县第十六届人民代表大会第五次会议上</w:t>
      </w:r>
    </w:p>
    <w:p>
      <w:pPr>
        <w:keepNext w:val="0"/>
        <w:keepLines w:val="0"/>
        <w:pageBreakBefore w:val="0"/>
        <w:widowControl w:val="0"/>
        <w:kinsoku/>
        <w:wordWrap/>
        <w:overflowPunct/>
        <w:topLinePunct w:val="0"/>
        <w:autoSpaceDE/>
        <w:autoSpaceDN/>
        <w:bidi w:val="0"/>
        <w:adjustRightInd/>
        <w:snapToGrid/>
        <w:spacing w:line="586" w:lineRule="exact"/>
        <w:ind w:right="0" w:rightChars="0"/>
        <w:jc w:val="center"/>
        <w:textAlignment w:val="auto"/>
        <w:outlineLvl w:val="9"/>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永福县财政局</w:t>
      </w:r>
    </w:p>
    <w:p>
      <w:pPr>
        <w:keepNext w:val="0"/>
        <w:keepLines w:val="0"/>
        <w:pageBreakBefore w:val="0"/>
        <w:widowControl w:val="0"/>
        <w:kinsoku/>
        <w:wordWrap/>
        <w:overflowPunct/>
        <w:topLinePunct w:val="0"/>
        <w:autoSpaceDE/>
        <w:autoSpaceDN/>
        <w:bidi w:val="0"/>
        <w:adjustRightInd/>
        <w:snapToGrid/>
        <w:spacing w:line="586" w:lineRule="exact"/>
        <w:ind w:right="0" w:rightChars="0"/>
        <w:jc w:val="left"/>
        <w:textAlignment w:val="auto"/>
        <w:outlineLvl w:val="9"/>
        <w:rPr>
          <w:rFonts w:hint="eastAsia" w:eastAsia="仿宋_GB2312"/>
          <w:sz w:val="32"/>
          <w:szCs w:val="32"/>
          <w:lang w:val="en-US" w:eastAsia="zh-CN"/>
        </w:rPr>
      </w:pPr>
      <w:r>
        <w:rPr>
          <w:rFonts w:hint="eastAsia" w:eastAsia="仿宋_GB2312"/>
          <w:sz w:val="32"/>
          <w:szCs w:val="32"/>
          <w:lang w:val="en-US" w:eastAsia="zh-CN"/>
        </w:rPr>
        <w:t>各位代表：</w:t>
      </w:r>
    </w:p>
    <w:p>
      <w:pPr>
        <w:keepNext w:val="0"/>
        <w:keepLines w:val="0"/>
        <w:pageBreakBefore w:val="0"/>
        <w:widowControl w:val="0"/>
        <w:kinsoku/>
        <w:wordWrap/>
        <w:overflowPunct/>
        <w:topLinePunct w:val="0"/>
        <w:autoSpaceDE/>
        <w:autoSpaceDN/>
        <w:bidi w:val="0"/>
        <w:adjustRightInd/>
        <w:snapToGrid/>
        <w:spacing w:line="586" w:lineRule="exact"/>
        <w:ind w:left="0" w:leftChars="0" w:right="0" w:rightChars="0" w:firstLine="640" w:firstLineChars="200"/>
        <w:jc w:val="left"/>
        <w:textAlignment w:val="auto"/>
        <w:outlineLvl w:val="9"/>
        <w:rPr>
          <w:rFonts w:hint="eastAsia" w:eastAsia="仿宋_GB2312"/>
          <w:sz w:val="32"/>
          <w:szCs w:val="32"/>
          <w:lang w:val="en-US" w:eastAsia="zh-CN"/>
        </w:rPr>
      </w:pPr>
      <w:r>
        <w:rPr>
          <w:rFonts w:hint="eastAsia" w:eastAsia="仿宋_GB2312"/>
          <w:sz w:val="32"/>
          <w:szCs w:val="32"/>
          <w:lang w:val="en-US" w:eastAsia="zh-CN"/>
        </w:rPr>
        <w:t>受县人民政府委托，现将永福县2019年预算执行情况和2020年预算草案提请县十六届人大第五次会议审议，并请政协各位委员和其他列席会议的同志提出意见。</w:t>
      </w:r>
    </w:p>
    <w:p>
      <w:pPr>
        <w:keepNext w:val="0"/>
        <w:keepLines w:val="0"/>
        <w:pageBreakBefore w:val="0"/>
        <w:widowControl w:val="0"/>
        <w:kinsoku/>
        <w:wordWrap/>
        <w:overflowPunct/>
        <w:topLinePunct w:val="0"/>
        <w:autoSpaceDE/>
        <w:autoSpaceDN/>
        <w:bidi w:val="0"/>
        <w:adjustRightInd/>
        <w:snapToGrid/>
        <w:spacing w:line="586" w:lineRule="exact"/>
        <w:ind w:left="0" w:leftChars="0" w:right="0" w:rightChars="0" w:firstLine="640" w:firstLineChars="200"/>
        <w:jc w:val="left"/>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一、2019年预算执行情况</w:t>
      </w:r>
    </w:p>
    <w:p>
      <w:pPr>
        <w:keepNext w:val="0"/>
        <w:keepLines w:val="0"/>
        <w:pageBreakBefore w:val="0"/>
        <w:widowControl w:val="0"/>
        <w:kinsoku/>
        <w:wordWrap/>
        <w:overflowPunct/>
        <w:topLinePunct w:val="0"/>
        <w:autoSpaceDE/>
        <w:autoSpaceDN/>
        <w:bidi w:val="0"/>
        <w:adjustRightInd/>
        <w:snapToGrid/>
        <w:spacing w:line="586" w:lineRule="exact"/>
        <w:ind w:left="0" w:leftChars="0" w:right="0" w:rightChars="0" w:firstLine="640" w:firstLineChars="200"/>
        <w:jc w:val="left"/>
        <w:textAlignment w:val="auto"/>
        <w:outlineLvl w:val="9"/>
        <w:rPr>
          <w:rFonts w:hint="eastAsia" w:eastAsia="仿宋_GB2312"/>
          <w:sz w:val="32"/>
          <w:szCs w:val="32"/>
          <w:lang w:val="en-US" w:eastAsia="zh-CN"/>
        </w:rPr>
      </w:pPr>
      <w:r>
        <w:rPr>
          <w:rFonts w:hint="eastAsia" w:eastAsia="仿宋_GB2312"/>
          <w:sz w:val="32"/>
          <w:szCs w:val="32"/>
          <w:lang w:val="en-US" w:eastAsia="zh-CN"/>
        </w:rPr>
        <w:t>2019年是我县攻坚克难、砥砺奋进的一年，财政运行面临着前所未有的压力，财政收支矛盾更加尖锐和突出，面对国内外复杂的经济形势，经济下行趋势仍然明显，受县域产业结构优化尚未到位、减税降费政策深入实施、财政供养人口不断增加等多方因素影响，我县财政收入不增反减，而保工资、保运转、保民生等刚性支出又有增无减，致使财政运行举步维艰，财政部门在县委、县政府的坚强领导下，在县人大和县政协的监督指导下，通过千方百计争取上级支持、咬紧牙关埋头苦干，努力确保了全年的工资发放、机关运转和基本民生需求，坚定不移维护了政府诚信，为永福县域发展提供了财力支撑。</w:t>
      </w:r>
    </w:p>
    <w:p>
      <w:pPr>
        <w:keepNext w:val="0"/>
        <w:keepLines w:val="0"/>
        <w:pageBreakBefore w:val="0"/>
        <w:widowControl w:val="0"/>
        <w:kinsoku/>
        <w:wordWrap/>
        <w:overflowPunct/>
        <w:topLinePunct w:val="0"/>
        <w:autoSpaceDE/>
        <w:autoSpaceDN/>
        <w:bidi w:val="0"/>
        <w:adjustRightInd/>
        <w:snapToGrid/>
        <w:spacing w:line="586" w:lineRule="exact"/>
        <w:ind w:right="0" w:rightChars="0" w:firstLine="640"/>
        <w:jc w:val="left"/>
        <w:textAlignment w:val="auto"/>
        <w:outlineLvl w:val="9"/>
        <w:rPr>
          <w:rFonts w:hint="eastAsia" w:eastAsia="仿宋_GB2312"/>
          <w:color w:val="000000" w:themeColor="text1"/>
          <w:sz w:val="32"/>
          <w:szCs w:val="32"/>
          <w:highlight w:val="none"/>
          <w:lang w:val="en-US" w:eastAsia="zh-CN"/>
          <w14:textFill>
            <w14:solidFill>
              <w14:schemeClr w14:val="tx1"/>
            </w14:solidFill>
          </w14:textFill>
        </w:rPr>
      </w:pPr>
      <w:r>
        <w:rPr>
          <w:rFonts w:hint="eastAsia" w:eastAsia="仿宋_GB2312"/>
          <w:sz w:val="32"/>
          <w:szCs w:val="32"/>
          <w:lang w:val="en-US" w:eastAsia="zh-CN"/>
        </w:rPr>
        <w:t>2019年全县组织财政</w:t>
      </w:r>
      <w:r>
        <w:rPr>
          <w:rFonts w:hint="eastAsia" w:eastAsia="仿宋_GB2312"/>
          <w:sz w:val="32"/>
          <w:szCs w:val="32"/>
          <w:highlight w:val="none"/>
          <w:lang w:val="en-US" w:eastAsia="zh-CN"/>
        </w:rPr>
        <w:t>收入完成58252万元，完成年度收入预算69030万元的84.4%，完成市任务72093万元的80.8%，同比减少13841万元（上年同期72093</w:t>
      </w:r>
      <w:r>
        <w:rPr>
          <w:rFonts w:hint="eastAsia" w:eastAsia="仿宋_GB2312"/>
          <w:sz w:val="32"/>
          <w:szCs w:val="32"/>
          <w:lang w:val="en-US" w:eastAsia="zh-CN"/>
        </w:rPr>
        <w:t>万元），减少19.2%。全县组织财政收入中税收收入完成</w:t>
      </w:r>
      <w:r>
        <w:rPr>
          <w:rFonts w:hint="eastAsia" w:eastAsia="仿宋_GB2312"/>
          <w:sz w:val="32"/>
          <w:szCs w:val="32"/>
          <w:highlight w:val="none"/>
          <w:lang w:val="en-US" w:eastAsia="zh-CN"/>
        </w:rPr>
        <w:t>43118</w:t>
      </w:r>
      <w:r>
        <w:rPr>
          <w:rFonts w:hint="eastAsia" w:eastAsia="仿宋_GB2312"/>
          <w:sz w:val="32"/>
          <w:szCs w:val="32"/>
          <w:lang w:val="en-US" w:eastAsia="zh-CN"/>
        </w:rPr>
        <w:t>万元（上年</w:t>
      </w:r>
      <w:r>
        <w:rPr>
          <w:rFonts w:hint="eastAsia" w:eastAsia="仿宋_GB2312"/>
          <w:sz w:val="32"/>
          <w:szCs w:val="32"/>
          <w:highlight w:val="none"/>
          <w:lang w:val="en-US" w:eastAsia="zh-CN"/>
        </w:rPr>
        <w:t>45199</w:t>
      </w:r>
      <w:r>
        <w:rPr>
          <w:rFonts w:hint="eastAsia" w:eastAsia="仿宋_GB2312"/>
          <w:sz w:val="32"/>
          <w:szCs w:val="32"/>
          <w:lang w:val="en-US" w:eastAsia="zh-CN"/>
        </w:rPr>
        <w:t>万元），同比减少</w:t>
      </w:r>
      <w:r>
        <w:rPr>
          <w:rFonts w:hint="eastAsia" w:eastAsia="仿宋_GB2312"/>
          <w:sz w:val="32"/>
          <w:szCs w:val="32"/>
          <w:highlight w:val="none"/>
          <w:lang w:val="en-US" w:eastAsia="zh-CN"/>
        </w:rPr>
        <w:t>2081</w:t>
      </w:r>
      <w:r>
        <w:rPr>
          <w:rFonts w:hint="eastAsia" w:eastAsia="仿宋_GB2312"/>
          <w:sz w:val="32"/>
          <w:szCs w:val="32"/>
          <w:lang w:val="en-US" w:eastAsia="zh-CN"/>
        </w:rPr>
        <w:t>万元，减少4.6%；非税收入</w:t>
      </w:r>
      <w:r>
        <w:rPr>
          <w:rFonts w:hint="eastAsia" w:eastAsia="仿宋_GB2312"/>
          <w:sz w:val="32"/>
          <w:szCs w:val="32"/>
          <w:highlight w:val="none"/>
          <w:lang w:val="en-US" w:eastAsia="zh-CN"/>
        </w:rPr>
        <w:t>15134</w:t>
      </w:r>
      <w:r>
        <w:rPr>
          <w:rFonts w:hint="eastAsia" w:eastAsia="仿宋_GB2312"/>
          <w:sz w:val="32"/>
          <w:szCs w:val="32"/>
          <w:lang w:val="en-US" w:eastAsia="zh-CN"/>
        </w:rPr>
        <w:t>万元（上年同期</w:t>
      </w:r>
      <w:r>
        <w:rPr>
          <w:rFonts w:hint="eastAsia" w:eastAsia="仿宋_GB2312"/>
          <w:sz w:val="32"/>
          <w:szCs w:val="32"/>
          <w:highlight w:val="none"/>
          <w:lang w:val="en-US" w:eastAsia="zh-CN"/>
        </w:rPr>
        <w:t>26895</w:t>
      </w:r>
      <w:r>
        <w:rPr>
          <w:rFonts w:hint="eastAsia" w:eastAsia="仿宋_GB2312"/>
          <w:sz w:val="32"/>
          <w:szCs w:val="32"/>
          <w:lang w:val="en-US" w:eastAsia="zh-CN"/>
        </w:rPr>
        <w:t>万元），同比减少11761万元，减少43.7%</w:t>
      </w:r>
      <w:r>
        <w:rPr>
          <w:rFonts w:hint="eastAsia" w:eastAsia="仿宋_GB2312"/>
          <w:color w:val="000000" w:themeColor="text1"/>
          <w:sz w:val="32"/>
          <w:szCs w:val="32"/>
          <w:lang w:val="en-US" w:eastAsia="zh-CN"/>
          <w14:textFill>
            <w14:solidFill>
              <w14:schemeClr w14:val="tx1"/>
            </w14:solidFill>
          </w14:textFill>
        </w:rPr>
        <w:t>。</w:t>
      </w:r>
      <w:r>
        <w:rPr>
          <w:rFonts w:hint="eastAsia" w:eastAsia="仿宋_GB2312"/>
          <w:color w:val="000000" w:themeColor="text1"/>
          <w:sz w:val="32"/>
          <w:szCs w:val="32"/>
          <w:highlight w:val="none"/>
          <w:lang w:val="en-US" w:eastAsia="zh-CN"/>
          <w14:textFill>
            <w14:solidFill>
              <w14:schemeClr w14:val="tx1"/>
            </w14:solidFill>
          </w14:textFill>
        </w:rPr>
        <w:t>全县一般公共财政预算收入36427万元，其中税收收入20499万元，非税收入15928万元，非税收入占一般公共预算收入的43.7%，同比上年下降了12.8个百分点，财政收入质量得到明显提高。</w:t>
      </w:r>
    </w:p>
    <w:p>
      <w:pPr>
        <w:keepNext w:val="0"/>
        <w:keepLines w:val="0"/>
        <w:pageBreakBefore w:val="0"/>
        <w:widowControl w:val="0"/>
        <w:kinsoku/>
        <w:wordWrap/>
        <w:overflowPunct/>
        <w:topLinePunct w:val="0"/>
        <w:autoSpaceDE/>
        <w:autoSpaceDN/>
        <w:bidi w:val="0"/>
        <w:adjustRightInd/>
        <w:snapToGrid/>
        <w:spacing w:line="586" w:lineRule="exact"/>
        <w:ind w:right="0" w:rightChars="0"/>
        <w:jc w:val="left"/>
        <w:textAlignment w:val="auto"/>
        <w:outlineLvl w:val="9"/>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　　（一）公共财政预算执行情况</w:t>
      </w:r>
    </w:p>
    <w:p>
      <w:pPr>
        <w:keepNext w:val="0"/>
        <w:keepLines w:val="0"/>
        <w:pageBreakBefore w:val="0"/>
        <w:widowControl w:val="0"/>
        <w:kinsoku/>
        <w:wordWrap/>
        <w:overflowPunct/>
        <w:topLinePunct w:val="0"/>
        <w:autoSpaceDE/>
        <w:autoSpaceDN/>
        <w:bidi w:val="0"/>
        <w:adjustRightInd/>
        <w:snapToGrid/>
        <w:spacing w:line="586" w:lineRule="exact"/>
        <w:ind w:left="0" w:leftChars="0" w:right="0" w:rightChars="0" w:firstLine="640" w:firstLineChars="200"/>
        <w:jc w:val="left"/>
        <w:textAlignment w:val="auto"/>
        <w:outlineLvl w:val="9"/>
        <w:rPr>
          <w:rFonts w:hint="eastAsia" w:eastAsia="仿宋_GB2312"/>
          <w:sz w:val="32"/>
          <w:szCs w:val="32"/>
          <w:highlight w:val="none"/>
          <w:lang w:val="en-US" w:eastAsia="zh-CN"/>
        </w:rPr>
      </w:pPr>
      <w:r>
        <w:rPr>
          <w:rFonts w:hint="eastAsia" w:eastAsia="仿宋_GB2312"/>
          <w:sz w:val="32"/>
          <w:szCs w:val="32"/>
          <w:lang w:val="en-US" w:eastAsia="zh-CN"/>
        </w:rPr>
        <w:t>2019年公共财政</w:t>
      </w:r>
      <w:r>
        <w:rPr>
          <w:rFonts w:hint="eastAsia" w:eastAsia="仿宋_GB2312"/>
          <w:sz w:val="32"/>
          <w:szCs w:val="32"/>
          <w:highlight w:val="none"/>
          <w:lang w:val="en-US" w:eastAsia="zh-CN"/>
        </w:rPr>
        <w:t>预算收入223483万元，支出213561万元。收支相抵，年终滚存结余9922万元，其中：专款结余9922万元。</w:t>
      </w:r>
    </w:p>
    <w:p>
      <w:pPr>
        <w:keepNext w:val="0"/>
        <w:keepLines w:val="0"/>
        <w:pageBreakBefore w:val="0"/>
        <w:widowControl w:val="0"/>
        <w:kinsoku/>
        <w:wordWrap/>
        <w:overflowPunct/>
        <w:topLinePunct w:val="0"/>
        <w:autoSpaceDE/>
        <w:autoSpaceDN/>
        <w:bidi w:val="0"/>
        <w:adjustRightInd/>
        <w:snapToGrid/>
        <w:spacing w:line="586" w:lineRule="exact"/>
        <w:ind w:left="0" w:leftChars="0" w:right="0" w:rightChars="0" w:firstLine="643" w:firstLineChars="200"/>
        <w:jc w:val="left"/>
        <w:textAlignment w:val="auto"/>
        <w:outlineLvl w:val="9"/>
        <w:rPr>
          <w:rFonts w:hint="eastAsia" w:eastAsia="仿宋_GB2312"/>
          <w:b/>
          <w:bCs/>
          <w:sz w:val="32"/>
          <w:szCs w:val="32"/>
          <w:highlight w:val="none"/>
          <w:lang w:val="en-US" w:eastAsia="zh-CN"/>
        </w:rPr>
      </w:pPr>
      <w:r>
        <w:rPr>
          <w:rFonts w:hint="eastAsia" w:eastAsia="仿宋_GB2312"/>
          <w:b/>
          <w:bCs/>
          <w:sz w:val="32"/>
          <w:szCs w:val="32"/>
          <w:highlight w:val="none"/>
          <w:lang w:val="en-US" w:eastAsia="zh-CN"/>
        </w:rPr>
        <w:t>1.公共财政预算收入</w:t>
      </w:r>
    </w:p>
    <w:p>
      <w:pPr>
        <w:keepNext w:val="0"/>
        <w:keepLines w:val="0"/>
        <w:pageBreakBefore w:val="0"/>
        <w:widowControl w:val="0"/>
        <w:kinsoku/>
        <w:wordWrap/>
        <w:overflowPunct/>
        <w:topLinePunct w:val="0"/>
        <w:autoSpaceDE/>
        <w:autoSpaceDN/>
        <w:bidi w:val="0"/>
        <w:adjustRightInd/>
        <w:snapToGrid/>
        <w:spacing w:line="586" w:lineRule="exact"/>
        <w:ind w:left="0" w:leftChars="0" w:right="0" w:rightChars="0" w:firstLine="640" w:firstLineChars="200"/>
        <w:jc w:val="left"/>
        <w:textAlignment w:val="auto"/>
        <w:outlineLvl w:val="9"/>
        <w:rPr>
          <w:rFonts w:hint="eastAsia" w:eastAsia="仿宋_GB2312"/>
          <w:sz w:val="32"/>
          <w:szCs w:val="32"/>
          <w:highlight w:val="none"/>
          <w:lang w:val="en-US" w:eastAsia="zh-CN"/>
        </w:rPr>
      </w:pPr>
      <w:r>
        <w:rPr>
          <w:rFonts w:hint="eastAsia" w:eastAsia="仿宋_GB2312"/>
          <w:sz w:val="32"/>
          <w:szCs w:val="32"/>
          <w:highlight w:val="none"/>
          <w:lang w:val="en-US" w:eastAsia="zh-CN"/>
        </w:rPr>
        <w:t>2019年公共财政预算收入223483万元。其中：一般公共财政预算收入36427万元；上级补助收入</w:t>
      </w:r>
      <w:r>
        <w:rPr>
          <w:rFonts w:hint="eastAsia" w:eastAsia="仿宋_GB2312"/>
          <w:sz w:val="32"/>
          <w:szCs w:val="32"/>
          <w:highlight w:val="none"/>
          <w:u w:val="none"/>
          <w:lang w:val="en-US" w:eastAsia="zh-CN"/>
        </w:rPr>
        <w:t>145334</w:t>
      </w:r>
      <w:r>
        <w:rPr>
          <w:rFonts w:hint="eastAsia" w:eastAsia="仿宋_GB2312"/>
          <w:sz w:val="32"/>
          <w:szCs w:val="32"/>
          <w:highlight w:val="none"/>
          <w:lang w:val="en-US" w:eastAsia="zh-CN"/>
        </w:rPr>
        <w:t>万元；上年结余收入8103万元；调入资金26774万元（其中政府性基金预算调入23170万元，预算稳定调节基金调入3604万元）；地方政府性债券转贷收入6845万元。</w:t>
      </w:r>
    </w:p>
    <w:p>
      <w:pPr>
        <w:keepNext w:val="0"/>
        <w:keepLines w:val="0"/>
        <w:pageBreakBefore w:val="0"/>
        <w:widowControl w:val="0"/>
        <w:kinsoku/>
        <w:wordWrap/>
        <w:overflowPunct/>
        <w:topLinePunct w:val="0"/>
        <w:autoSpaceDE/>
        <w:autoSpaceDN/>
        <w:bidi w:val="0"/>
        <w:adjustRightInd/>
        <w:snapToGrid/>
        <w:spacing w:line="586" w:lineRule="exact"/>
        <w:ind w:left="0" w:leftChars="0" w:right="0" w:rightChars="0" w:firstLine="640" w:firstLineChars="200"/>
        <w:jc w:val="left"/>
        <w:textAlignment w:val="auto"/>
        <w:outlineLvl w:val="9"/>
        <w:rPr>
          <w:rFonts w:hint="eastAsia" w:eastAsia="仿宋_GB2312"/>
          <w:sz w:val="32"/>
          <w:szCs w:val="32"/>
          <w:highlight w:val="none"/>
          <w:lang w:val="en-US" w:eastAsia="zh-CN"/>
        </w:rPr>
      </w:pPr>
      <w:r>
        <w:rPr>
          <w:rFonts w:hint="eastAsia" w:eastAsia="仿宋_GB2312"/>
          <w:sz w:val="32"/>
          <w:szCs w:val="32"/>
          <w:highlight w:val="none"/>
          <w:lang w:val="en-US" w:eastAsia="zh-CN"/>
        </w:rPr>
        <w:t>县本级一般公共财政预算收入36427万元，其中：</w:t>
      </w:r>
    </w:p>
    <w:p>
      <w:pPr>
        <w:keepNext w:val="0"/>
        <w:keepLines w:val="0"/>
        <w:pageBreakBefore w:val="0"/>
        <w:widowControl w:val="0"/>
        <w:kinsoku/>
        <w:wordWrap/>
        <w:overflowPunct/>
        <w:topLinePunct w:val="0"/>
        <w:autoSpaceDE/>
        <w:autoSpaceDN/>
        <w:bidi w:val="0"/>
        <w:adjustRightInd/>
        <w:snapToGrid/>
        <w:spacing w:line="586" w:lineRule="exact"/>
        <w:ind w:left="0" w:leftChars="0" w:right="0" w:rightChars="0" w:firstLine="640" w:firstLineChars="200"/>
        <w:jc w:val="left"/>
        <w:textAlignment w:val="auto"/>
        <w:outlineLvl w:val="9"/>
        <w:rPr>
          <w:rFonts w:hint="eastAsia" w:eastAsia="仿宋_GB2312"/>
          <w:sz w:val="32"/>
          <w:szCs w:val="32"/>
          <w:highlight w:val="none"/>
          <w:lang w:val="en-US" w:eastAsia="zh-CN"/>
        </w:rPr>
      </w:pPr>
      <w:r>
        <w:rPr>
          <w:rFonts w:hint="eastAsia" w:eastAsia="仿宋_GB2312"/>
          <w:sz w:val="32"/>
          <w:szCs w:val="32"/>
          <w:highlight w:val="none"/>
          <w:lang w:val="en-US" w:eastAsia="zh-CN"/>
        </w:rPr>
        <w:t>税收收入20499万元，完成年初预算24483万元的83.7%，与上年执行数21304万元同比减少805万元，减少3.8%。其中：增值税7644万元，增长2%；企业所得税1169万元，减少19.6%；个人所得税386万元，减少40.5%；耕地占用税2616万元，23.6%。</w:t>
      </w:r>
    </w:p>
    <w:p>
      <w:pPr>
        <w:keepNext w:val="0"/>
        <w:keepLines w:val="0"/>
        <w:pageBreakBefore w:val="0"/>
        <w:widowControl w:val="0"/>
        <w:kinsoku/>
        <w:wordWrap/>
        <w:overflowPunct/>
        <w:topLinePunct w:val="0"/>
        <w:autoSpaceDE/>
        <w:autoSpaceDN/>
        <w:bidi w:val="0"/>
        <w:adjustRightInd/>
        <w:snapToGrid/>
        <w:spacing w:line="586" w:lineRule="exact"/>
        <w:ind w:left="0" w:leftChars="0" w:right="0" w:rightChars="0" w:firstLine="640" w:firstLineChars="200"/>
        <w:jc w:val="left"/>
        <w:textAlignment w:val="auto"/>
        <w:outlineLvl w:val="9"/>
        <w:rPr>
          <w:rFonts w:hint="eastAsia" w:eastAsia="仿宋_GB2312"/>
          <w:sz w:val="32"/>
          <w:szCs w:val="32"/>
          <w:highlight w:val="none"/>
          <w:lang w:val="en-US" w:eastAsia="zh-CN"/>
        </w:rPr>
      </w:pPr>
      <w:r>
        <w:rPr>
          <w:rFonts w:hint="eastAsia" w:eastAsia="仿宋_GB2312"/>
          <w:sz w:val="32"/>
          <w:szCs w:val="32"/>
          <w:highlight w:val="none"/>
          <w:lang w:val="en-US" w:eastAsia="zh-CN"/>
        </w:rPr>
        <w:t>非税收入15928万元，完成年初预算21880万元的72.8%，与上年执行数27653万元减少11725万元，减少42.4%。其中：专项收入1650万元，减少3.5%；国有资源（资产）有偿使用收入7991万元，减少64%；行政事业性收费收入1114万元，减少38.4%；罚没收入1447万元，增长5.6%；其它收入709万元，增长111%。</w:t>
      </w:r>
    </w:p>
    <w:p>
      <w:pPr>
        <w:keepNext w:val="0"/>
        <w:keepLines w:val="0"/>
        <w:pageBreakBefore w:val="0"/>
        <w:widowControl w:val="0"/>
        <w:kinsoku/>
        <w:wordWrap/>
        <w:overflowPunct/>
        <w:topLinePunct w:val="0"/>
        <w:autoSpaceDE/>
        <w:autoSpaceDN/>
        <w:bidi w:val="0"/>
        <w:adjustRightInd/>
        <w:snapToGrid/>
        <w:spacing w:line="586" w:lineRule="exact"/>
        <w:ind w:left="0" w:leftChars="0" w:right="0" w:rightChars="0" w:firstLine="643" w:firstLineChars="200"/>
        <w:jc w:val="left"/>
        <w:textAlignment w:val="auto"/>
        <w:outlineLvl w:val="9"/>
        <w:rPr>
          <w:rFonts w:hint="eastAsia" w:eastAsia="仿宋_GB2312"/>
          <w:b/>
          <w:bCs/>
          <w:sz w:val="32"/>
          <w:szCs w:val="32"/>
          <w:lang w:val="en-US" w:eastAsia="zh-CN"/>
        </w:rPr>
      </w:pPr>
      <w:r>
        <w:rPr>
          <w:rFonts w:hint="eastAsia" w:eastAsia="仿宋_GB2312"/>
          <w:b/>
          <w:bCs/>
          <w:sz w:val="32"/>
          <w:szCs w:val="32"/>
          <w:lang w:val="en-US" w:eastAsia="zh-CN"/>
        </w:rPr>
        <w:t>2.公共财政预算支出</w:t>
      </w:r>
    </w:p>
    <w:p>
      <w:pPr>
        <w:keepNext w:val="0"/>
        <w:keepLines w:val="0"/>
        <w:pageBreakBefore w:val="0"/>
        <w:widowControl w:val="0"/>
        <w:kinsoku/>
        <w:wordWrap/>
        <w:overflowPunct/>
        <w:topLinePunct w:val="0"/>
        <w:autoSpaceDE/>
        <w:autoSpaceDN/>
        <w:bidi w:val="0"/>
        <w:adjustRightInd/>
        <w:snapToGrid/>
        <w:spacing w:line="586" w:lineRule="exact"/>
        <w:ind w:left="0" w:leftChars="0" w:right="0" w:rightChars="0" w:firstLine="640" w:firstLineChars="200"/>
        <w:jc w:val="left"/>
        <w:textAlignment w:val="auto"/>
        <w:outlineLvl w:val="9"/>
        <w:rPr>
          <w:rFonts w:hint="eastAsia" w:eastAsia="仿宋_GB2312"/>
          <w:sz w:val="32"/>
          <w:szCs w:val="32"/>
          <w:highlight w:val="none"/>
          <w:lang w:val="en-US" w:eastAsia="zh-CN"/>
        </w:rPr>
      </w:pPr>
      <w:r>
        <w:rPr>
          <w:rFonts w:hint="eastAsia" w:eastAsia="仿宋_GB2312"/>
          <w:sz w:val="32"/>
          <w:szCs w:val="32"/>
          <w:lang w:val="en-US" w:eastAsia="zh-CN"/>
        </w:rPr>
        <w:t>2019年公共财政预算支出</w:t>
      </w:r>
      <w:r>
        <w:rPr>
          <w:rFonts w:hint="eastAsia" w:eastAsia="仿宋_GB2312"/>
          <w:sz w:val="32"/>
          <w:szCs w:val="32"/>
          <w:highlight w:val="none"/>
          <w:lang w:val="en-US" w:eastAsia="zh-CN"/>
        </w:rPr>
        <w:t>213561万元，其中：一般公共财政预算支出210282万元、专项上解支出1162万元、一般债务还本支出1851万元、安排预算稳定调节基金266万元。</w:t>
      </w:r>
    </w:p>
    <w:p>
      <w:pPr>
        <w:keepNext w:val="0"/>
        <w:keepLines w:val="0"/>
        <w:pageBreakBefore w:val="0"/>
        <w:widowControl w:val="0"/>
        <w:kinsoku/>
        <w:wordWrap/>
        <w:overflowPunct/>
        <w:topLinePunct w:val="0"/>
        <w:autoSpaceDE/>
        <w:autoSpaceDN/>
        <w:bidi w:val="0"/>
        <w:adjustRightInd/>
        <w:snapToGrid/>
        <w:spacing w:line="586" w:lineRule="exact"/>
        <w:ind w:left="0" w:leftChars="0" w:right="0" w:rightChars="0" w:firstLine="643" w:firstLineChars="200"/>
        <w:jc w:val="left"/>
        <w:textAlignment w:val="auto"/>
        <w:outlineLvl w:val="9"/>
        <w:rPr>
          <w:rFonts w:hint="eastAsia" w:eastAsia="仿宋_GB2312"/>
          <w:b/>
          <w:bCs/>
          <w:sz w:val="32"/>
          <w:szCs w:val="32"/>
          <w:highlight w:val="none"/>
          <w:lang w:val="en-US" w:eastAsia="zh-CN"/>
        </w:rPr>
      </w:pPr>
      <w:r>
        <w:rPr>
          <w:rFonts w:hint="eastAsia" w:eastAsia="仿宋_GB2312"/>
          <w:b/>
          <w:bCs/>
          <w:sz w:val="32"/>
          <w:szCs w:val="32"/>
          <w:highlight w:val="none"/>
          <w:lang w:val="en-US" w:eastAsia="zh-CN"/>
        </w:rPr>
        <w:t>3、总预备费安排使用情况</w:t>
      </w:r>
    </w:p>
    <w:p>
      <w:pPr>
        <w:keepNext w:val="0"/>
        <w:keepLines w:val="0"/>
        <w:pageBreakBefore w:val="0"/>
        <w:widowControl w:val="0"/>
        <w:kinsoku/>
        <w:wordWrap/>
        <w:overflowPunct/>
        <w:topLinePunct w:val="0"/>
        <w:autoSpaceDE/>
        <w:autoSpaceDN/>
        <w:bidi w:val="0"/>
        <w:adjustRightInd/>
        <w:snapToGrid/>
        <w:spacing w:line="586" w:lineRule="exact"/>
        <w:ind w:left="0" w:leftChars="0" w:right="0" w:rightChars="0" w:firstLine="640" w:firstLineChars="200"/>
        <w:jc w:val="left"/>
        <w:textAlignment w:val="auto"/>
        <w:outlineLvl w:val="9"/>
        <w:rPr>
          <w:rFonts w:hint="eastAsia" w:eastAsia="仿宋_GB2312"/>
          <w:sz w:val="32"/>
          <w:szCs w:val="32"/>
          <w:highlight w:val="none"/>
          <w:lang w:val="en-US" w:eastAsia="zh-CN"/>
        </w:rPr>
      </w:pPr>
      <w:r>
        <w:rPr>
          <w:rFonts w:hint="eastAsia" w:eastAsia="仿宋_GB2312"/>
          <w:sz w:val="32"/>
          <w:szCs w:val="32"/>
          <w:highlight w:val="none"/>
          <w:lang w:val="en-US" w:eastAsia="zh-CN"/>
        </w:rPr>
        <w:t>2019年县本级预算安排总预备费2000万元，由于刚性支出增加,已全部用于平衡预算，分散在各支出科目中。</w:t>
      </w:r>
    </w:p>
    <w:p>
      <w:pPr>
        <w:keepNext w:val="0"/>
        <w:keepLines w:val="0"/>
        <w:pageBreakBefore w:val="0"/>
        <w:widowControl w:val="0"/>
        <w:kinsoku/>
        <w:wordWrap/>
        <w:overflowPunct/>
        <w:topLinePunct w:val="0"/>
        <w:autoSpaceDE/>
        <w:autoSpaceDN/>
        <w:bidi w:val="0"/>
        <w:adjustRightInd/>
        <w:snapToGrid/>
        <w:spacing w:line="586" w:lineRule="exact"/>
        <w:ind w:left="0" w:leftChars="0" w:right="0" w:rightChars="0" w:firstLine="643" w:firstLineChars="200"/>
        <w:jc w:val="left"/>
        <w:textAlignment w:val="auto"/>
        <w:outlineLvl w:val="9"/>
        <w:rPr>
          <w:rFonts w:hint="eastAsia" w:eastAsia="仿宋_GB2312"/>
          <w:b/>
          <w:bCs/>
          <w:sz w:val="32"/>
          <w:szCs w:val="32"/>
          <w:highlight w:val="none"/>
          <w:lang w:val="en-US" w:eastAsia="zh-CN"/>
        </w:rPr>
      </w:pPr>
      <w:r>
        <w:rPr>
          <w:rFonts w:hint="eastAsia" w:ascii="楷体_GB2312" w:hAnsi="楷体_GB2312" w:eastAsia="楷体_GB2312" w:cs="楷体_GB2312"/>
          <w:b/>
          <w:bCs/>
          <w:sz w:val="32"/>
          <w:szCs w:val="32"/>
          <w:highlight w:val="none"/>
          <w:lang w:val="en-US" w:eastAsia="zh-CN"/>
        </w:rPr>
        <w:t>（二）政府性基金预算执行情况</w:t>
      </w:r>
    </w:p>
    <w:p>
      <w:pPr>
        <w:keepNext w:val="0"/>
        <w:keepLines w:val="0"/>
        <w:pageBreakBefore w:val="0"/>
        <w:widowControl w:val="0"/>
        <w:kinsoku/>
        <w:wordWrap/>
        <w:overflowPunct/>
        <w:topLinePunct w:val="0"/>
        <w:autoSpaceDE/>
        <w:autoSpaceDN/>
        <w:bidi w:val="0"/>
        <w:adjustRightInd/>
        <w:snapToGrid/>
        <w:spacing w:line="586" w:lineRule="exact"/>
        <w:ind w:left="0" w:leftChars="0" w:right="0" w:rightChars="0" w:firstLine="640" w:firstLineChars="200"/>
        <w:jc w:val="left"/>
        <w:textAlignment w:val="auto"/>
        <w:outlineLvl w:val="9"/>
        <w:rPr>
          <w:rFonts w:hint="eastAsia" w:eastAsia="仿宋_GB2312"/>
          <w:sz w:val="32"/>
          <w:szCs w:val="32"/>
          <w:highlight w:val="none"/>
          <w:lang w:val="en-US" w:eastAsia="zh-CN"/>
        </w:rPr>
      </w:pPr>
      <w:r>
        <w:rPr>
          <w:rFonts w:hint="eastAsia" w:eastAsia="仿宋_GB2312"/>
          <w:sz w:val="32"/>
          <w:szCs w:val="32"/>
          <w:highlight w:val="none"/>
          <w:lang w:val="en-US" w:eastAsia="zh-CN"/>
        </w:rPr>
        <w:t>政府性基金总收入54306万元，其中：当年基金收入24711万元，完成年初预算的41%，同比增长24.5%；上年结余收入2871万元；上级补助收入1724万元；地方政府专项债务转贷收入25000万元。</w:t>
      </w:r>
    </w:p>
    <w:p>
      <w:pPr>
        <w:keepNext w:val="0"/>
        <w:keepLines w:val="0"/>
        <w:pageBreakBefore w:val="0"/>
        <w:widowControl w:val="0"/>
        <w:kinsoku/>
        <w:wordWrap/>
        <w:overflowPunct/>
        <w:topLinePunct w:val="0"/>
        <w:autoSpaceDE/>
        <w:autoSpaceDN/>
        <w:bidi w:val="0"/>
        <w:adjustRightInd/>
        <w:snapToGrid/>
        <w:spacing w:line="586" w:lineRule="exact"/>
        <w:ind w:left="0" w:leftChars="0" w:right="0" w:rightChars="0" w:firstLine="640" w:firstLineChars="200"/>
        <w:jc w:val="left"/>
        <w:textAlignment w:val="auto"/>
        <w:outlineLvl w:val="9"/>
        <w:rPr>
          <w:rFonts w:hint="eastAsia" w:eastAsia="仿宋_GB2312"/>
          <w:sz w:val="32"/>
          <w:szCs w:val="32"/>
          <w:highlight w:val="none"/>
          <w:lang w:val="en-US" w:eastAsia="zh-CN"/>
        </w:rPr>
      </w:pPr>
      <w:r>
        <w:rPr>
          <w:rFonts w:hint="eastAsia" w:eastAsia="仿宋_GB2312"/>
          <w:sz w:val="32"/>
          <w:szCs w:val="32"/>
          <w:highlight w:val="none"/>
          <w:lang w:val="en-US" w:eastAsia="zh-CN"/>
        </w:rPr>
        <w:t>政府性基金支出51136万元，其中：当年基金支出27966万元，完成年初预算的234.7%，同比增长101%；调出资金23170万元。收支相抵，年终滚存结余3170万元。</w:t>
      </w:r>
    </w:p>
    <w:p>
      <w:pPr>
        <w:keepNext w:val="0"/>
        <w:keepLines w:val="0"/>
        <w:pageBreakBefore w:val="0"/>
        <w:widowControl w:val="0"/>
        <w:kinsoku/>
        <w:wordWrap/>
        <w:overflowPunct/>
        <w:topLinePunct w:val="0"/>
        <w:autoSpaceDE/>
        <w:autoSpaceDN/>
        <w:bidi w:val="0"/>
        <w:adjustRightInd/>
        <w:snapToGrid/>
        <w:spacing w:line="586" w:lineRule="exact"/>
        <w:ind w:left="0" w:leftChars="0" w:right="0" w:rightChars="0" w:firstLine="643" w:firstLineChars="200"/>
        <w:jc w:val="left"/>
        <w:textAlignment w:val="auto"/>
        <w:outlineLvl w:val="9"/>
        <w:rPr>
          <w:rFonts w:hint="eastAsia" w:ascii="楷体_GB2312" w:hAnsi="楷体_GB2312" w:eastAsia="楷体_GB2312" w:cs="楷体_GB2312"/>
          <w:b/>
          <w:bCs/>
          <w:sz w:val="32"/>
          <w:szCs w:val="32"/>
          <w:highlight w:val="none"/>
          <w:lang w:val="en-US" w:eastAsia="zh-CN"/>
        </w:rPr>
      </w:pPr>
      <w:r>
        <w:rPr>
          <w:rFonts w:hint="eastAsia" w:ascii="楷体_GB2312" w:hAnsi="楷体_GB2312" w:eastAsia="楷体_GB2312" w:cs="楷体_GB2312"/>
          <w:b/>
          <w:bCs/>
          <w:sz w:val="32"/>
          <w:szCs w:val="32"/>
          <w:highlight w:val="none"/>
          <w:lang w:val="en-US" w:eastAsia="zh-CN"/>
        </w:rPr>
        <w:t>（三）社会保险基金预算执行情况</w:t>
      </w:r>
    </w:p>
    <w:p>
      <w:pPr>
        <w:keepNext w:val="0"/>
        <w:keepLines w:val="0"/>
        <w:pageBreakBefore w:val="0"/>
        <w:widowControl w:val="0"/>
        <w:kinsoku/>
        <w:wordWrap/>
        <w:overflowPunct/>
        <w:topLinePunct w:val="0"/>
        <w:autoSpaceDE/>
        <w:autoSpaceDN/>
        <w:bidi w:val="0"/>
        <w:adjustRightInd/>
        <w:snapToGrid/>
        <w:spacing w:line="586" w:lineRule="exact"/>
        <w:ind w:left="0" w:leftChars="0" w:right="0" w:rightChars="0" w:firstLine="640" w:firstLineChars="200"/>
        <w:jc w:val="left"/>
        <w:textAlignment w:val="auto"/>
        <w:outlineLvl w:val="9"/>
        <w:rPr>
          <w:rFonts w:hint="eastAsia" w:eastAsia="仿宋_GB2312"/>
          <w:sz w:val="32"/>
          <w:szCs w:val="32"/>
          <w:highlight w:val="none"/>
          <w:lang w:val="en-US" w:eastAsia="zh-CN"/>
        </w:rPr>
      </w:pPr>
      <w:r>
        <w:rPr>
          <w:rFonts w:hint="eastAsia" w:eastAsia="仿宋_GB2312"/>
          <w:sz w:val="32"/>
          <w:szCs w:val="32"/>
          <w:highlight w:val="none"/>
          <w:lang w:val="en-US" w:eastAsia="zh-CN"/>
        </w:rPr>
        <w:t>社会保险2项基金收入合计24404万元，完成预算的95%，减少1%。其中：城乡居民基本养老保险基金收入8247万元，完成预算102%，增加16%；机关事业单位基本养老保险基金收入16157万元，完成预算91%，减少9%。</w:t>
      </w:r>
    </w:p>
    <w:p>
      <w:pPr>
        <w:keepNext w:val="0"/>
        <w:keepLines w:val="0"/>
        <w:pageBreakBefore w:val="0"/>
        <w:widowControl w:val="0"/>
        <w:kinsoku/>
        <w:wordWrap/>
        <w:overflowPunct/>
        <w:topLinePunct w:val="0"/>
        <w:autoSpaceDE/>
        <w:autoSpaceDN/>
        <w:bidi w:val="0"/>
        <w:adjustRightInd/>
        <w:snapToGrid/>
        <w:spacing w:line="586" w:lineRule="exact"/>
        <w:ind w:left="0" w:leftChars="0" w:right="0" w:rightChars="0" w:firstLine="640" w:firstLineChars="200"/>
        <w:jc w:val="left"/>
        <w:textAlignment w:val="auto"/>
        <w:outlineLvl w:val="9"/>
        <w:rPr>
          <w:rFonts w:hint="eastAsia" w:eastAsia="仿宋_GB2312"/>
          <w:sz w:val="32"/>
          <w:szCs w:val="32"/>
          <w:highlight w:val="none"/>
          <w:lang w:val="en-US" w:eastAsia="zh-CN"/>
        </w:rPr>
      </w:pPr>
      <w:r>
        <w:rPr>
          <w:rFonts w:hint="eastAsia" w:eastAsia="仿宋_GB2312"/>
          <w:sz w:val="32"/>
          <w:szCs w:val="32"/>
          <w:highlight w:val="none"/>
          <w:lang w:val="en-US" w:eastAsia="zh-CN"/>
        </w:rPr>
        <w:t>2019年全县社会保险2项基金支出合计23172万元，完成预算的103%，增长17%，其中：城乡居民基本养老保险基金支出6475万元，完成预算100%，增长3%；机关事业单位基本养老保险基金支出16698万元，完成预算105%，增长24%。</w:t>
      </w:r>
    </w:p>
    <w:p>
      <w:pPr>
        <w:keepNext w:val="0"/>
        <w:keepLines w:val="0"/>
        <w:pageBreakBefore w:val="0"/>
        <w:widowControl w:val="0"/>
        <w:kinsoku/>
        <w:wordWrap/>
        <w:overflowPunct/>
        <w:topLinePunct w:val="0"/>
        <w:autoSpaceDE/>
        <w:autoSpaceDN/>
        <w:bidi w:val="0"/>
        <w:adjustRightInd/>
        <w:snapToGrid/>
        <w:spacing w:line="586" w:lineRule="exact"/>
        <w:ind w:left="0" w:leftChars="0" w:right="0" w:rightChars="0" w:firstLine="640" w:firstLineChars="200"/>
        <w:jc w:val="left"/>
        <w:textAlignment w:val="auto"/>
        <w:outlineLvl w:val="9"/>
        <w:rPr>
          <w:rFonts w:hint="eastAsia" w:eastAsia="仿宋_GB2312"/>
          <w:sz w:val="32"/>
          <w:szCs w:val="32"/>
          <w:highlight w:val="none"/>
          <w:lang w:val="en-US" w:eastAsia="zh-CN"/>
        </w:rPr>
      </w:pPr>
      <w:r>
        <w:rPr>
          <w:rFonts w:hint="eastAsia" w:eastAsia="仿宋_GB2312"/>
          <w:sz w:val="32"/>
          <w:szCs w:val="32"/>
          <w:highlight w:val="none"/>
          <w:lang w:val="en-US" w:eastAsia="zh-CN"/>
        </w:rPr>
        <w:t>收支相抵，当年收支实现平衡并结余1232万元，年终滚存结余21717万元，其中：城乡居民基本养老保险基金结余11059万元；机关事业单位基本养老保险基金结余10658万元。</w:t>
      </w:r>
    </w:p>
    <w:p>
      <w:pPr>
        <w:keepNext w:val="0"/>
        <w:keepLines w:val="0"/>
        <w:pageBreakBefore w:val="0"/>
        <w:widowControl w:val="0"/>
        <w:kinsoku/>
        <w:wordWrap/>
        <w:overflowPunct/>
        <w:topLinePunct w:val="0"/>
        <w:autoSpaceDE/>
        <w:autoSpaceDN/>
        <w:bidi w:val="0"/>
        <w:adjustRightInd/>
        <w:snapToGrid/>
        <w:spacing w:line="586" w:lineRule="exact"/>
        <w:ind w:left="0" w:leftChars="0" w:right="0" w:rightChars="0" w:firstLine="643" w:firstLineChars="200"/>
        <w:jc w:val="left"/>
        <w:textAlignment w:val="auto"/>
        <w:outlineLvl w:val="9"/>
        <w:rPr>
          <w:rFonts w:hint="eastAsia" w:ascii="楷体_GB2312" w:hAnsi="楷体_GB2312" w:eastAsia="楷体_GB2312" w:cs="楷体_GB2312"/>
          <w:b/>
          <w:bCs/>
          <w:sz w:val="32"/>
          <w:szCs w:val="32"/>
          <w:highlight w:val="none"/>
          <w:lang w:val="en-US" w:eastAsia="zh-CN"/>
        </w:rPr>
      </w:pPr>
      <w:r>
        <w:rPr>
          <w:rFonts w:hint="eastAsia" w:ascii="楷体_GB2312" w:hAnsi="楷体_GB2312" w:eastAsia="楷体_GB2312" w:cs="楷体_GB2312"/>
          <w:b/>
          <w:bCs/>
          <w:sz w:val="32"/>
          <w:szCs w:val="32"/>
          <w:highlight w:val="none"/>
          <w:lang w:val="en-US" w:eastAsia="zh-CN"/>
        </w:rPr>
        <w:t>（四）全县债务情况</w:t>
      </w:r>
    </w:p>
    <w:p>
      <w:pPr>
        <w:numPr>
          <w:ilvl w:val="0"/>
          <w:numId w:val="0"/>
        </w:numPr>
        <w:rPr>
          <w:rFonts w:hint="eastAsia"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　　</w:t>
      </w:r>
      <w:r>
        <w:rPr>
          <w:rFonts w:hint="eastAsia" w:ascii="Times New Roman" w:hAnsi="Times New Roman" w:eastAsia="仿宋_GB2312" w:cs="Times New Roman"/>
          <w:sz w:val="32"/>
          <w:szCs w:val="32"/>
          <w:lang w:val="en-US" w:eastAsia="zh-CN"/>
        </w:rPr>
        <w:t>地方政府性债务余额（政府债务系统内债务余额）。经自治区财政厅核准，我县政府债务限额为116400万元，其中一般债务73300万元，专项债务43100万元。截至2019年12月31日，我县政府债务余额112573.68万元，其中政府一般债务70103.68万元，专项债务42470万元。政府债务余额控制在政府债务限额以内。</w:t>
      </w:r>
      <w:r>
        <w:rPr>
          <w:rFonts w:ascii="宋体" w:hAnsi="宋体" w:eastAsia="宋体" w:cs="宋体"/>
          <w:sz w:val="24"/>
          <w:szCs w:val="24"/>
        </w:rPr>
        <w:br w:type="textWrapping"/>
      </w:r>
      <w:r>
        <w:rPr>
          <w:rFonts w:hint="eastAsia" w:ascii="宋体" w:hAnsi="宋体" w:cs="宋体"/>
          <w:sz w:val="24"/>
          <w:szCs w:val="24"/>
          <w:lang w:eastAsia="zh-CN"/>
        </w:rPr>
        <w:t>　　　</w:t>
      </w:r>
      <w:r>
        <w:rPr>
          <w:rFonts w:hint="eastAsia" w:ascii="Times New Roman" w:hAnsi="Times New Roman" w:eastAsia="仿宋_GB2312" w:cs="Times New Roman"/>
          <w:sz w:val="32"/>
          <w:szCs w:val="32"/>
        </w:rPr>
        <w:t>201</w:t>
      </w:r>
      <w:r>
        <w:rPr>
          <w:rFonts w:hint="eastAsia" w:ascii="Times New Roman" w:hAnsi="Times New Roman" w:eastAsia="仿宋_GB2312" w:cs="Times New Roman"/>
          <w:sz w:val="32"/>
          <w:szCs w:val="32"/>
          <w:lang w:val="en-US" w:eastAsia="zh-CN"/>
        </w:rPr>
        <w:t>9</w:t>
      </w:r>
      <w:r>
        <w:rPr>
          <w:rFonts w:hint="eastAsia" w:ascii="Times New Roman" w:hAnsi="Times New Roman" w:eastAsia="仿宋_GB2312" w:cs="Times New Roman"/>
          <w:sz w:val="32"/>
          <w:szCs w:val="32"/>
        </w:rPr>
        <w:t>年自治区财政厅下达我县201</w:t>
      </w:r>
      <w:r>
        <w:rPr>
          <w:rFonts w:hint="eastAsia" w:ascii="Times New Roman" w:hAnsi="Times New Roman" w:eastAsia="仿宋_GB2312" w:cs="Times New Roman"/>
          <w:sz w:val="32"/>
          <w:szCs w:val="32"/>
          <w:lang w:val="en-US" w:eastAsia="zh-CN"/>
        </w:rPr>
        <w:t>9</w:t>
      </w:r>
      <w:r>
        <w:rPr>
          <w:rFonts w:hint="eastAsia" w:ascii="Times New Roman" w:hAnsi="Times New Roman" w:eastAsia="仿宋_GB2312" w:cs="Times New Roman"/>
          <w:sz w:val="32"/>
          <w:szCs w:val="32"/>
        </w:rPr>
        <w:t>年新增债券资金</w:t>
      </w:r>
      <w:r>
        <w:rPr>
          <w:rFonts w:hint="eastAsia" w:ascii="Times New Roman" w:hAnsi="Times New Roman" w:eastAsia="仿宋_GB2312" w:cs="Times New Roman"/>
          <w:sz w:val="32"/>
          <w:szCs w:val="32"/>
          <w:lang w:val="en-US" w:eastAsia="zh-CN"/>
        </w:rPr>
        <w:t>31845</w:t>
      </w:r>
      <w:r>
        <w:rPr>
          <w:rFonts w:hint="eastAsia" w:ascii="Times New Roman" w:hAnsi="Times New Roman" w:eastAsia="仿宋_GB2312" w:cs="Times New Roman"/>
          <w:sz w:val="32"/>
          <w:szCs w:val="32"/>
        </w:rPr>
        <w:t>万元, 其中：</w:t>
      </w:r>
      <w:r>
        <w:rPr>
          <w:rFonts w:hint="eastAsia" w:ascii="Times New Roman" w:hAnsi="Times New Roman" w:eastAsia="仿宋_GB2312" w:cs="Times New Roman"/>
          <w:sz w:val="32"/>
          <w:szCs w:val="32"/>
          <w:lang w:eastAsia="zh-CN"/>
        </w:rPr>
        <w:t>再融资债券</w:t>
      </w:r>
      <w:r>
        <w:rPr>
          <w:rFonts w:hint="eastAsia" w:ascii="Times New Roman" w:hAnsi="Times New Roman" w:eastAsia="仿宋_GB2312" w:cs="Times New Roman"/>
          <w:sz w:val="32"/>
          <w:szCs w:val="32"/>
          <w:lang w:val="en-US" w:eastAsia="zh-CN"/>
        </w:rPr>
        <w:t>1400万元，用于偿还2016年地方政府债券到期本金；新增一般债券5445万元，其中：1645万元</w:t>
      </w:r>
      <w:r>
        <w:rPr>
          <w:rFonts w:hint="eastAsia" w:ascii="Times New Roman" w:hAnsi="Times New Roman" w:eastAsia="仿宋_GB2312" w:cs="Times New Roman"/>
          <w:sz w:val="32"/>
          <w:szCs w:val="32"/>
        </w:rPr>
        <w:t>专项用于脱贫攻坚易地扶贫</w:t>
      </w:r>
      <w:r>
        <w:rPr>
          <w:rFonts w:hint="eastAsia" w:ascii="Times New Roman" w:hAnsi="Times New Roman" w:eastAsia="仿宋_GB2312" w:cs="Times New Roman"/>
          <w:sz w:val="32"/>
          <w:szCs w:val="32"/>
          <w:lang w:eastAsia="zh-CN"/>
        </w:rPr>
        <w:t>搬迁</w:t>
      </w:r>
      <w:r>
        <w:rPr>
          <w:rFonts w:hint="eastAsia" w:ascii="Times New Roman" w:hAnsi="Times New Roman" w:eastAsia="仿宋_GB2312" w:cs="Times New Roman"/>
          <w:sz w:val="32"/>
          <w:szCs w:val="32"/>
        </w:rPr>
        <w:t>项目</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按照我县公益性资本支出需要及债务风险情况，</w:t>
      </w:r>
      <w:r>
        <w:rPr>
          <w:rFonts w:hint="eastAsia" w:ascii="Times New Roman" w:hAnsi="Times New Roman" w:eastAsia="仿宋_GB2312" w:cs="Times New Roman"/>
          <w:sz w:val="32"/>
          <w:szCs w:val="32"/>
          <w:lang w:eastAsia="zh-CN"/>
        </w:rPr>
        <w:t>剩余</w:t>
      </w:r>
      <w:r>
        <w:rPr>
          <w:rFonts w:hint="eastAsia" w:ascii="Times New Roman" w:hAnsi="Times New Roman" w:eastAsia="仿宋_GB2312" w:cs="Times New Roman"/>
          <w:sz w:val="32"/>
          <w:szCs w:val="32"/>
          <w:lang w:val="en-US" w:eastAsia="zh-CN"/>
        </w:rPr>
        <w:t>3800万元</w:t>
      </w:r>
      <w:r>
        <w:rPr>
          <w:rFonts w:hint="eastAsia" w:ascii="Times New Roman" w:hAnsi="Times New Roman" w:eastAsia="仿宋_GB2312" w:cs="Times New Roman"/>
          <w:sz w:val="32"/>
          <w:szCs w:val="32"/>
        </w:rPr>
        <w:t>债券资金主要用于</w:t>
      </w:r>
      <w:r>
        <w:rPr>
          <w:rFonts w:hint="eastAsia" w:ascii="Times New Roman" w:hAnsi="Times New Roman" w:eastAsia="仿宋_GB2312" w:cs="Times New Roman"/>
          <w:sz w:val="32"/>
          <w:szCs w:val="32"/>
          <w:lang w:eastAsia="zh-CN"/>
        </w:rPr>
        <w:t>城镇基础设施</w:t>
      </w:r>
      <w:r>
        <w:rPr>
          <w:rFonts w:hint="eastAsia" w:ascii="Times New Roman" w:hAnsi="Times New Roman" w:eastAsia="仿宋_GB2312" w:cs="Times New Roman"/>
          <w:sz w:val="32"/>
          <w:szCs w:val="32"/>
        </w:rPr>
        <w:t>建设</w:t>
      </w:r>
      <w:r>
        <w:rPr>
          <w:rFonts w:hint="eastAsia" w:ascii="Times New Roman" w:hAnsi="Times New Roman" w:eastAsia="仿宋_GB2312" w:cs="Times New Roman"/>
          <w:sz w:val="32"/>
          <w:szCs w:val="32"/>
          <w:lang w:val="en-US" w:eastAsia="zh-CN"/>
        </w:rPr>
        <w:t>1700万元</w:t>
      </w:r>
      <w:r>
        <w:rPr>
          <w:rFonts w:hint="eastAsia" w:ascii="Times New Roman" w:hAnsi="Times New Roman" w:eastAsia="仿宋_GB2312" w:cs="Times New Roman"/>
          <w:sz w:val="32"/>
          <w:szCs w:val="32"/>
        </w:rPr>
        <w:t>、交通道路建设</w:t>
      </w:r>
      <w:r>
        <w:rPr>
          <w:rFonts w:hint="eastAsia" w:ascii="Times New Roman" w:hAnsi="Times New Roman" w:eastAsia="仿宋_GB2312" w:cs="Times New Roman"/>
          <w:sz w:val="32"/>
          <w:szCs w:val="32"/>
          <w:lang w:val="en-US" w:eastAsia="zh-CN"/>
        </w:rPr>
        <w:t>1800万元</w:t>
      </w:r>
      <w:r>
        <w:rPr>
          <w:rFonts w:hint="eastAsia"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彩调剧院项目</w:t>
      </w:r>
      <w:r>
        <w:rPr>
          <w:rFonts w:hint="eastAsia" w:ascii="Times New Roman" w:hAnsi="Times New Roman" w:eastAsia="仿宋_GB2312" w:cs="Times New Roman"/>
          <w:sz w:val="32"/>
          <w:szCs w:val="32"/>
          <w:lang w:val="en-US" w:eastAsia="zh-CN"/>
        </w:rPr>
        <w:t>300万元</w:t>
      </w:r>
      <w:r>
        <w:rPr>
          <w:rFonts w:hint="eastAsia" w:ascii="Times New Roman" w:hAnsi="Times New Roman" w:eastAsia="仿宋_GB2312" w:cs="Times New Roman"/>
          <w:sz w:val="32"/>
          <w:szCs w:val="32"/>
        </w:rPr>
        <w:t>等</w:t>
      </w:r>
      <w:r>
        <w:rPr>
          <w:rFonts w:hint="eastAsia" w:ascii="Times New Roman" w:hAnsi="Times New Roman" w:eastAsia="仿宋_GB2312" w:cs="Times New Roman"/>
          <w:sz w:val="32"/>
          <w:szCs w:val="32"/>
          <w:lang w:eastAsia="zh-CN"/>
        </w:rPr>
        <w:t>；棚户区改造专项债券</w:t>
      </w:r>
      <w:r>
        <w:rPr>
          <w:rFonts w:hint="eastAsia" w:ascii="Times New Roman" w:hAnsi="Times New Roman" w:eastAsia="仿宋_GB2312" w:cs="Times New Roman"/>
          <w:sz w:val="32"/>
          <w:szCs w:val="32"/>
          <w:lang w:val="en-US" w:eastAsia="zh-CN"/>
        </w:rPr>
        <w:t>25000万元，其中：永福县十字街棚户区改造项目7200万元，永福县县城棚户区改造项目17800万元</w:t>
      </w:r>
    </w:p>
    <w:p>
      <w:pPr>
        <w:numPr>
          <w:ilvl w:val="0"/>
          <w:numId w:val="1"/>
        </w:numPr>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融资公司债务余额。截至2019年12月31日，我县福兴城投公司、福弘投资公司、经济建设投资公司贷款余额合计为76242.12万元，其中：福兴城投公司易地扶贫搬迁贷款余额37552.12万元、城投公司平滑基金余额11000万元、福弘公司城镇基础设施建设贷款余额14500万元、经济建设投资公司棚户区改造贷款余额13190万元。</w:t>
      </w:r>
    </w:p>
    <w:p>
      <w:pPr>
        <w:keepNext w:val="0"/>
        <w:keepLines w:val="0"/>
        <w:pageBreakBefore w:val="0"/>
        <w:widowControl w:val="0"/>
        <w:numPr>
          <w:ilvl w:val="0"/>
          <w:numId w:val="2"/>
        </w:numPr>
        <w:kinsoku/>
        <w:wordWrap/>
        <w:overflowPunct/>
        <w:topLinePunct w:val="0"/>
        <w:autoSpaceDE/>
        <w:autoSpaceDN/>
        <w:bidi w:val="0"/>
        <w:adjustRightInd/>
        <w:snapToGrid/>
        <w:spacing w:line="586" w:lineRule="exact"/>
        <w:ind w:left="0" w:leftChars="0" w:right="0" w:rightChars="0" w:firstLine="643" w:firstLineChars="200"/>
        <w:jc w:val="left"/>
        <w:textAlignment w:val="auto"/>
        <w:outlineLvl w:val="9"/>
        <w:rPr>
          <w:rFonts w:hint="eastAsia" w:ascii="楷体_GB2312" w:hAnsi="楷体_GB2312" w:eastAsia="楷体_GB2312" w:cs="楷体_GB2312"/>
          <w:b/>
          <w:bCs/>
          <w:sz w:val="32"/>
          <w:szCs w:val="32"/>
          <w:highlight w:val="none"/>
          <w:lang w:val="en-US" w:eastAsia="zh-CN"/>
        </w:rPr>
      </w:pPr>
      <w:r>
        <w:rPr>
          <w:rFonts w:hint="eastAsia" w:ascii="楷体_GB2312" w:hAnsi="楷体_GB2312" w:eastAsia="楷体_GB2312" w:cs="楷体_GB2312"/>
          <w:b/>
          <w:bCs/>
          <w:sz w:val="32"/>
          <w:szCs w:val="32"/>
          <w:highlight w:val="none"/>
          <w:lang w:val="en-US" w:eastAsia="zh-CN"/>
        </w:rPr>
        <w:t>落实县人大预算决议及财政重点工作情况</w:t>
      </w:r>
    </w:p>
    <w:p>
      <w:pPr>
        <w:keepNext w:val="0"/>
        <w:keepLines w:val="0"/>
        <w:pageBreakBefore w:val="0"/>
        <w:widowControl w:val="0"/>
        <w:kinsoku/>
        <w:wordWrap/>
        <w:overflowPunct/>
        <w:topLinePunct w:val="0"/>
        <w:autoSpaceDE/>
        <w:autoSpaceDN/>
        <w:bidi w:val="0"/>
        <w:adjustRightInd/>
        <w:snapToGrid/>
        <w:spacing w:line="586" w:lineRule="exact"/>
        <w:ind w:left="0" w:leftChars="0" w:right="0" w:rightChars="0" w:firstLine="643" w:firstLineChars="200"/>
        <w:jc w:val="left"/>
        <w:textAlignment w:val="auto"/>
        <w:outlineLvl w:val="9"/>
        <w:rPr>
          <w:rFonts w:hint="eastAsia" w:eastAsia="仿宋_GB2312"/>
          <w:sz w:val="32"/>
          <w:szCs w:val="32"/>
          <w:lang w:val="en-US" w:eastAsia="zh-CN"/>
        </w:rPr>
      </w:pPr>
      <w:r>
        <w:rPr>
          <w:rFonts w:hint="eastAsia" w:ascii="楷体_GB2312" w:hAnsi="楷体_GB2312" w:eastAsia="楷体_GB2312" w:cs="楷体_GB2312"/>
          <w:b/>
          <w:bCs/>
          <w:sz w:val="32"/>
          <w:szCs w:val="32"/>
          <w:lang w:val="en-US" w:eastAsia="zh-CN"/>
        </w:rPr>
        <w:t>　一、落实减税降费政策，抓好财税收入征管。</w:t>
      </w:r>
      <w:r>
        <w:rPr>
          <w:rFonts w:hint="eastAsia" w:eastAsia="仿宋_GB2312"/>
          <w:sz w:val="32"/>
          <w:szCs w:val="32"/>
          <w:lang w:val="en-US" w:eastAsia="zh-CN"/>
        </w:rPr>
        <w:t>财税部门积极落实党中央国务院关于减税降费的决策部署，全县因减税降费力度的不断加大，减少组织收入</w:t>
      </w:r>
      <w:r>
        <w:rPr>
          <w:rFonts w:hint="eastAsia" w:eastAsia="仿宋_GB2312"/>
          <w:sz w:val="32"/>
          <w:szCs w:val="32"/>
          <w:highlight w:val="none"/>
          <w:lang w:val="en-US" w:eastAsia="zh-CN"/>
        </w:rPr>
        <w:t>7061万</w:t>
      </w:r>
      <w:r>
        <w:rPr>
          <w:rFonts w:hint="eastAsia" w:eastAsia="仿宋_GB2312"/>
          <w:sz w:val="32"/>
          <w:szCs w:val="32"/>
          <w:lang w:val="en-US" w:eastAsia="zh-CN"/>
        </w:rPr>
        <w:t>元。一年来，我县税务部门依法依规加大组织税费收入力度，综合运用挖掘增量税源、清缴陈欠税款、打击虚开骗税等措施，尽最大努力克服减收因素影响，财政部门也不断加大对国有资源有偿使用收入及专项收入清查力度，确保政府非税收入依法依规及时足额入库。</w:t>
      </w:r>
    </w:p>
    <w:p>
      <w:pPr>
        <w:keepNext w:val="0"/>
        <w:keepLines w:val="0"/>
        <w:pageBreakBefore w:val="0"/>
        <w:widowControl w:val="0"/>
        <w:numPr>
          <w:ilvl w:val="0"/>
          <w:numId w:val="0"/>
        </w:numPr>
        <w:kinsoku/>
        <w:wordWrap/>
        <w:overflowPunct/>
        <w:topLinePunct w:val="0"/>
        <w:autoSpaceDE/>
        <w:autoSpaceDN/>
        <w:bidi w:val="0"/>
        <w:adjustRightInd/>
        <w:snapToGrid/>
        <w:spacing w:line="586" w:lineRule="exact"/>
        <w:ind w:leftChars="200" w:right="0" w:rightChars="0"/>
        <w:jc w:val="left"/>
        <w:textAlignment w:val="auto"/>
        <w:outlineLvl w:val="9"/>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　二、突出“三保”重点，保障民生支出，助力地方经济建设。</w:t>
      </w:r>
    </w:p>
    <w:p>
      <w:pPr>
        <w:keepNext w:val="0"/>
        <w:keepLines w:val="0"/>
        <w:pageBreakBefore w:val="0"/>
        <w:widowControl w:val="0"/>
        <w:numPr>
          <w:ilvl w:val="0"/>
          <w:numId w:val="0"/>
        </w:numPr>
        <w:kinsoku/>
        <w:wordWrap/>
        <w:overflowPunct/>
        <w:topLinePunct w:val="0"/>
        <w:autoSpaceDE/>
        <w:autoSpaceDN/>
        <w:bidi w:val="0"/>
        <w:adjustRightInd/>
        <w:snapToGrid/>
        <w:spacing w:line="586" w:lineRule="exact"/>
        <w:ind w:right="0" w:rightChars="0"/>
        <w:jc w:val="left"/>
        <w:textAlignment w:val="auto"/>
        <w:outlineLvl w:val="9"/>
        <w:rPr>
          <w:rFonts w:hint="eastAsia" w:eastAsia="仿宋_GB2312"/>
          <w:sz w:val="32"/>
          <w:szCs w:val="32"/>
          <w:lang w:val="en-US" w:eastAsia="zh-CN"/>
        </w:rPr>
      </w:pPr>
      <w:r>
        <w:rPr>
          <w:rFonts w:hint="eastAsia" w:eastAsia="仿宋_GB2312"/>
          <w:b/>
          <w:bCs/>
          <w:sz w:val="32"/>
          <w:szCs w:val="32"/>
          <w:lang w:val="en-US" w:eastAsia="zh-CN"/>
        </w:rPr>
        <w:t>　　</w:t>
      </w:r>
      <w:r>
        <w:rPr>
          <w:rFonts w:hint="eastAsia" w:ascii="楷体_GB2312" w:hAnsi="楷体_GB2312" w:eastAsia="楷体_GB2312" w:cs="楷体_GB2312"/>
          <w:b/>
          <w:bCs/>
          <w:sz w:val="32"/>
          <w:szCs w:val="32"/>
          <w:lang w:val="en-US" w:eastAsia="zh-CN"/>
        </w:rPr>
        <w:t>1、突出重点，守住“三保”底线。</w:t>
      </w:r>
      <w:r>
        <w:rPr>
          <w:rFonts w:hint="eastAsia" w:eastAsia="仿宋_GB2312"/>
          <w:sz w:val="32"/>
          <w:szCs w:val="32"/>
          <w:lang w:val="en-US" w:eastAsia="zh-CN"/>
        </w:rPr>
        <w:t>2019年，我县保工资、保运转、保基本民生的刚性支出不断增加，其中：（1）在职财政统发工资30257万元，同比增加1504万元；（2）兑现绩效奖6213万元，同比增加1006万元；（3）五险一金、职业年金及公务员医疗补助等支出20533万元，同比增加2728万元；（4）财政对企业职工养老保险补助4852万元，同比增加3616万元；（5）财政对机关事业单位养老保险的补助8060万元；（6）财政对城乡居民基本医疗保险基金的补助1268万元；（7）财政对城乡居民养老保险的补助395万元；（8）各单位聘用人员、自收自支人员、村干团干等工资性支出4170万元，同比增加886万元；（9）离退休生活补助867万元，同比增加74万元；（10）抚恤支出2071万元；（11）特困人员基本供养1034万元；（12）残疾人补助194万元；（13）行政事业单位基本保运转支出1717万元。全年“三保”支出81631万元，同比增加9814万元。</w:t>
      </w:r>
    </w:p>
    <w:p>
      <w:pPr>
        <w:keepNext w:val="0"/>
        <w:keepLines w:val="0"/>
        <w:widowControl/>
        <w:suppressLineNumbers w:val="0"/>
        <w:pBdr>
          <w:top w:val="none" w:color="auto" w:sz="0" w:space="0"/>
          <w:left w:val="none" w:color="auto" w:sz="0" w:space="0"/>
          <w:bottom w:val="none" w:color="auto" w:sz="0" w:space="0"/>
          <w:right w:val="none" w:color="auto" w:sz="0" w:space="0"/>
        </w:pBdr>
        <w:adjustRightInd w:val="0"/>
        <w:spacing w:before="0" w:beforeAutospacing="0" w:after="0" w:afterAutospacing="0" w:line="560" w:lineRule="exact"/>
        <w:ind w:left="0" w:right="0" w:firstLine="643" w:firstLineChars="200"/>
        <w:jc w:val="left"/>
        <w:rPr>
          <w:b/>
          <w:bCs w:val="0"/>
        </w:rPr>
      </w:pPr>
      <w:r>
        <w:rPr>
          <w:rFonts w:hint="eastAsia" w:ascii="楷体_GB2312" w:hAnsi="楷体_GB2312" w:eastAsia="楷体_GB2312" w:cs="楷体_GB2312"/>
          <w:b/>
          <w:bCs/>
          <w:sz w:val="32"/>
          <w:szCs w:val="32"/>
          <w:lang w:val="en-US" w:eastAsia="zh-CN"/>
        </w:rPr>
        <w:t>2、优化支出，节用裕民。</w:t>
      </w:r>
      <w:r>
        <w:rPr>
          <w:rFonts w:hint="eastAsia" w:eastAsia="仿宋_GB2312"/>
          <w:b/>
          <w:bCs/>
          <w:sz w:val="32"/>
          <w:szCs w:val="32"/>
          <w:lang w:val="en-US" w:eastAsia="zh-CN"/>
        </w:rPr>
        <w:t>一是全力保障脱贫攻坚战</w:t>
      </w:r>
      <w:r>
        <w:rPr>
          <w:rFonts w:hint="eastAsia" w:ascii="楷体_GB2312" w:hAnsi="楷体_GB2312" w:eastAsia="楷体_GB2312" w:cs="楷体_GB2312"/>
          <w:b w:val="0"/>
          <w:bCs w:val="0"/>
          <w:sz w:val="32"/>
          <w:szCs w:val="32"/>
          <w:lang w:val="en-US" w:eastAsia="zh-CN"/>
        </w:rPr>
        <w:t>。</w:t>
      </w:r>
      <w:r>
        <w:rPr>
          <w:rFonts w:hint="eastAsia" w:eastAsia="仿宋_GB2312"/>
          <w:sz w:val="32"/>
          <w:szCs w:val="32"/>
          <w:lang w:val="en-US" w:eastAsia="zh-CN"/>
        </w:rPr>
        <w:t>认真贯彻落实脱贫攻坚战略部署，积极主动作为，充分发挥财政职能，努力在资金筹集、强化监管等方面助力脱贫攻坚工作。全年共投入11278万元，在我县财力十分困难的情况下县本级仍投入</w:t>
      </w:r>
      <w:r>
        <w:rPr>
          <w:rFonts w:hint="eastAsia" w:eastAsia="仿宋_GB2312"/>
          <w:sz w:val="32"/>
          <w:szCs w:val="32"/>
          <w:highlight w:val="none"/>
          <w:lang w:val="en-US" w:eastAsia="zh-CN"/>
        </w:rPr>
        <w:t>5398万元</w:t>
      </w:r>
      <w:r>
        <w:rPr>
          <w:rFonts w:hint="eastAsia" w:eastAsia="仿宋_GB2312"/>
          <w:sz w:val="32"/>
          <w:szCs w:val="32"/>
          <w:lang w:val="en-US" w:eastAsia="zh-CN"/>
        </w:rPr>
        <w:t>支持脱贫攻坚，同比增加了1102万元。</w:t>
      </w:r>
      <w:r>
        <w:rPr>
          <w:rFonts w:hint="eastAsia" w:eastAsia="仿宋_GB2312"/>
          <w:b/>
          <w:bCs/>
          <w:sz w:val="32"/>
          <w:szCs w:val="32"/>
          <w:lang w:val="en-US" w:eastAsia="zh-CN"/>
        </w:rPr>
        <w:t>二是</w:t>
      </w:r>
      <w:r>
        <w:rPr>
          <w:rFonts w:hint="eastAsia" w:ascii="仿宋_GB2312" w:hAnsi="仿宋_GB2312" w:eastAsia="仿宋_GB2312" w:cs="仿宋_GB2312"/>
          <w:b/>
          <w:color w:val="333333"/>
          <w:kern w:val="0"/>
          <w:sz w:val="32"/>
          <w:szCs w:val="32"/>
          <w:shd w:val="clear" w:fill="FFFFFF"/>
          <w:lang w:val="en-US" w:eastAsia="zh-CN" w:bidi="ar"/>
        </w:rPr>
        <w:t>支持教育优先发展。</w:t>
      </w:r>
      <w:r>
        <w:rPr>
          <w:rFonts w:hint="eastAsia" w:eastAsia="仿宋_GB2312"/>
          <w:sz w:val="32"/>
          <w:szCs w:val="32"/>
          <w:lang w:val="en-US" w:eastAsia="zh-CN"/>
        </w:rPr>
        <w:t>全年教育支出29069万元，其中县本级支出21271万元。主要用于完善农村义务教育经费保障机制，逐步提高生均公用经费、义务教育家庭经济困难生活补助、校舍维修等基础设施建设、教师培训奖励经费等。</w:t>
      </w:r>
      <w:r>
        <w:rPr>
          <w:rFonts w:hint="eastAsia" w:eastAsia="仿宋_GB2312"/>
          <w:b/>
          <w:bCs/>
          <w:sz w:val="32"/>
          <w:szCs w:val="32"/>
          <w:lang w:val="en-US" w:eastAsia="zh-CN"/>
        </w:rPr>
        <w:t>三是</w:t>
      </w:r>
      <w:r>
        <w:rPr>
          <w:rFonts w:hint="eastAsia" w:ascii="仿宋_GB2312" w:hAnsi="仿宋_GB2312" w:eastAsia="仿宋_GB2312" w:cs="仿宋_GB2312"/>
          <w:b/>
          <w:bCs w:val="0"/>
          <w:color w:val="333333"/>
          <w:kern w:val="0"/>
          <w:sz w:val="32"/>
          <w:szCs w:val="32"/>
          <w:shd w:val="clear" w:fill="FFFFFF"/>
          <w:lang w:val="en-US" w:eastAsia="zh-CN" w:bidi="ar"/>
        </w:rPr>
        <w:t>促进“三农”发展。</w:t>
      </w:r>
      <w:r>
        <w:rPr>
          <w:rFonts w:hint="eastAsia" w:ascii="仿宋_GB2312" w:hAnsi="仿宋_GB2312" w:eastAsia="仿宋_GB2312" w:cs="仿宋_GB2312"/>
          <w:color w:val="333333"/>
          <w:kern w:val="0"/>
          <w:sz w:val="32"/>
          <w:szCs w:val="32"/>
          <w:shd w:val="clear" w:fill="FFFFFF"/>
          <w:lang w:val="en-US" w:eastAsia="zh-CN" w:bidi="ar"/>
        </w:rPr>
        <w:t>大力支持乡村振兴战略，优化财政支农投入。全年投入6369万元，其中县本级投入3041万元，主要用于改善高效节水农田灌溉、高标准农田建设，全面提升农业综合生产能力，美丽乡村和村级一事一议财政奖补、农村垃圾、污水治理、村容整治、非洲猪瘟专项经费、病虫害控制，不断</w:t>
      </w:r>
      <w:r>
        <w:rPr>
          <w:rFonts w:hint="eastAsia" w:ascii="仿宋_GB2312" w:hAnsi="仿宋_GB2312" w:eastAsia="仿宋_GB2312" w:cs="仿宋_GB2312"/>
          <w:color w:val="000000"/>
          <w:kern w:val="0"/>
          <w:sz w:val="32"/>
          <w:szCs w:val="32"/>
          <w:shd w:val="clear" w:fill="FFFFFF"/>
          <w:lang w:val="en-US" w:eastAsia="zh-CN" w:bidi="ar"/>
        </w:rPr>
        <w:t>改善农村生产生活条件</w:t>
      </w:r>
      <w:r>
        <w:rPr>
          <w:rFonts w:hint="eastAsia" w:ascii="仿宋_GB2312" w:hAnsi="仿宋_GB2312" w:eastAsia="仿宋_GB2312" w:cs="仿宋_GB2312"/>
          <w:color w:val="333333"/>
          <w:kern w:val="0"/>
          <w:sz w:val="32"/>
          <w:szCs w:val="32"/>
          <w:shd w:val="clear" w:fill="FFFFFF"/>
          <w:lang w:val="en-US" w:eastAsia="zh-CN" w:bidi="ar"/>
        </w:rPr>
        <w:t>。</w:t>
      </w:r>
      <w:r>
        <w:rPr>
          <w:rFonts w:hint="eastAsia" w:ascii="仿宋_GB2312" w:hAnsi="仿宋_GB2312" w:eastAsia="仿宋_GB2312" w:cs="仿宋_GB2312"/>
          <w:b/>
          <w:bCs/>
          <w:color w:val="333333"/>
          <w:kern w:val="0"/>
          <w:sz w:val="32"/>
          <w:szCs w:val="32"/>
          <w:shd w:val="clear" w:fill="FFFFFF"/>
          <w:lang w:val="en-US" w:eastAsia="zh-CN" w:bidi="ar"/>
        </w:rPr>
        <w:t>四是</w:t>
      </w:r>
      <w:r>
        <w:rPr>
          <w:rFonts w:hint="eastAsia" w:ascii="仿宋_GB2312" w:hAnsi="仿宋_GB2312" w:eastAsia="仿宋_GB2312" w:cs="仿宋_GB2312"/>
          <w:b/>
          <w:bCs w:val="0"/>
          <w:color w:val="333333"/>
          <w:kern w:val="0"/>
          <w:sz w:val="32"/>
          <w:szCs w:val="32"/>
          <w:shd w:val="clear" w:fill="FFFFFF"/>
          <w:lang w:val="en-US" w:eastAsia="zh-CN" w:bidi="ar"/>
        </w:rPr>
        <w:t>落实保障性安居工程投入。</w:t>
      </w:r>
      <w:r>
        <w:rPr>
          <w:rFonts w:hint="eastAsia" w:ascii="仿宋_GB2312" w:hAnsi="仿宋_GB2312" w:eastAsia="仿宋_GB2312" w:cs="仿宋_GB2312"/>
          <w:b w:val="0"/>
          <w:bCs/>
          <w:color w:val="333333"/>
          <w:kern w:val="0"/>
          <w:sz w:val="32"/>
          <w:szCs w:val="32"/>
          <w:shd w:val="clear" w:fill="FFFFFF"/>
          <w:lang w:val="en-US" w:eastAsia="zh-CN" w:bidi="ar"/>
        </w:rPr>
        <w:t>全年27221万元，其中25000万元专项债券资金全力支持棚户区改造，农村危房改造资金500万元，已脱贫户危房修缮和改造补助资金200万元等，确保低收入人群住有所居。</w:t>
      </w:r>
      <w:r>
        <w:rPr>
          <w:rFonts w:hint="eastAsia" w:ascii="仿宋_GB2312" w:hAnsi="仿宋_GB2312" w:eastAsia="仿宋_GB2312" w:cs="仿宋_GB2312"/>
          <w:b/>
          <w:bCs w:val="0"/>
          <w:color w:val="333333"/>
          <w:kern w:val="0"/>
          <w:sz w:val="32"/>
          <w:szCs w:val="32"/>
          <w:shd w:val="clear" w:fill="FFFFFF"/>
          <w:lang w:val="en-US" w:eastAsia="zh-CN" w:bidi="ar"/>
        </w:rPr>
        <w:t>五是推动文化体育事业发展。</w:t>
      </w:r>
      <w:r>
        <w:rPr>
          <w:rFonts w:hint="eastAsia" w:ascii="仿宋_GB2312" w:hAnsi="仿宋_GB2312" w:eastAsia="仿宋_GB2312" w:cs="仿宋_GB2312"/>
          <w:b w:val="0"/>
          <w:bCs/>
          <w:color w:val="333333"/>
          <w:kern w:val="0"/>
          <w:sz w:val="32"/>
          <w:szCs w:val="32"/>
          <w:shd w:val="clear" w:fill="FFFFFF"/>
          <w:lang w:val="en-US" w:eastAsia="zh-CN" w:bidi="ar"/>
        </w:rPr>
        <w:t>全年投入845万元，其中县本级投入413万元，主要用于支持中洲岛工人文化宫项目150万元，崇山古民居新村建设200万，支持基层文化和公共文化服务建设，支持图书馆、文物保护、电影下乡，进一步满足人民群众的公共文化体育生活需求。</w:t>
      </w:r>
      <w:r>
        <w:rPr>
          <w:rFonts w:hint="eastAsia" w:ascii="仿宋_GB2312" w:hAnsi="仿宋_GB2312" w:eastAsia="仿宋_GB2312" w:cs="仿宋_GB2312"/>
          <w:b/>
          <w:bCs w:val="0"/>
          <w:color w:val="333333"/>
          <w:kern w:val="0"/>
          <w:sz w:val="32"/>
          <w:szCs w:val="32"/>
          <w:shd w:val="clear" w:fill="FFFFFF"/>
          <w:lang w:val="en-US" w:eastAsia="zh-CN" w:bidi="ar"/>
        </w:rPr>
        <w:t>六是支持生态文明建设。</w:t>
      </w:r>
      <w:r>
        <w:rPr>
          <w:rFonts w:hint="eastAsia" w:ascii="仿宋_GB2312" w:hAnsi="仿宋_GB2312" w:eastAsia="仿宋_GB2312" w:cs="仿宋_GB2312"/>
          <w:b w:val="0"/>
          <w:bCs/>
          <w:color w:val="333333"/>
          <w:kern w:val="0"/>
          <w:sz w:val="32"/>
          <w:szCs w:val="32"/>
          <w:shd w:val="clear" w:fill="FFFFFF"/>
          <w:lang w:val="en-US" w:eastAsia="zh-CN" w:bidi="ar"/>
        </w:rPr>
        <w:t>全年投入1694万元，其中县本级投入721万元。支持垃圾处理工程405万元，大气污染环境普查及监测等120万元，土壤污染治理30万元等。</w:t>
      </w:r>
      <w:r>
        <w:rPr>
          <w:rFonts w:hint="eastAsia" w:ascii="仿宋_GB2312" w:hAnsi="仿宋_GB2312" w:eastAsia="仿宋_GB2312" w:cs="仿宋_GB2312"/>
          <w:b/>
          <w:bCs w:val="0"/>
          <w:color w:val="333333"/>
          <w:kern w:val="0"/>
          <w:sz w:val="32"/>
          <w:szCs w:val="32"/>
          <w:shd w:val="clear" w:fill="FFFFFF"/>
          <w:lang w:val="en-US" w:eastAsia="zh-CN" w:bidi="ar"/>
        </w:rPr>
        <w:t>七是保障社会安全稳定。</w:t>
      </w:r>
      <w:r>
        <w:rPr>
          <w:rFonts w:hint="eastAsia" w:ascii="仿宋_GB2312" w:hAnsi="仿宋_GB2312" w:eastAsia="仿宋_GB2312" w:cs="仿宋_GB2312"/>
          <w:b w:val="0"/>
          <w:bCs/>
          <w:color w:val="333333"/>
          <w:kern w:val="0"/>
          <w:sz w:val="32"/>
          <w:szCs w:val="32"/>
          <w:shd w:val="clear" w:fill="FFFFFF"/>
          <w:lang w:val="en-US" w:eastAsia="zh-CN" w:bidi="ar"/>
        </w:rPr>
        <w:t>公共安全支出县本级投入3303万元，投入566万元推进公安天网二期、三期守护家园视频监控系统建设，完善警务辅助人员经费保障803万元，环广西自行车赛111万元，消防建设173万元，扫黑除恶专项经费30万元，公检法办案经费750万元等，为维护社会安全稳定提供有力保障。</w:t>
      </w:r>
    </w:p>
    <w:p>
      <w:pPr>
        <w:keepNext w:val="0"/>
        <w:keepLines w:val="0"/>
        <w:pageBreakBefore w:val="0"/>
        <w:widowControl w:val="0"/>
        <w:numPr>
          <w:ilvl w:val="0"/>
          <w:numId w:val="0"/>
        </w:numPr>
        <w:kinsoku/>
        <w:wordWrap/>
        <w:overflowPunct/>
        <w:topLinePunct w:val="0"/>
        <w:autoSpaceDE/>
        <w:autoSpaceDN/>
        <w:bidi w:val="0"/>
        <w:adjustRightInd/>
        <w:snapToGrid/>
        <w:spacing w:line="586" w:lineRule="exact"/>
        <w:ind w:right="0" w:rightChars="0"/>
        <w:jc w:val="left"/>
        <w:textAlignment w:val="auto"/>
        <w:outlineLvl w:val="9"/>
        <w:rPr>
          <w:rFonts w:hint="eastAsia" w:eastAsia="仿宋_GB2312"/>
          <w:sz w:val="32"/>
          <w:szCs w:val="32"/>
          <w:lang w:val="en-US" w:eastAsia="zh-CN"/>
        </w:rPr>
      </w:pPr>
      <w:r>
        <w:rPr>
          <w:rFonts w:hint="eastAsia" w:ascii="楷体_GB2312" w:hAnsi="楷体_GB2312" w:eastAsia="楷体_GB2312" w:cs="楷体_GB2312"/>
          <w:b/>
          <w:bCs/>
          <w:sz w:val="32"/>
          <w:szCs w:val="32"/>
          <w:lang w:val="en-US" w:eastAsia="zh-CN"/>
        </w:rPr>
        <w:t>　　三、多措并举，力保收支平衡。</w:t>
      </w:r>
      <w:r>
        <w:rPr>
          <w:rFonts w:hint="eastAsia" w:eastAsia="仿宋_GB2312"/>
          <w:b/>
          <w:bCs/>
          <w:sz w:val="32"/>
          <w:szCs w:val="32"/>
          <w:lang w:val="en-US" w:eastAsia="zh-CN"/>
        </w:rPr>
        <w:t>一是</w:t>
      </w:r>
      <w:r>
        <w:rPr>
          <w:rFonts w:hint="eastAsia" w:eastAsia="仿宋_GB2312"/>
          <w:sz w:val="32"/>
          <w:szCs w:val="32"/>
          <w:lang w:val="en-US" w:eastAsia="zh-CN"/>
        </w:rPr>
        <w:t>树立过“紧日子”的思想，进一步压减一般性支出和三公经费支出，全县一般性支出压缩6%，全县“三公”经费支出同比下降16</w:t>
      </w:r>
      <w:r>
        <w:rPr>
          <w:rFonts w:hint="eastAsia" w:eastAsia="仿宋_GB2312"/>
          <w:sz w:val="32"/>
          <w:szCs w:val="32"/>
          <w:highlight w:val="none"/>
          <w:lang w:val="en-US" w:eastAsia="zh-CN"/>
        </w:rPr>
        <w:t>%，政府采购资金节约率4%，投资评审审减率达7%。</w:t>
      </w:r>
      <w:r>
        <w:rPr>
          <w:rFonts w:hint="eastAsia" w:eastAsia="仿宋_GB2312"/>
          <w:b/>
          <w:bCs/>
          <w:sz w:val="32"/>
          <w:szCs w:val="32"/>
          <w:highlight w:val="none"/>
          <w:lang w:val="en-US" w:eastAsia="zh-CN"/>
        </w:rPr>
        <w:t>二是</w:t>
      </w:r>
      <w:r>
        <w:rPr>
          <w:rFonts w:hint="eastAsia" w:eastAsia="仿宋_GB2312"/>
          <w:sz w:val="32"/>
          <w:szCs w:val="32"/>
          <w:highlight w:val="none"/>
          <w:lang w:val="en-US" w:eastAsia="zh-CN"/>
        </w:rPr>
        <w:t>进一步盘活存量，及时收回结余资金和连续两年未使用完的结转资金7734万</w:t>
      </w:r>
      <w:r>
        <w:rPr>
          <w:rFonts w:hint="eastAsia" w:eastAsia="仿宋_GB2312"/>
          <w:sz w:val="32"/>
          <w:szCs w:val="32"/>
          <w:lang w:val="en-US" w:eastAsia="zh-CN"/>
        </w:rPr>
        <w:t>元，除必须按原用途使用的外全部统筹用于重点支出；从严控制建设类项目，优先保障重点项目，同时坚持“无预算、不支出”的原则。</w:t>
      </w:r>
      <w:r>
        <w:rPr>
          <w:rFonts w:hint="eastAsia" w:eastAsia="仿宋_GB2312"/>
          <w:b/>
          <w:bCs/>
          <w:sz w:val="32"/>
          <w:szCs w:val="32"/>
          <w:lang w:val="en-US" w:eastAsia="zh-CN"/>
        </w:rPr>
        <w:t>三是</w:t>
      </w:r>
      <w:r>
        <w:rPr>
          <w:rFonts w:hint="eastAsia" w:eastAsia="仿宋_GB2312"/>
          <w:sz w:val="32"/>
          <w:szCs w:val="32"/>
          <w:lang w:val="en-US" w:eastAsia="zh-CN"/>
        </w:rPr>
        <w:t>加强政府性基金预算与一般公共预算的统筹，将土地增收当年结余调入一般公共预算，弥补一般公共预算收入缺口。</w:t>
      </w:r>
      <w:r>
        <w:rPr>
          <w:rFonts w:hint="eastAsia" w:eastAsia="仿宋_GB2312"/>
          <w:b/>
          <w:bCs/>
          <w:sz w:val="32"/>
          <w:szCs w:val="32"/>
          <w:lang w:val="en-US" w:eastAsia="zh-CN"/>
        </w:rPr>
        <w:t>四是</w:t>
      </w:r>
      <w:r>
        <w:rPr>
          <w:rFonts w:hint="eastAsia" w:eastAsia="仿宋_GB2312"/>
          <w:sz w:val="32"/>
          <w:szCs w:val="32"/>
          <w:lang w:val="en-US" w:eastAsia="zh-CN"/>
        </w:rPr>
        <w:t>全力争取再融资债券</w:t>
      </w:r>
      <w:r>
        <w:rPr>
          <w:rFonts w:hint="eastAsia" w:eastAsia="仿宋_GB2312"/>
          <w:sz w:val="32"/>
          <w:szCs w:val="32"/>
          <w:highlight w:val="none"/>
          <w:lang w:val="en-US" w:eastAsia="zh-CN"/>
        </w:rPr>
        <w:t>1400</w:t>
      </w:r>
      <w:r>
        <w:rPr>
          <w:rFonts w:hint="eastAsia" w:eastAsia="仿宋_GB2312"/>
          <w:sz w:val="32"/>
          <w:szCs w:val="32"/>
          <w:lang w:val="en-US" w:eastAsia="zh-CN"/>
        </w:rPr>
        <w:t>万元，用于到期的一般债券还本。2019年，我县一般公共预算收入未能完成预期目标，土地出让收入不到位未能实现预算调整目标，但财政支出呈刚性增长态势，在地方财力拮据的情况下，县财政只有通过压缩支出、盘活存量以及借新债还旧债等方式确保收支平衡。</w:t>
      </w:r>
    </w:p>
    <w:p>
      <w:pPr>
        <w:keepNext w:val="0"/>
        <w:keepLines w:val="0"/>
        <w:pageBreakBefore w:val="0"/>
        <w:widowControl w:val="0"/>
        <w:kinsoku/>
        <w:wordWrap/>
        <w:overflowPunct/>
        <w:topLinePunct w:val="0"/>
        <w:autoSpaceDE/>
        <w:autoSpaceDN/>
        <w:bidi w:val="0"/>
        <w:adjustRightInd/>
        <w:snapToGrid/>
        <w:spacing w:line="586" w:lineRule="exact"/>
        <w:ind w:left="0" w:leftChars="0" w:right="0" w:rightChars="0" w:firstLine="640" w:firstLineChars="200"/>
        <w:jc w:val="left"/>
        <w:textAlignment w:val="auto"/>
        <w:outlineLvl w:val="9"/>
        <w:rPr>
          <w:rFonts w:hint="eastAsia" w:eastAsia="仿宋_GB2312"/>
          <w:sz w:val="32"/>
          <w:szCs w:val="32"/>
          <w:lang w:val="en-US" w:eastAsia="zh-CN"/>
        </w:rPr>
      </w:pPr>
      <w:r>
        <w:rPr>
          <w:rFonts w:hint="eastAsia" w:eastAsia="仿宋_GB2312"/>
          <w:sz w:val="32"/>
          <w:szCs w:val="32"/>
          <w:lang w:val="en-US" w:eastAsia="zh-CN"/>
        </w:rPr>
        <w:t>各位代表,现在报告的2019年预算执行数为快报数，具体执行情况详见决算草案，最终执行结果以自治区批复的决算数为准，我们将在自治区财政厅批复决算后进行相应调整并按程序报县人大常委会审查批准。</w:t>
      </w:r>
    </w:p>
    <w:p>
      <w:pPr>
        <w:keepNext w:val="0"/>
        <w:keepLines w:val="0"/>
        <w:pageBreakBefore w:val="0"/>
        <w:widowControl w:val="0"/>
        <w:kinsoku/>
        <w:wordWrap/>
        <w:overflowPunct/>
        <w:topLinePunct w:val="0"/>
        <w:autoSpaceDE/>
        <w:autoSpaceDN/>
        <w:bidi w:val="0"/>
        <w:adjustRightInd/>
        <w:snapToGrid/>
        <w:spacing w:line="586" w:lineRule="exact"/>
        <w:ind w:left="0" w:leftChars="0" w:right="0" w:rightChars="0" w:firstLine="640" w:firstLineChars="200"/>
        <w:jc w:val="left"/>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二、2020年预算草案</w:t>
      </w:r>
    </w:p>
    <w:p>
      <w:pPr>
        <w:keepNext w:val="0"/>
        <w:keepLines w:val="0"/>
        <w:pageBreakBefore w:val="0"/>
        <w:widowControl w:val="0"/>
        <w:numPr>
          <w:ilvl w:val="0"/>
          <w:numId w:val="3"/>
        </w:numPr>
        <w:kinsoku/>
        <w:wordWrap/>
        <w:overflowPunct/>
        <w:topLinePunct w:val="0"/>
        <w:autoSpaceDE/>
        <w:autoSpaceDN/>
        <w:bidi w:val="0"/>
        <w:adjustRightInd/>
        <w:snapToGrid/>
        <w:spacing w:line="586" w:lineRule="exact"/>
        <w:ind w:left="0" w:leftChars="0" w:right="0" w:rightChars="0" w:firstLine="643" w:firstLineChars="200"/>
        <w:jc w:val="left"/>
        <w:textAlignment w:val="auto"/>
        <w:outlineLvl w:val="9"/>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我县财政经济形势</w:t>
      </w:r>
    </w:p>
    <w:p>
      <w:pPr>
        <w:keepNext w:val="0"/>
        <w:keepLines w:val="0"/>
        <w:pageBreakBefore w:val="0"/>
        <w:widowControl w:val="0"/>
        <w:kinsoku/>
        <w:wordWrap/>
        <w:overflowPunct/>
        <w:topLinePunct w:val="0"/>
        <w:autoSpaceDE/>
        <w:autoSpaceDN/>
        <w:bidi w:val="0"/>
        <w:adjustRightInd/>
        <w:snapToGrid/>
        <w:spacing w:line="586" w:lineRule="exact"/>
        <w:ind w:left="0" w:leftChars="0" w:right="0" w:rightChars="0" w:firstLine="640" w:firstLineChars="200"/>
        <w:jc w:val="left"/>
        <w:textAlignment w:val="auto"/>
        <w:outlineLvl w:val="9"/>
        <w:rPr>
          <w:rFonts w:hint="eastAsia" w:eastAsia="仿宋_GB2312"/>
          <w:color w:val="000000" w:themeColor="text1"/>
          <w:sz w:val="32"/>
          <w:szCs w:val="32"/>
          <w:lang w:val="en-US" w:eastAsia="zh-CN"/>
          <w14:textFill>
            <w14:solidFill>
              <w14:schemeClr w14:val="tx1"/>
            </w14:solidFill>
          </w14:textFill>
        </w:rPr>
      </w:pPr>
      <w:r>
        <w:rPr>
          <w:rFonts w:hint="eastAsia" w:eastAsia="仿宋_GB2312"/>
          <w:sz w:val="32"/>
          <w:szCs w:val="32"/>
          <w:lang w:val="en-US" w:eastAsia="zh-CN"/>
        </w:rPr>
        <w:t>2020年将是我县财政收支形势更为严峻的一年，从收入上看，受减税降费政策性减收、外部环境复杂多变、</w:t>
      </w:r>
      <w:r>
        <w:rPr>
          <w:rFonts w:hint="eastAsia" w:eastAsia="仿宋_GB2312"/>
          <w:color w:val="000000" w:themeColor="text1"/>
          <w:sz w:val="32"/>
          <w:szCs w:val="32"/>
          <w:lang w:val="en-US" w:eastAsia="zh-CN"/>
          <w14:textFill>
            <w14:solidFill>
              <w14:schemeClr w14:val="tx1"/>
            </w14:solidFill>
          </w14:textFill>
        </w:rPr>
        <w:t>2020年新冠肺炎疫情影响，财政收入增长依旧面临严峻挑战。从支出上看，2020年是完成</w:t>
      </w:r>
      <w:r>
        <w:rPr>
          <w:rFonts w:hint="default" w:eastAsia="仿宋_GB2312"/>
          <w:color w:val="000000" w:themeColor="text1"/>
          <w:sz w:val="32"/>
          <w:szCs w:val="32"/>
          <w:lang w:val="en-US" w:eastAsia="zh-CN"/>
          <w14:textFill>
            <w14:solidFill>
              <w14:schemeClr w14:val="tx1"/>
            </w14:solidFill>
          </w14:textFill>
        </w:rPr>
        <w:t>“</w:t>
      </w:r>
      <w:r>
        <w:rPr>
          <w:rFonts w:hint="eastAsia" w:eastAsia="仿宋_GB2312"/>
          <w:color w:val="000000" w:themeColor="text1"/>
          <w:sz w:val="32"/>
          <w:szCs w:val="32"/>
          <w:lang w:val="en-US" w:eastAsia="zh-CN"/>
          <w14:textFill>
            <w14:solidFill>
              <w14:schemeClr w14:val="tx1"/>
            </w14:solidFill>
          </w14:textFill>
        </w:rPr>
        <w:t>十三五</w:t>
      </w:r>
      <w:r>
        <w:rPr>
          <w:rFonts w:hint="default" w:eastAsia="仿宋_GB2312"/>
          <w:color w:val="000000" w:themeColor="text1"/>
          <w:sz w:val="32"/>
          <w:szCs w:val="32"/>
          <w:lang w:val="en-US" w:eastAsia="zh-CN"/>
          <w14:textFill>
            <w14:solidFill>
              <w14:schemeClr w14:val="tx1"/>
            </w14:solidFill>
          </w14:textFill>
        </w:rPr>
        <w:t>”</w:t>
      </w:r>
      <w:r>
        <w:rPr>
          <w:rFonts w:hint="eastAsia" w:eastAsia="仿宋_GB2312"/>
          <w:color w:val="000000" w:themeColor="text1"/>
          <w:sz w:val="32"/>
          <w:szCs w:val="32"/>
          <w:lang w:val="en-US" w:eastAsia="zh-CN"/>
          <w14:textFill>
            <w14:solidFill>
              <w14:schemeClr w14:val="tx1"/>
            </w14:solidFill>
          </w14:textFill>
        </w:rPr>
        <w:t>规划、打赢</w:t>
      </w:r>
      <w:r>
        <w:rPr>
          <w:rFonts w:hint="default" w:eastAsia="仿宋_GB2312"/>
          <w:color w:val="000000" w:themeColor="text1"/>
          <w:sz w:val="32"/>
          <w:szCs w:val="32"/>
          <w:lang w:val="en-US" w:eastAsia="zh-CN"/>
          <w14:textFill>
            <w14:solidFill>
              <w14:schemeClr w14:val="tx1"/>
            </w14:solidFill>
          </w14:textFill>
        </w:rPr>
        <w:t>“</w:t>
      </w:r>
      <w:r>
        <w:rPr>
          <w:rFonts w:hint="eastAsia" w:eastAsia="仿宋_GB2312"/>
          <w:color w:val="000000" w:themeColor="text1"/>
          <w:sz w:val="32"/>
          <w:szCs w:val="32"/>
          <w:lang w:val="en-US" w:eastAsia="zh-CN"/>
          <w14:textFill>
            <w14:solidFill>
              <w14:schemeClr w14:val="tx1"/>
            </w14:solidFill>
          </w14:textFill>
        </w:rPr>
        <w:t>三大攻坚战</w:t>
      </w:r>
      <w:r>
        <w:rPr>
          <w:rFonts w:hint="default" w:eastAsia="仿宋_GB2312"/>
          <w:color w:val="000000" w:themeColor="text1"/>
          <w:sz w:val="32"/>
          <w:szCs w:val="32"/>
          <w:lang w:val="en-US" w:eastAsia="zh-CN"/>
          <w14:textFill>
            <w14:solidFill>
              <w14:schemeClr w14:val="tx1"/>
            </w14:solidFill>
          </w14:textFill>
        </w:rPr>
        <w:t>”</w:t>
      </w:r>
      <w:r>
        <w:rPr>
          <w:rFonts w:hint="eastAsia" w:eastAsia="仿宋_GB2312"/>
          <w:color w:val="000000" w:themeColor="text1"/>
          <w:sz w:val="32"/>
          <w:szCs w:val="32"/>
          <w:lang w:val="en-US" w:eastAsia="zh-CN"/>
          <w14:textFill>
            <w14:solidFill>
              <w14:schemeClr w14:val="tx1"/>
            </w14:solidFill>
          </w14:textFill>
        </w:rPr>
        <w:t>和决胜全面建成小康社会的收官之年，任务繁重、挑战增多、要求更高，补足发展短板、兜底民生保障，财政支出将呈现规模更大、刚性更强等发展态势，受新冠肺炎疫情影响，更加大了县级财政对医疗卫生方面的投入力度，财政收支矛盾之大前所未有，调结构、压支出的需求之</w:t>
      </w:r>
      <w:r>
        <w:rPr>
          <w:rFonts w:hint="eastAsia" w:eastAsia="仿宋_GB2312"/>
          <w:sz w:val="32"/>
          <w:szCs w:val="32"/>
          <w:lang w:val="en-US" w:eastAsia="zh-CN"/>
        </w:rPr>
        <w:t>迫切前所未有，财政紧运行已经成为预算编制执行的大前提，需要全县上下和财政部门一道，认清形势，找准靶点，和衷共济，共同应对</w:t>
      </w:r>
      <w:r>
        <w:rPr>
          <w:rFonts w:hint="eastAsia" w:eastAsia="仿宋_GB2312"/>
          <w:color w:val="000000" w:themeColor="text1"/>
          <w:sz w:val="32"/>
          <w:szCs w:val="32"/>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86" w:lineRule="exact"/>
        <w:ind w:left="0" w:leftChars="0" w:right="0" w:rightChars="0" w:firstLine="643" w:firstLineChars="200"/>
        <w:jc w:val="left"/>
        <w:textAlignment w:val="auto"/>
        <w:outlineLvl w:val="9"/>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（二）预算编制指导思想</w:t>
      </w:r>
    </w:p>
    <w:p>
      <w:pPr>
        <w:keepNext w:val="0"/>
        <w:keepLines w:val="0"/>
        <w:pageBreakBefore w:val="0"/>
        <w:widowControl w:val="0"/>
        <w:kinsoku/>
        <w:wordWrap/>
        <w:overflowPunct/>
        <w:topLinePunct w:val="0"/>
        <w:autoSpaceDE/>
        <w:autoSpaceDN/>
        <w:bidi w:val="0"/>
        <w:adjustRightInd/>
        <w:snapToGrid/>
        <w:spacing w:line="586" w:lineRule="exact"/>
        <w:ind w:right="0" w:rightChars="0" w:firstLine="640"/>
        <w:jc w:val="left"/>
        <w:textAlignment w:val="auto"/>
        <w:outlineLvl w:val="9"/>
        <w:rPr>
          <w:rFonts w:hint="eastAsia" w:eastAsia="仿宋_GB2312"/>
          <w:sz w:val="32"/>
          <w:szCs w:val="32"/>
          <w:lang w:val="en-US" w:eastAsia="zh-CN"/>
        </w:rPr>
      </w:pPr>
      <w:r>
        <w:rPr>
          <w:rFonts w:hint="eastAsia" w:eastAsia="仿宋_GB2312"/>
          <w:sz w:val="32"/>
          <w:szCs w:val="32"/>
          <w:lang w:val="en-US" w:eastAsia="zh-CN"/>
        </w:rPr>
        <w:t>2020年，我县预算编制的指导思想是：全面贯彻落实中央经济工作会议精神，按照政府要真正过紧日子的要求，坚持以收定支，</w:t>
      </w:r>
      <w:r>
        <w:rPr>
          <w:rFonts w:hint="eastAsia" w:eastAsia="仿宋_GB2312"/>
          <w:color w:val="000000" w:themeColor="text1"/>
          <w:sz w:val="32"/>
          <w:szCs w:val="32"/>
          <w:lang w:val="en-US" w:eastAsia="zh-CN"/>
          <w14:textFill>
            <w14:solidFill>
              <w14:schemeClr w14:val="tx1"/>
            </w14:solidFill>
          </w14:textFill>
        </w:rPr>
        <w:t>提倡并督促各部门强化预算编制，努力实现“零基预算”管理，改变“基数+增长”的预算编制模式，大力压减一般性和非重点支出，厉行节约办一切事业，兜牢保工资、保运转、保基本民生底线，严肃财经纪律，当好“铁公鸡”，打好“铁算盘”。</w:t>
      </w:r>
    </w:p>
    <w:p>
      <w:pPr>
        <w:keepNext w:val="0"/>
        <w:keepLines w:val="0"/>
        <w:pageBreakBefore w:val="0"/>
        <w:widowControl w:val="0"/>
        <w:kinsoku/>
        <w:wordWrap/>
        <w:overflowPunct/>
        <w:topLinePunct w:val="0"/>
        <w:autoSpaceDE/>
        <w:autoSpaceDN/>
        <w:bidi w:val="0"/>
        <w:adjustRightInd/>
        <w:snapToGrid/>
        <w:spacing w:line="586" w:lineRule="exact"/>
        <w:ind w:right="0" w:rightChars="0"/>
        <w:jc w:val="left"/>
        <w:textAlignment w:val="auto"/>
        <w:outlineLvl w:val="9"/>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　　（三）公共财政预算安排情况</w:t>
      </w:r>
    </w:p>
    <w:p>
      <w:pPr>
        <w:keepNext w:val="0"/>
        <w:keepLines w:val="0"/>
        <w:pageBreakBefore w:val="0"/>
        <w:widowControl w:val="0"/>
        <w:kinsoku/>
        <w:wordWrap/>
        <w:overflowPunct/>
        <w:topLinePunct w:val="0"/>
        <w:autoSpaceDE/>
        <w:autoSpaceDN/>
        <w:bidi w:val="0"/>
        <w:adjustRightInd/>
        <w:snapToGrid/>
        <w:spacing w:line="586" w:lineRule="exact"/>
        <w:ind w:left="0" w:leftChars="0" w:right="0" w:rightChars="0" w:firstLine="643" w:firstLineChars="200"/>
        <w:jc w:val="left"/>
        <w:textAlignment w:val="auto"/>
        <w:outlineLvl w:val="9"/>
        <w:rPr>
          <w:rFonts w:hint="eastAsia" w:eastAsia="仿宋_GB2312"/>
          <w:sz w:val="32"/>
          <w:szCs w:val="32"/>
          <w:lang w:val="en-US" w:eastAsia="zh-CN"/>
        </w:rPr>
      </w:pPr>
      <w:r>
        <w:rPr>
          <w:rFonts w:hint="eastAsia" w:eastAsia="仿宋_GB2312"/>
          <w:b/>
          <w:bCs/>
          <w:sz w:val="32"/>
          <w:szCs w:val="32"/>
          <w:lang w:val="en-US" w:eastAsia="zh-CN"/>
        </w:rPr>
        <w:t>1.组织财政收入：</w:t>
      </w:r>
      <w:r>
        <w:rPr>
          <w:rFonts w:hint="eastAsia" w:eastAsia="仿宋_GB2312"/>
          <w:sz w:val="32"/>
          <w:szCs w:val="32"/>
          <w:lang w:val="en-US" w:eastAsia="zh-CN"/>
        </w:rPr>
        <w:t>2020年全县计划组织财政收入61170万元，其中：税务局计划组织收入50170万元, 财政局计划组织收入11000万元。</w:t>
      </w:r>
    </w:p>
    <w:p>
      <w:pPr>
        <w:keepNext w:val="0"/>
        <w:keepLines w:val="0"/>
        <w:pageBreakBefore w:val="0"/>
        <w:widowControl w:val="0"/>
        <w:kinsoku/>
        <w:wordWrap/>
        <w:overflowPunct/>
        <w:topLinePunct w:val="0"/>
        <w:autoSpaceDE/>
        <w:autoSpaceDN/>
        <w:bidi w:val="0"/>
        <w:adjustRightInd/>
        <w:snapToGrid/>
        <w:spacing w:line="586" w:lineRule="exact"/>
        <w:ind w:left="0" w:leftChars="0" w:right="0" w:rightChars="0" w:firstLine="643" w:firstLineChars="200"/>
        <w:jc w:val="left"/>
        <w:textAlignment w:val="auto"/>
        <w:outlineLvl w:val="9"/>
        <w:rPr>
          <w:rFonts w:hint="eastAsia" w:eastAsia="仿宋_GB2312"/>
          <w:sz w:val="32"/>
          <w:szCs w:val="32"/>
          <w:lang w:val="en-US" w:eastAsia="zh-CN"/>
        </w:rPr>
      </w:pPr>
      <w:r>
        <w:rPr>
          <w:rFonts w:hint="eastAsia" w:eastAsia="仿宋_GB2312"/>
          <w:b/>
          <w:bCs/>
          <w:sz w:val="32"/>
          <w:szCs w:val="32"/>
          <w:lang w:val="en-US" w:eastAsia="zh-CN"/>
        </w:rPr>
        <w:t>2.一般公共财政预算收入：</w:t>
      </w:r>
      <w:r>
        <w:rPr>
          <w:rFonts w:hint="eastAsia" w:eastAsia="仿宋_GB2312"/>
          <w:sz w:val="32"/>
          <w:szCs w:val="32"/>
          <w:lang w:val="en-US" w:eastAsia="zh-CN"/>
        </w:rPr>
        <w:t>按现行分税制体制计算，2020年组织财政收入61170万元形成的可用财力即一般公共财政预算收入为36403万元，比上年执行数减少24万元，减少0.07%。其中：</w:t>
      </w:r>
    </w:p>
    <w:p>
      <w:pPr>
        <w:keepNext w:val="0"/>
        <w:keepLines w:val="0"/>
        <w:pageBreakBefore w:val="0"/>
        <w:widowControl w:val="0"/>
        <w:kinsoku/>
        <w:wordWrap/>
        <w:overflowPunct/>
        <w:topLinePunct w:val="0"/>
        <w:autoSpaceDE/>
        <w:autoSpaceDN/>
        <w:bidi w:val="0"/>
        <w:adjustRightInd/>
        <w:snapToGrid/>
        <w:spacing w:line="586" w:lineRule="exact"/>
        <w:ind w:left="0" w:leftChars="0" w:right="0" w:rightChars="0" w:firstLine="640" w:firstLineChars="200"/>
        <w:jc w:val="left"/>
        <w:textAlignment w:val="auto"/>
        <w:outlineLvl w:val="9"/>
        <w:rPr>
          <w:rFonts w:hint="eastAsia" w:eastAsia="仿宋_GB2312"/>
          <w:sz w:val="32"/>
          <w:szCs w:val="32"/>
          <w:lang w:val="en-US" w:eastAsia="zh-CN"/>
        </w:rPr>
      </w:pPr>
      <w:r>
        <w:rPr>
          <w:rFonts w:hint="eastAsia" w:eastAsia="仿宋_GB2312"/>
          <w:sz w:val="32"/>
          <w:szCs w:val="32"/>
          <w:lang w:val="en-US" w:eastAsia="zh-CN"/>
        </w:rPr>
        <w:t>税收收入24823万元，比2019年执行数20499万元增长4324万元，增长21%。非税收入11580万元，比2019年执行数15928万元减少4348万元，减少27%。</w:t>
      </w:r>
    </w:p>
    <w:p>
      <w:pPr>
        <w:keepNext w:val="0"/>
        <w:keepLines w:val="0"/>
        <w:pageBreakBefore w:val="0"/>
        <w:widowControl w:val="0"/>
        <w:kinsoku/>
        <w:wordWrap/>
        <w:overflowPunct/>
        <w:topLinePunct w:val="0"/>
        <w:autoSpaceDE/>
        <w:autoSpaceDN/>
        <w:bidi w:val="0"/>
        <w:adjustRightInd/>
        <w:snapToGrid/>
        <w:spacing w:line="586" w:lineRule="exact"/>
        <w:ind w:left="0" w:leftChars="0" w:right="0" w:rightChars="0" w:firstLine="643" w:firstLineChars="200"/>
        <w:jc w:val="left"/>
        <w:textAlignment w:val="auto"/>
        <w:outlineLvl w:val="9"/>
        <w:rPr>
          <w:rFonts w:hint="eastAsia" w:eastAsia="仿宋_GB2312"/>
          <w:sz w:val="32"/>
          <w:szCs w:val="32"/>
          <w:lang w:val="en-US" w:eastAsia="zh-CN"/>
        </w:rPr>
      </w:pPr>
      <w:r>
        <w:rPr>
          <w:rFonts w:hint="eastAsia" w:eastAsia="仿宋_GB2312"/>
          <w:b/>
          <w:bCs/>
          <w:sz w:val="32"/>
          <w:szCs w:val="32"/>
          <w:lang w:val="en-US" w:eastAsia="zh-CN"/>
        </w:rPr>
        <w:t>3.公共财政预算收入：</w:t>
      </w:r>
      <w:r>
        <w:rPr>
          <w:rFonts w:hint="eastAsia" w:eastAsia="仿宋_GB2312"/>
          <w:sz w:val="32"/>
          <w:szCs w:val="32"/>
          <w:lang w:val="en-US" w:eastAsia="zh-CN"/>
        </w:rPr>
        <w:t>根据现行财政体制测算，预计2020年全县公共财政总收入226316万元，其中：一般公共财政预算收入36403万元；上级补助收入117441万元（返还性收入5428万元、一般性转移支付收入48714万元、专项转移支付收入63299万元）；上年结余收入9922万元；调入资金62550万元(从土地出让净收入调入62550万元)。</w:t>
      </w:r>
    </w:p>
    <w:p>
      <w:pPr>
        <w:keepNext w:val="0"/>
        <w:keepLines w:val="0"/>
        <w:pageBreakBefore w:val="0"/>
        <w:widowControl w:val="0"/>
        <w:kinsoku/>
        <w:wordWrap/>
        <w:overflowPunct/>
        <w:topLinePunct w:val="0"/>
        <w:autoSpaceDE/>
        <w:autoSpaceDN/>
        <w:bidi w:val="0"/>
        <w:adjustRightInd/>
        <w:snapToGrid/>
        <w:spacing w:line="586" w:lineRule="exact"/>
        <w:ind w:left="0" w:leftChars="0" w:right="0" w:rightChars="0" w:firstLine="643" w:firstLineChars="200"/>
        <w:jc w:val="left"/>
        <w:textAlignment w:val="auto"/>
        <w:outlineLvl w:val="9"/>
        <w:rPr>
          <w:rFonts w:hint="eastAsia" w:eastAsia="仿宋_GB2312"/>
          <w:sz w:val="32"/>
          <w:szCs w:val="32"/>
          <w:lang w:val="en-US" w:eastAsia="zh-CN"/>
        </w:rPr>
      </w:pPr>
      <w:r>
        <w:rPr>
          <w:rFonts w:hint="eastAsia" w:eastAsia="仿宋_GB2312"/>
          <w:b/>
          <w:bCs/>
          <w:sz w:val="32"/>
          <w:szCs w:val="32"/>
          <w:lang w:val="en-US" w:eastAsia="zh-CN"/>
        </w:rPr>
        <w:t>4.公共财政支出：</w:t>
      </w:r>
      <w:r>
        <w:rPr>
          <w:rFonts w:hint="eastAsia" w:eastAsia="仿宋_GB2312"/>
          <w:sz w:val="32"/>
          <w:szCs w:val="32"/>
          <w:lang w:val="en-US" w:eastAsia="zh-CN"/>
        </w:rPr>
        <w:t>2020年公共财政预算总支出安排226316万元，收支平衡。（详细见附表）</w:t>
      </w:r>
    </w:p>
    <w:p>
      <w:pPr>
        <w:keepNext w:val="0"/>
        <w:keepLines w:val="0"/>
        <w:pageBreakBefore w:val="0"/>
        <w:widowControl w:val="0"/>
        <w:kinsoku/>
        <w:wordWrap/>
        <w:overflowPunct/>
        <w:topLinePunct w:val="0"/>
        <w:autoSpaceDE/>
        <w:autoSpaceDN/>
        <w:bidi w:val="0"/>
        <w:adjustRightInd/>
        <w:snapToGrid/>
        <w:spacing w:line="586" w:lineRule="exact"/>
        <w:ind w:left="0" w:leftChars="0" w:right="0" w:rightChars="0" w:firstLine="640" w:firstLineChars="200"/>
        <w:jc w:val="left"/>
        <w:textAlignment w:val="auto"/>
        <w:outlineLvl w:val="9"/>
        <w:rPr>
          <w:rFonts w:hint="eastAsia" w:eastAsia="仿宋_GB2312"/>
          <w:sz w:val="32"/>
          <w:szCs w:val="32"/>
          <w:lang w:val="en-US" w:eastAsia="zh-CN"/>
        </w:rPr>
      </w:pPr>
      <w:r>
        <w:rPr>
          <w:rFonts w:hint="eastAsia" w:eastAsia="仿宋_GB2312"/>
          <w:sz w:val="32"/>
          <w:szCs w:val="32"/>
          <w:lang w:val="en-US" w:eastAsia="zh-CN"/>
        </w:rPr>
        <w:t>2020年公共财政预算支出安排优先用于保障基本支出和教育、科技、农业、文化、社保和医疗等重点支出，以及落实中央、自治区出台的各项增支政策和支持县委、县政府确定的重点项目，严格控制一般性项目支出增长。</w:t>
      </w:r>
    </w:p>
    <w:p>
      <w:pPr>
        <w:keepNext w:val="0"/>
        <w:keepLines w:val="0"/>
        <w:pageBreakBefore w:val="0"/>
        <w:widowControl w:val="0"/>
        <w:kinsoku/>
        <w:wordWrap/>
        <w:overflowPunct/>
        <w:topLinePunct w:val="0"/>
        <w:autoSpaceDE/>
        <w:autoSpaceDN/>
        <w:bidi w:val="0"/>
        <w:adjustRightInd/>
        <w:snapToGrid/>
        <w:spacing w:line="586" w:lineRule="exact"/>
        <w:ind w:left="0" w:leftChars="0" w:right="0" w:rightChars="0" w:firstLine="640" w:firstLineChars="200"/>
        <w:jc w:val="left"/>
        <w:textAlignment w:val="auto"/>
        <w:outlineLvl w:val="9"/>
        <w:rPr>
          <w:rFonts w:hint="eastAsia" w:eastAsia="仿宋_GB2312"/>
          <w:sz w:val="32"/>
          <w:szCs w:val="32"/>
          <w:lang w:val="en-US" w:eastAsia="zh-CN"/>
        </w:rPr>
      </w:pPr>
      <w:r>
        <w:rPr>
          <w:rFonts w:hint="eastAsia" w:eastAsia="仿宋_GB2312"/>
          <w:sz w:val="32"/>
          <w:szCs w:val="32"/>
          <w:lang w:val="en-US" w:eastAsia="zh-CN"/>
        </w:rPr>
        <w:t>公共财政预算总支出中，县本级公共财政预算支出153095万元，其中专项上解支出1400万元，债务还本支出2950万元。</w:t>
      </w:r>
    </w:p>
    <w:p>
      <w:pPr>
        <w:keepNext w:val="0"/>
        <w:keepLines w:val="0"/>
        <w:pageBreakBefore w:val="0"/>
        <w:widowControl w:val="0"/>
        <w:kinsoku/>
        <w:wordWrap/>
        <w:overflowPunct/>
        <w:topLinePunct w:val="0"/>
        <w:autoSpaceDE/>
        <w:autoSpaceDN/>
        <w:bidi w:val="0"/>
        <w:adjustRightInd/>
        <w:snapToGrid/>
        <w:spacing w:line="586" w:lineRule="exact"/>
        <w:ind w:right="0" w:rightChars="0" w:firstLine="643" w:firstLineChars="200"/>
        <w:jc w:val="left"/>
        <w:textAlignment w:val="auto"/>
        <w:outlineLvl w:val="9"/>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（四）政府性基金预算安排情况</w:t>
      </w:r>
    </w:p>
    <w:p>
      <w:pPr>
        <w:keepNext w:val="0"/>
        <w:keepLines w:val="0"/>
        <w:pageBreakBefore w:val="0"/>
        <w:widowControl w:val="0"/>
        <w:kinsoku/>
        <w:wordWrap/>
        <w:overflowPunct/>
        <w:topLinePunct w:val="0"/>
        <w:autoSpaceDE/>
        <w:autoSpaceDN/>
        <w:bidi w:val="0"/>
        <w:adjustRightInd/>
        <w:snapToGrid/>
        <w:spacing w:line="586" w:lineRule="exact"/>
        <w:ind w:left="0" w:leftChars="0" w:right="0" w:rightChars="0" w:firstLine="640" w:firstLineChars="200"/>
        <w:jc w:val="left"/>
        <w:textAlignment w:val="auto"/>
        <w:outlineLvl w:val="9"/>
        <w:rPr>
          <w:rFonts w:hint="eastAsia" w:eastAsia="仿宋_GB2312"/>
          <w:sz w:val="32"/>
          <w:szCs w:val="32"/>
          <w:lang w:val="en-US" w:eastAsia="zh-CN"/>
        </w:rPr>
      </w:pPr>
      <w:r>
        <w:rPr>
          <w:rFonts w:hint="eastAsia" w:eastAsia="仿宋_GB2312"/>
          <w:sz w:val="32"/>
          <w:szCs w:val="32"/>
          <w:lang w:val="en-US" w:eastAsia="zh-CN"/>
        </w:rPr>
        <w:t>2020年全县政府性基金总收入预算拟安排74000万元。其中：当年收入预算安排65930万元，比2019年执行数24711万元增长166.8%；上年结余收入3170万元。</w:t>
      </w:r>
    </w:p>
    <w:p>
      <w:pPr>
        <w:keepNext w:val="0"/>
        <w:keepLines w:val="0"/>
        <w:pageBreakBefore w:val="0"/>
        <w:widowControl w:val="0"/>
        <w:kinsoku/>
        <w:wordWrap/>
        <w:overflowPunct/>
        <w:topLinePunct w:val="0"/>
        <w:autoSpaceDE/>
        <w:autoSpaceDN/>
        <w:bidi w:val="0"/>
        <w:adjustRightInd/>
        <w:snapToGrid/>
        <w:spacing w:line="586" w:lineRule="exact"/>
        <w:ind w:left="0" w:leftChars="0" w:right="0" w:rightChars="0" w:firstLine="640" w:firstLineChars="200"/>
        <w:jc w:val="left"/>
        <w:textAlignment w:val="auto"/>
        <w:outlineLvl w:val="9"/>
        <w:rPr>
          <w:rFonts w:hint="eastAsia" w:eastAsia="仿宋_GB2312"/>
          <w:sz w:val="32"/>
          <w:szCs w:val="32"/>
          <w:lang w:val="en-US" w:eastAsia="zh-CN"/>
        </w:rPr>
      </w:pPr>
      <w:r>
        <w:rPr>
          <w:rFonts w:hint="eastAsia" w:eastAsia="仿宋_GB2312"/>
          <w:sz w:val="32"/>
          <w:szCs w:val="32"/>
          <w:lang w:val="en-US" w:eastAsia="zh-CN"/>
        </w:rPr>
        <w:t>2020年政府性基金支出预算拟安排8800万元，比2019年年初预算减少26%，调出资金62550万元（从土地出让收入调出62550万元），专项债务还本支出500万元。收支相抵，预计年终结余2150万元。</w:t>
      </w:r>
    </w:p>
    <w:p>
      <w:pPr>
        <w:keepNext w:val="0"/>
        <w:keepLines w:val="0"/>
        <w:pageBreakBefore w:val="0"/>
        <w:widowControl w:val="0"/>
        <w:kinsoku/>
        <w:wordWrap/>
        <w:overflowPunct/>
        <w:topLinePunct w:val="0"/>
        <w:autoSpaceDE/>
        <w:autoSpaceDN/>
        <w:bidi w:val="0"/>
        <w:adjustRightInd/>
        <w:snapToGrid/>
        <w:spacing w:line="586" w:lineRule="exact"/>
        <w:ind w:left="0" w:leftChars="0" w:right="0" w:rightChars="0" w:firstLine="643" w:firstLineChars="200"/>
        <w:jc w:val="left"/>
        <w:textAlignment w:val="auto"/>
        <w:outlineLvl w:val="9"/>
        <w:rPr>
          <w:rFonts w:hint="eastAsia" w:eastAsia="仿宋_GB2312"/>
          <w:b/>
          <w:bCs/>
          <w:sz w:val="32"/>
          <w:szCs w:val="32"/>
          <w:lang w:val="en-US" w:eastAsia="zh-CN"/>
        </w:rPr>
      </w:pPr>
      <w:r>
        <w:rPr>
          <w:rFonts w:hint="eastAsia" w:ascii="楷体_GB2312" w:hAnsi="楷体_GB2312" w:eastAsia="楷体_GB2312" w:cs="楷体_GB2312"/>
          <w:b/>
          <w:bCs/>
          <w:sz w:val="32"/>
          <w:szCs w:val="32"/>
          <w:lang w:val="en-US" w:eastAsia="zh-CN"/>
        </w:rPr>
        <w:t>（五）社会保险基金预算安排情况</w:t>
      </w:r>
    </w:p>
    <w:p>
      <w:pPr>
        <w:keepNext w:val="0"/>
        <w:keepLines w:val="0"/>
        <w:pageBreakBefore w:val="0"/>
        <w:widowControl w:val="0"/>
        <w:kinsoku/>
        <w:wordWrap/>
        <w:overflowPunct/>
        <w:topLinePunct w:val="0"/>
        <w:autoSpaceDE/>
        <w:autoSpaceDN/>
        <w:bidi w:val="0"/>
        <w:adjustRightInd/>
        <w:snapToGrid/>
        <w:spacing w:line="586" w:lineRule="exact"/>
        <w:ind w:left="0" w:leftChars="0" w:right="0" w:rightChars="0" w:firstLine="640" w:firstLineChars="200"/>
        <w:jc w:val="left"/>
        <w:textAlignment w:val="auto"/>
        <w:outlineLvl w:val="9"/>
        <w:rPr>
          <w:rFonts w:hint="eastAsia" w:eastAsia="仿宋_GB2312"/>
          <w:sz w:val="32"/>
          <w:szCs w:val="32"/>
          <w:lang w:val="en-US" w:eastAsia="zh-CN"/>
        </w:rPr>
      </w:pPr>
      <w:r>
        <w:rPr>
          <w:rFonts w:hint="eastAsia" w:eastAsia="仿宋_GB2312"/>
          <w:sz w:val="32"/>
          <w:szCs w:val="32"/>
          <w:lang w:val="en-US" w:eastAsia="zh-CN"/>
        </w:rPr>
        <w:t>2020年全县社会保险2项基金收入合计拟安排28455万元，比2019年执行数增长17%。其中：城乡居民基本养老保险基金收入8328万元，增长1%。机关事业单位基本养老保险基金收入20127万元，增长25%。</w:t>
      </w:r>
    </w:p>
    <w:p>
      <w:pPr>
        <w:keepNext w:val="0"/>
        <w:keepLines w:val="0"/>
        <w:pageBreakBefore w:val="0"/>
        <w:widowControl w:val="0"/>
        <w:kinsoku/>
        <w:wordWrap/>
        <w:overflowPunct/>
        <w:topLinePunct w:val="0"/>
        <w:autoSpaceDE/>
        <w:autoSpaceDN/>
        <w:bidi w:val="0"/>
        <w:adjustRightInd/>
        <w:snapToGrid/>
        <w:spacing w:line="586" w:lineRule="exact"/>
        <w:ind w:left="0" w:leftChars="0" w:right="0" w:rightChars="0" w:firstLine="640" w:firstLineChars="200"/>
        <w:jc w:val="left"/>
        <w:textAlignment w:val="auto"/>
        <w:outlineLvl w:val="9"/>
        <w:rPr>
          <w:rFonts w:hint="eastAsia" w:eastAsia="仿宋_GB2312"/>
          <w:sz w:val="32"/>
          <w:szCs w:val="32"/>
          <w:lang w:val="en-US" w:eastAsia="zh-CN"/>
        </w:rPr>
      </w:pPr>
      <w:r>
        <w:rPr>
          <w:rFonts w:hint="eastAsia" w:eastAsia="仿宋_GB2312"/>
          <w:sz w:val="32"/>
          <w:szCs w:val="32"/>
          <w:lang w:val="en-US" w:eastAsia="zh-CN"/>
        </w:rPr>
        <w:t>2020年全县社会保险2项基金支出合计拟安排24194万元，比2019年执行数增长4%。其中：城乡居民基本养老保险基金支出6505万元，增长0；机关事业单位基本养老保险基金支出17689万元，增长6%。</w:t>
      </w:r>
    </w:p>
    <w:p>
      <w:pPr>
        <w:keepNext w:val="0"/>
        <w:keepLines w:val="0"/>
        <w:pageBreakBefore w:val="0"/>
        <w:widowControl w:val="0"/>
        <w:kinsoku/>
        <w:wordWrap/>
        <w:overflowPunct/>
        <w:topLinePunct w:val="0"/>
        <w:autoSpaceDE/>
        <w:autoSpaceDN/>
        <w:bidi w:val="0"/>
        <w:adjustRightInd/>
        <w:snapToGrid/>
        <w:spacing w:line="586" w:lineRule="exact"/>
        <w:ind w:right="0" w:rightChars="0" w:firstLine="640"/>
        <w:jc w:val="left"/>
        <w:textAlignment w:val="auto"/>
        <w:outlineLvl w:val="9"/>
        <w:rPr>
          <w:rFonts w:hint="eastAsia" w:eastAsia="仿宋_GB2312"/>
          <w:sz w:val="32"/>
          <w:szCs w:val="32"/>
          <w:lang w:val="en-US" w:eastAsia="zh-CN"/>
        </w:rPr>
      </w:pPr>
      <w:r>
        <w:rPr>
          <w:rFonts w:hint="eastAsia" w:eastAsia="仿宋_GB2312"/>
          <w:sz w:val="32"/>
          <w:szCs w:val="32"/>
          <w:lang w:val="en-US" w:eastAsia="zh-CN"/>
        </w:rPr>
        <w:t>收支相抵结余4261万元，年终滚存结余25977万元，其中：城乡居民基本养老保险基金12881万元;机关事业单位基本养老保险基金13096万元。</w:t>
      </w:r>
    </w:p>
    <w:p>
      <w:pPr>
        <w:keepNext w:val="0"/>
        <w:keepLines w:val="0"/>
        <w:pageBreakBefore w:val="0"/>
        <w:widowControl w:val="0"/>
        <w:kinsoku/>
        <w:wordWrap/>
        <w:overflowPunct/>
        <w:topLinePunct w:val="0"/>
        <w:autoSpaceDE/>
        <w:autoSpaceDN/>
        <w:bidi w:val="0"/>
        <w:adjustRightInd/>
        <w:snapToGrid/>
        <w:spacing w:line="586" w:lineRule="exact"/>
        <w:ind w:left="0" w:leftChars="0" w:right="0" w:rightChars="0" w:firstLine="643" w:firstLineChars="200"/>
        <w:jc w:val="left"/>
        <w:textAlignment w:val="auto"/>
        <w:outlineLvl w:val="9"/>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（六）2020年“三保”预算支出情况</w:t>
      </w:r>
    </w:p>
    <w:p>
      <w:pPr>
        <w:keepNext w:val="0"/>
        <w:keepLines w:val="0"/>
        <w:pageBreakBefore w:val="0"/>
        <w:widowControl w:val="0"/>
        <w:kinsoku/>
        <w:wordWrap/>
        <w:overflowPunct/>
        <w:topLinePunct w:val="0"/>
        <w:autoSpaceDE/>
        <w:autoSpaceDN/>
        <w:bidi w:val="0"/>
        <w:adjustRightInd/>
        <w:snapToGrid/>
        <w:spacing w:line="586" w:lineRule="exact"/>
        <w:ind w:right="0" w:rightChars="0" w:firstLine="640"/>
        <w:jc w:val="left"/>
        <w:textAlignment w:val="auto"/>
        <w:outlineLvl w:val="9"/>
        <w:rPr>
          <w:rFonts w:hint="eastAsia" w:eastAsia="仿宋_GB2312"/>
          <w:sz w:val="32"/>
          <w:szCs w:val="32"/>
          <w:lang w:val="en-US" w:eastAsia="zh-CN"/>
        </w:rPr>
      </w:pPr>
      <w:r>
        <w:rPr>
          <w:rFonts w:hint="eastAsia" w:eastAsia="仿宋_GB2312"/>
          <w:sz w:val="32"/>
          <w:szCs w:val="32"/>
          <w:lang w:val="en-US" w:eastAsia="zh-CN"/>
        </w:rPr>
        <w:t>2020年，我县财政部门将全面贯彻落实中央、自治区决策部署，按照市委、市政府要求，切实履行财政职能，加大财政支持力度，全力做好疫情防控经费保障、落实疫情防控相关补助政策、保障全面复工复产以及经济运行的财政政策等方面工作，围绕全年目标，想方设法、多措并举，全力应对疫情影响，集中财力重点用于保障全县“三保”支出，坚持把“保工资”作为政治任务列入资金调度的第一序列，将保运转和保基本民生作为基本要求来确保，力促全县经济平稳运行。</w:t>
      </w:r>
      <w:r>
        <w:rPr>
          <w:rFonts w:hint="eastAsia" w:ascii="仿宋_GB2312" w:hAnsi="仿宋_GB2312" w:eastAsia="仿宋_GB2312" w:cs="仿宋_GB2312"/>
          <w:sz w:val="32"/>
          <w:szCs w:val="32"/>
        </w:rPr>
        <w:t>2020年，我县“三保”预计支出111483万元，其中</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保工资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支出76160万元，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保运转</w:t>
      </w:r>
      <w:r>
        <w:rPr>
          <w:rFonts w:hint="eastAsia" w:ascii="仿宋_GB2312" w:hAnsi="仿宋_GB2312" w:eastAsia="仿宋_GB2312" w:cs="仿宋_GB2312"/>
          <w:sz w:val="32"/>
          <w:szCs w:val="32"/>
          <w:lang w:eastAsia="zh-CN"/>
        </w:rPr>
        <w:t>”支出</w:t>
      </w:r>
      <w:r>
        <w:rPr>
          <w:rFonts w:hint="eastAsia" w:ascii="仿宋_GB2312" w:hAnsi="仿宋_GB2312" w:eastAsia="仿宋_GB2312" w:cs="仿宋_GB2312"/>
          <w:sz w:val="32"/>
          <w:szCs w:val="32"/>
        </w:rPr>
        <w:t>1128万元，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保民生</w:t>
      </w:r>
      <w:r>
        <w:rPr>
          <w:rFonts w:hint="eastAsia" w:ascii="仿宋_GB2312" w:hAnsi="仿宋_GB2312" w:eastAsia="仿宋_GB2312" w:cs="仿宋_GB2312"/>
          <w:sz w:val="32"/>
          <w:szCs w:val="32"/>
          <w:lang w:eastAsia="zh-CN"/>
        </w:rPr>
        <w:t>”支出</w:t>
      </w:r>
      <w:r>
        <w:rPr>
          <w:rFonts w:hint="eastAsia" w:ascii="仿宋_GB2312" w:hAnsi="仿宋_GB2312" w:eastAsia="仿宋_GB2312" w:cs="仿宋_GB2312"/>
          <w:sz w:val="32"/>
          <w:szCs w:val="32"/>
        </w:rPr>
        <w:t>34195万元。</w:t>
      </w:r>
    </w:p>
    <w:p>
      <w:pPr>
        <w:keepNext w:val="0"/>
        <w:keepLines w:val="0"/>
        <w:pageBreakBefore w:val="0"/>
        <w:widowControl w:val="0"/>
        <w:kinsoku/>
        <w:wordWrap/>
        <w:overflowPunct/>
        <w:topLinePunct w:val="0"/>
        <w:autoSpaceDE/>
        <w:autoSpaceDN/>
        <w:bidi w:val="0"/>
        <w:adjustRightInd/>
        <w:snapToGrid/>
        <w:spacing w:line="586" w:lineRule="exact"/>
        <w:ind w:left="0" w:leftChars="0" w:right="0" w:rightChars="0" w:firstLine="640" w:firstLineChars="200"/>
        <w:jc w:val="left"/>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三、不忘初心，砥砺前行，奋力推进永福财政的可持续发展</w:t>
      </w:r>
    </w:p>
    <w:p>
      <w:pPr>
        <w:keepNext w:val="0"/>
        <w:keepLines w:val="0"/>
        <w:pageBreakBefore w:val="0"/>
        <w:widowControl w:val="0"/>
        <w:kinsoku/>
        <w:wordWrap/>
        <w:overflowPunct/>
        <w:topLinePunct w:val="0"/>
        <w:autoSpaceDE/>
        <w:autoSpaceDN/>
        <w:bidi w:val="0"/>
        <w:adjustRightInd/>
        <w:snapToGrid/>
        <w:spacing w:line="586" w:lineRule="exact"/>
        <w:ind w:right="0" w:rightChars="0"/>
        <w:jc w:val="left"/>
        <w:textAlignment w:val="auto"/>
        <w:outlineLvl w:val="9"/>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　　(一)坚决落实过“紧日子”的要求，切实兜牢“三保”政策底线</w:t>
      </w:r>
    </w:p>
    <w:p>
      <w:pPr>
        <w:keepNext w:val="0"/>
        <w:keepLines w:val="0"/>
        <w:pageBreakBefore w:val="0"/>
        <w:widowControl w:val="0"/>
        <w:kinsoku/>
        <w:wordWrap/>
        <w:overflowPunct/>
        <w:topLinePunct w:val="0"/>
        <w:autoSpaceDE/>
        <w:autoSpaceDN/>
        <w:bidi w:val="0"/>
        <w:adjustRightInd/>
        <w:snapToGrid/>
        <w:spacing w:line="586" w:lineRule="exact"/>
        <w:ind w:right="0" w:rightChars="0" w:firstLine="640"/>
        <w:jc w:val="left"/>
        <w:textAlignment w:val="auto"/>
        <w:outlineLvl w:val="9"/>
        <w:rPr>
          <w:rFonts w:hint="eastAsia" w:eastAsia="仿宋_GB2312"/>
          <w:sz w:val="32"/>
          <w:szCs w:val="32"/>
          <w:lang w:val="en-US" w:eastAsia="zh-CN"/>
        </w:rPr>
      </w:pPr>
      <w:r>
        <w:rPr>
          <w:rFonts w:hint="eastAsia" w:eastAsia="仿宋_GB2312"/>
          <w:sz w:val="32"/>
          <w:szCs w:val="32"/>
          <w:lang w:val="en-US" w:eastAsia="zh-CN"/>
        </w:rPr>
        <w:t>大力压减一般性支出，不折不扣落实过紧日子要求，牢固树立艰苦奋斗、勤俭节约的思想，反对铺张浪费。坚决压减非急需、非刚性和低效支出，取消无效支出，调整标准过高的支出。坚持兜牢“三保”底线，统筹各类资金，优先保障工资发放、机构运转和基本民生支出需求。</w:t>
      </w:r>
    </w:p>
    <w:p>
      <w:pPr>
        <w:pStyle w:val="5"/>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75" w:lineRule="atLeast"/>
        <w:ind w:right="0" w:firstLine="644"/>
        <w:jc w:val="both"/>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坚持强基固本，壮大财源基础，提高财政收入</w:t>
      </w:r>
    </w:p>
    <w:p>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ind w:right="0" w:rightChars="0" w:firstLine="642"/>
        <w:rPr>
          <w:rFonts w:hint="eastAsia" w:ascii="Times New Roman" w:hAnsi="Times New Roman" w:eastAsia="仿宋_GB2312" w:cs="Times New Roman"/>
          <w:kern w:val="2"/>
          <w:sz w:val="32"/>
          <w:szCs w:val="32"/>
          <w:lang w:val="en-US" w:eastAsia="zh-CN" w:bidi="ar-SA"/>
        </w:rPr>
      </w:pPr>
      <w:r>
        <w:rPr>
          <w:rFonts w:hint="eastAsia" w:ascii="楷体_GB2312" w:hAnsi="楷体_GB2312" w:eastAsia="楷体_GB2312" w:cs="楷体_GB2312"/>
          <w:b/>
          <w:bCs/>
          <w:sz w:val="32"/>
          <w:szCs w:val="32"/>
          <w:lang w:val="en-US" w:eastAsia="zh-CN"/>
        </w:rPr>
        <w:t>一是</w:t>
      </w:r>
      <w:r>
        <w:rPr>
          <w:rFonts w:hint="eastAsia" w:ascii="楷体" w:hAnsi="楷体" w:eastAsia="楷体" w:cs="楷体"/>
          <w:b/>
          <w:i w:val="0"/>
          <w:color w:val="333333"/>
          <w:sz w:val="32"/>
          <w:szCs w:val="32"/>
          <w:shd w:val="clear" w:fill="FFFFFF"/>
          <w:lang w:eastAsia="zh-CN"/>
        </w:rPr>
        <w:t>加大培植财源和财税征管力度。</w:t>
      </w:r>
      <w:r>
        <w:rPr>
          <w:rFonts w:hint="eastAsia" w:ascii="Times New Roman" w:hAnsi="Times New Roman" w:eastAsia="仿宋_GB2312" w:cs="Times New Roman"/>
          <w:kern w:val="2"/>
          <w:sz w:val="32"/>
          <w:szCs w:val="32"/>
          <w:lang w:val="en-US" w:eastAsia="zh-CN" w:bidi="ar-SA"/>
        </w:rPr>
        <w:t>加强综合治税工作，摸清税源底数，夯实税基，确保实有税源税收及时入库，加强税收征管，确保财政收入与经济保持同步增长。做好土地文章，做强文旅产业，培植地产税源，进一步加大招商引资力度，落实“放管服”政策，营造一流的营商环境，把县域经济做大做强。</w:t>
      </w:r>
      <w:r>
        <w:rPr>
          <w:rFonts w:hint="eastAsia" w:ascii="仿宋" w:hAnsi="仿宋" w:eastAsia="仿宋" w:cs="仿宋"/>
          <w:b/>
          <w:bCs/>
          <w:color w:val="333333"/>
          <w:sz w:val="32"/>
          <w:szCs w:val="32"/>
          <w:shd w:val="clear" w:fill="FFFFFF"/>
          <w:lang w:eastAsia="zh-CN"/>
        </w:rPr>
        <w:t>二是</w:t>
      </w:r>
      <w:r>
        <w:rPr>
          <w:rFonts w:hint="eastAsia" w:ascii="楷体" w:hAnsi="楷体" w:eastAsia="楷体" w:cs="楷体"/>
          <w:b/>
          <w:i w:val="0"/>
          <w:color w:val="333333"/>
          <w:sz w:val="32"/>
          <w:szCs w:val="32"/>
          <w:shd w:val="clear" w:fill="FFFFFF"/>
        </w:rPr>
        <w:t>加大向上争资力度。</w:t>
      </w:r>
      <w:r>
        <w:rPr>
          <w:rFonts w:hint="eastAsia" w:ascii="Times New Roman" w:hAnsi="Times New Roman" w:eastAsia="仿宋_GB2312" w:cs="Times New Roman"/>
          <w:kern w:val="2"/>
          <w:sz w:val="32"/>
          <w:szCs w:val="32"/>
          <w:lang w:val="en-US" w:eastAsia="zh-CN" w:bidi="ar-SA"/>
        </w:rPr>
        <w:t>各部门要把争取上级转移支付资金作为工作重点，紧盯中央、自治区、市对下转移支付方面的政策动向，认真研究，积极衔接，争取上级对我县的转移支付支持，增加县级财力。</w:t>
      </w:r>
      <w:r>
        <w:rPr>
          <w:rFonts w:hint="eastAsia" w:ascii="仿宋" w:hAnsi="仿宋" w:eastAsia="仿宋" w:cs="仿宋"/>
          <w:b/>
          <w:sz w:val="32"/>
          <w:szCs w:val="32"/>
          <w:lang w:eastAsia="zh-CN"/>
        </w:rPr>
        <w:t>三是</w:t>
      </w:r>
      <w:r>
        <w:rPr>
          <w:rFonts w:hint="eastAsia" w:ascii="楷体" w:hAnsi="楷体" w:eastAsia="楷体" w:cs="楷体"/>
          <w:b/>
          <w:i w:val="0"/>
          <w:color w:val="333333"/>
          <w:sz w:val="32"/>
          <w:szCs w:val="32"/>
          <w:shd w:val="clear" w:fill="FFFFFF"/>
        </w:rPr>
        <w:t>加大盘活资产资源力度。</w:t>
      </w:r>
      <w:r>
        <w:rPr>
          <w:rFonts w:hint="eastAsia" w:ascii="Times New Roman" w:hAnsi="Times New Roman" w:eastAsia="仿宋_GB2312" w:cs="Times New Roman"/>
          <w:kern w:val="2"/>
          <w:sz w:val="32"/>
          <w:szCs w:val="32"/>
          <w:lang w:val="en-US" w:eastAsia="zh-CN" w:bidi="ar-SA"/>
        </w:rPr>
        <w:t>强力推进土地收储盘活工作，全面完成土地出让收入年初预算，缓解“三保”和债务还本付息压力，及时盘活各行政事业单位闲置房屋、土地等存量资产资源，用以弥补财力缺口。</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75" w:lineRule="atLeast"/>
        <w:ind w:right="0"/>
        <w:jc w:val="both"/>
        <w:rPr>
          <w:rFonts w:hint="eastAsia" w:ascii="Times New Roman" w:hAnsi="Times New Roman" w:eastAsia="仿宋_GB2312" w:cs="Times New Roman"/>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　　（三)增强预算的科学性、前瞻性，强化预算的刚性约束</w:t>
      </w:r>
    </w:p>
    <w:p>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ind w:right="0" w:rightChars="0" w:firstLine="642"/>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坚持“先预算后支出、无预算不支出”，严把支出政策审核关，加强财政承受能力评估和预算评审，充分考虑当前财力和长远影响，凡是评估认定不具备实施条件、存在财政风险隐患的政策，一律不得出台实施；凡是脱离实际、没有落实资金来源的建设项目，一律不得开工建设。</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75" w:lineRule="atLeast"/>
        <w:ind w:right="0"/>
        <w:jc w:val="both"/>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　　(四)以积极的财政政策为导向，全力支持县域经济发展</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75" w:lineRule="atLeast"/>
        <w:ind w:right="0" w:firstLine="644"/>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支持打好三大攻坚战，确保如期完成脱贫任务目标，污染防治成效进一步提升。推进落实隐性债务化解方案，全面落实减税降费政策，加强对财经形势的分析研判，全面落实县委、县政府重大战略决策、重要政策举措和重点建设项目的筹资方案，全力支持县域经济发展。</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75" w:lineRule="atLeast"/>
        <w:ind w:right="0" w:firstLine="64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各位代表，做好2020年财政工作，我们深感使命更光荣、任务更艰巨、挑战更严峻、工作更伟大，我们将在县委、县政府的正确领导下，在县人大、县政协的监督支持下，以只争朝夕的劲头、坚韧不拔的毅力，在财政改革发展的征程上继续奋斗，为促进全县经济社会和谐发展作出新的更大贡献。</w:t>
      </w:r>
    </w:p>
    <w:p>
      <w:pPr>
        <w:keepNext w:val="0"/>
        <w:keepLines w:val="0"/>
        <w:pageBreakBefore w:val="0"/>
        <w:widowControl w:val="0"/>
        <w:kinsoku/>
        <w:wordWrap/>
        <w:overflowPunct/>
        <w:topLinePunct w:val="0"/>
        <w:autoSpaceDE/>
        <w:autoSpaceDN/>
        <w:bidi w:val="0"/>
        <w:adjustRightInd/>
        <w:snapToGrid/>
        <w:spacing w:line="586" w:lineRule="exact"/>
        <w:ind w:left="0" w:leftChars="0" w:right="0" w:rightChars="0" w:firstLine="640" w:firstLineChars="200"/>
        <w:jc w:val="left"/>
        <w:textAlignment w:val="auto"/>
        <w:outlineLvl w:val="9"/>
        <w:rPr>
          <w:rFonts w:hint="eastAsia" w:eastAsia="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86" w:lineRule="exact"/>
        <w:ind w:left="0" w:leftChars="0" w:right="0" w:rightChars="0" w:firstLine="640" w:firstLineChars="200"/>
        <w:jc w:val="left"/>
        <w:textAlignment w:val="auto"/>
        <w:outlineLvl w:val="9"/>
        <w:rPr>
          <w:rFonts w:hint="eastAsia" w:eastAsia="仿宋_GB2312"/>
          <w:sz w:val="32"/>
          <w:szCs w:val="32"/>
          <w:lang w:val="en-US" w:eastAsia="zh-CN"/>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hint="eastAsia" w:ascii="仿宋" w:hAnsi="仿宋" w:eastAsia="仿宋" w:cs="仿宋"/>
          <w:i w:val="0"/>
          <w:caps w:val="0"/>
          <w:color w:val="333333"/>
          <w:spacing w:val="0"/>
          <w:sz w:val="31"/>
          <w:szCs w:val="31"/>
        </w:rPr>
      </w:pPr>
      <w:r>
        <w:rPr>
          <w:rFonts w:hint="eastAsia" w:ascii="仿宋" w:hAnsi="仿宋" w:eastAsia="仿宋" w:cs="仿宋"/>
          <w:i w:val="0"/>
          <w:caps w:val="0"/>
          <w:color w:val="333333"/>
          <w:spacing w:val="0"/>
          <w:sz w:val="31"/>
          <w:szCs w:val="31"/>
          <w:shd w:val="clear" w:fill="FFFFFF"/>
        </w:rPr>
        <w:t> </w:t>
      </w:r>
    </w:p>
    <w:p>
      <w:pPr>
        <w:spacing w:line="480" w:lineRule="exact"/>
        <w:rPr>
          <w:rFonts w:ascii="仿宋_GB2312" w:hAnsi="仿宋_GB2312" w:eastAsia="仿宋_GB2312" w:cs="仿宋_GB2312"/>
          <w:sz w:val="32"/>
          <w:szCs w:val="32"/>
        </w:rPr>
      </w:pPr>
    </w:p>
    <w:sectPr>
      <w:headerReference r:id="rId3" w:type="default"/>
      <w:footerReference r:id="rId5" w:type="default"/>
      <w:headerReference r:id="rId4" w:type="even"/>
      <w:footerReference r:id="rId6" w:type="even"/>
      <w:pgSz w:w="11906" w:h="16838"/>
      <w:pgMar w:top="2098" w:right="1304" w:bottom="1304" w:left="1587"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方正小标宋_GBK">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right="360"/>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19253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19253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ind w:firstLine="326" w:firstLineChars="100"/>
                            <w:rPr>
                              <w:rFonts w:hint="eastAsia" w:asciiTheme="minorEastAsia" w:hAnsiTheme="minorEastAsia" w:eastAsiaTheme="minorEastAsia" w:cstheme="minorEastAsia"/>
                              <w:spacing w:val="23"/>
                              <w:sz w:val="28"/>
                              <w:szCs w:val="28"/>
                              <w:lang w:val="en-US" w:eastAsia="zh-CN"/>
                            </w:rPr>
                          </w:pPr>
                          <w:r>
                            <w:rPr>
                              <w:rFonts w:hint="eastAsia" w:ascii="宋体" w:hAnsi="宋体" w:eastAsia="宋体" w:cs="宋体"/>
                              <w:spacing w:val="23"/>
                              <w:sz w:val="28"/>
                              <w:szCs w:val="28"/>
                              <w:lang w:eastAsia="zh-CN"/>
                            </w:rPr>
                            <w:t>—</w:t>
                          </w:r>
                          <w:r>
                            <w:rPr>
                              <w:rFonts w:hint="eastAsia" w:ascii="宋体" w:hAnsi="宋体" w:cs="宋体"/>
                              <w:spacing w:val="23"/>
                              <w:sz w:val="28"/>
                              <w:szCs w:val="28"/>
                              <w:lang w:val="en-US" w:eastAsia="zh-CN"/>
                            </w:rPr>
                            <w:t xml:space="preserve"> </w:t>
                          </w:r>
                          <w:r>
                            <w:rPr>
                              <w:rFonts w:hint="eastAsia" w:asciiTheme="minorEastAsia" w:hAnsiTheme="minorEastAsia" w:eastAsiaTheme="minorEastAsia" w:cstheme="minorEastAsia"/>
                              <w:spacing w:val="23"/>
                              <w:sz w:val="28"/>
                              <w:szCs w:val="28"/>
                              <w:lang w:eastAsia="zh-CN"/>
                            </w:rPr>
                            <w:fldChar w:fldCharType="begin"/>
                          </w:r>
                          <w:r>
                            <w:rPr>
                              <w:rFonts w:hint="eastAsia" w:asciiTheme="minorEastAsia" w:hAnsiTheme="minorEastAsia" w:eastAsiaTheme="minorEastAsia" w:cstheme="minorEastAsia"/>
                              <w:spacing w:val="23"/>
                              <w:sz w:val="28"/>
                              <w:szCs w:val="28"/>
                              <w:lang w:eastAsia="zh-CN"/>
                            </w:rPr>
                            <w:instrText xml:space="preserve"> PAGE  \* MERGEFORMAT </w:instrText>
                          </w:r>
                          <w:r>
                            <w:rPr>
                              <w:rFonts w:hint="eastAsia" w:asciiTheme="minorEastAsia" w:hAnsiTheme="minorEastAsia" w:eastAsiaTheme="minorEastAsia" w:cstheme="minorEastAsia"/>
                              <w:spacing w:val="23"/>
                              <w:sz w:val="28"/>
                              <w:szCs w:val="28"/>
                              <w:lang w:eastAsia="zh-CN"/>
                            </w:rPr>
                            <w:fldChar w:fldCharType="separate"/>
                          </w:r>
                          <w:r>
                            <w:rPr>
                              <w:rFonts w:hint="eastAsia" w:asciiTheme="minorEastAsia" w:hAnsiTheme="minorEastAsia" w:eastAsiaTheme="minorEastAsia" w:cstheme="minorEastAsia"/>
                              <w:spacing w:val="23"/>
                              <w:sz w:val="28"/>
                              <w:szCs w:val="28"/>
                              <w:lang w:eastAsia="zh-CN"/>
                            </w:rPr>
                            <w:t>- 1 -</w:t>
                          </w:r>
                          <w:r>
                            <w:rPr>
                              <w:rFonts w:hint="eastAsia" w:asciiTheme="minorEastAsia" w:hAnsiTheme="minorEastAsia" w:eastAsiaTheme="minorEastAsia" w:cstheme="minorEastAsia"/>
                              <w:spacing w:val="23"/>
                              <w:sz w:val="28"/>
                              <w:szCs w:val="28"/>
                              <w:lang w:eastAsia="zh-CN"/>
                            </w:rPr>
                            <w:fldChar w:fldCharType="end"/>
                          </w:r>
                          <w:r>
                            <w:rPr>
                              <w:rFonts w:hint="eastAsia" w:asciiTheme="minorEastAsia" w:hAnsiTheme="minorEastAsia" w:eastAsiaTheme="minorEastAsia" w:cstheme="minorEastAsia"/>
                              <w:spacing w:val="23"/>
                              <w:sz w:val="28"/>
                              <w:szCs w:val="28"/>
                              <w:lang w:val="en-US" w:eastAsia="zh-CN"/>
                            </w:rPr>
                            <w:t xml:space="preserve"> </w:t>
                          </w:r>
                          <w:r>
                            <w:rPr>
                              <w:rFonts w:hint="eastAsia" w:ascii="宋体" w:hAnsi="宋体" w:eastAsia="宋体" w:cs="宋体"/>
                              <w:spacing w:val="23"/>
                              <w:sz w:val="28"/>
                              <w:szCs w:val="28"/>
                              <w:lang w:val="en-US" w:eastAsia="zh-CN"/>
                            </w:rPr>
                            <w:t>—</w:t>
                          </w:r>
                          <w:r>
                            <w:rPr>
                              <w:rFonts w:hint="eastAsia" w:ascii="宋体" w:hAnsi="宋体" w:cs="宋体"/>
                              <w:spacing w:val="23"/>
                              <w:sz w:val="28"/>
                              <w:szCs w:val="28"/>
                              <w:lang w:val="en-US" w:eastAsia="zh-CN"/>
                            </w:rPr>
                            <w:t xml:space="preserve">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93.9pt;mso-position-horizontal:outside;mso-position-horizontal-relative:margin;z-index:251658240;mso-width-relative:page;mso-height-relative:page;" filled="f" stroked="f" coordsize="21600,21600" o:gfxdata="UEsDBAoAAAAAAIdO4kAAAAAAAAAAAAAAAAAEAAAAZHJzL1BLAwQUAAAACACHTuJAiwOBKdMAAAAF&#10;AQAADwAAAGRycy9kb3ducmV2LnhtbE2PQU/DMAyF70j8h8hI3FiyHaAqTXdAsAOc6BDi6LVuU2ic&#10;qsm6wa/H48Iulqz3/Py9Yn30g5ppin1gC8uFAUVch6bnzsLb9ukmAxUTcoNDYLLwTRHW5eVFgXkT&#10;DvxKc5U6JSEcc7TgUhpzrWPtyGNchJFYtDZMHpOsU6ebCQ8S7ge9MuZWe+xZPjgc6cFR/VXtvWC8&#10;vxi/+Wndh3/GNlZuO28eP629vlqae1CJjunfDCd8uYFSmHZhz01UgwUpkv7mScvupMbOwirLDOiy&#10;0Of05S9QSwMEFAAAAAgAh07iQJKsmJEbAgAAFQQAAA4AAABkcnMvZTJvRG9jLnhtbK1TTY7TMBTe&#10;I3EHy3uatKMZlarpqMyoCKliRiqItes4TSTbzzy7TcoB4Aas2LDnXD0Hz07TQcAKsXG++P1/7/P8&#10;tjOaHRT6BmzBx6OcM2UllI3dFfz9u9WLKWc+CFsKDVYV/Kg8v108fzZv3UxNoAZdKmSUxPpZ6wpe&#10;h+BmWeZlrYzwI3DKkrECNCLQL+6yEkVL2Y3OJnl+k7WApUOQynu6ve+NfJHyV5WS4aGqvApMF5x6&#10;C+nEdG7jmS3mYrZD4epGntsQ/9CFEY2lopdU9yIItsfmj1SmkQgeqjCSYDKoqkaqNANNM85/m2ZT&#10;C6fSLESOdxea/P9LK98eHpE1ZcEnnFlhaEWnr19O336cvn9mk0hP6/yMvDaO/EL3Cjpa83Dv6TJO&#10;3VVo4pfmYWQnoo8XclUXmIxB45eT6ysySbKNp5PpNE/0Z0/hDn14rcCwCAqOtL1EqjisfaBWyHVw&#10;idUsrBqt0wa1ZW3Bb66u8xRwsVCEthQYh+ibjSh02+482RbKIw2G0CvDO7lqqPha+PAokKRADZO8&#10;wwMdlQYqAmfEWQ346W/30Z82RFbOWpJWwf3HvUDFmX5jaXdRhwPAAWwHYPfmDkitY3o4TiZIARj0&#10;ACsE84FUv4xVyCSspFoFDwO8C73A6dVItVwmp73DZlf3AaQ8J8LabpyMZSKV3i33gehMLEeKel7O&#10;zJH2EvnndxLF/et/8np6zY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iwOBKdMAAAAFAQAADwAA&#10;AAAAAAABACAAAAAiAAAAZHJzL2Rvd25yZXYueG1sUEsBAhQAFAAAAAgAh07iQJKsmJEbAgAAFQQA&#10;AA4AAAAAAAAAAQAgAAAAIgEAAGRycy9lMm9Eb2MueG1sUEsFBgAAAAAGAAYAWQEAAK8FAAAAAA==&#10;">
              <v:fill on="f" focussize="0,0"/>
              <v:stroke on="f" weight="0.5pt"/>
              <v:imagedata o:title=""/>
              <o:lock v:ext="edit" aspectratio="f"/>
              <v:textbox inset="0mm,0mm,0mm,0mm" style="mso-fit-shape-to-text:t;">
                <w:txbxContent>
                  <w:p>
                    <w:pPr>
                      <w:snapToGrid w:val="0"/>
                      <w:ind w:firstLine="326" w:firstLineChars="100"/>
                      <w:rPr>
                        <w:rFonts w:hint="eastAsia" w:asciiTheme="minorEastAsia" w:hAnsiTheme="minorEastAsia" w:eastAsiaTheme="minorEastAsia" w:cstheme="minorEastAsia"/>
                        <w:spacing w:val="23"/>
                        <w:sz w:val="28"/>
                        <w:szCs w:val="28"/>
                        <w:lang w:val="en-US" w:eastAsia="zh-CN"/>
                      </w:rPr>
                    </w:pPr>
                    <w:r>
                      <w:rPr>
                        <w:rFonts w:hint="eastAsia" w:ascii="宋体" w:hAnsi="宋体" w:eastAsia="宋体" w:cs="宋体"/>
                        <w:spacing w:val="23"/>
                        <w:sz w:val="28"/>
                        <w:szCs w:val="28"/>
                        <w:lang w:eastAsia="zh-CN"/>
                      </w:rPr>
                      <w:t>—</w:t>
                    </w:r>
                    <w:r>
                      <w:rPr>
                        <w:rFonts w:hint="eastAsia" w:ascii="宋体" w:hAnsi="宋体" w:cs="宋体"/>
                        <w:spacing w:val="23"/>
                        <w:sz w:val="28"/>
                        <w:szCs w:val="28"/>
                        <w:lang w:val="en-US" w:eastAsia="zh-CN"/>
                      </w:rPr>
                      <w:t xml:space="preserve"> </w:t>
                    </w:r>
                    <w:r>
                      <w:rPr>
                        <w:rFonts w:hint="eastAsia" w:asciiTheme="minorEastAsia" w:hAnsiTheme="minorEastAsia" w:eastAsiaTheme="minorEastAsia" w:cstheme="minorEastAsia"/>
                        <w:spacing w:val="23"/>
                        <w:sz w:val="28"/>
                        <w:szCs w:val="28"/>
                        <w:lang w:eastAsia="zh-CN"/>
                      </w:rPr>
                      <w:fldChar w:fldCharType="begin"/>
                    </w:r>
                    <w:r>
                      <w:rPr>
                        <w:rFonts w:hint="eastAsia" w:asciiTheme="minorEastAsia" w:hAnsiTheme="minorEastAsia" w:eastAsiaTheme="minorEastAsia" w:cstheme="minorEastAsia"/>
                        <w:spacing w:val="23"/>
                        <w:sz w:val="28"/>
                        <w:szCs w:val="28"/>
                        <w:lang w:eastAsia="zh-CN"/>
                      </w:rPr>
                      <w:instrText xml:space="preserve"> PAGE  \* MERGEFORMAT </w:instrText>
                    </w:r>
                    <w:r>
                      <w:rPr>
                        <w:rFonts w:hint="eastAsia" w:asciiTheme="minorEastAsia" w:hAnsiTheme="minorEastAsia" w:eastAsiaTheme="minorEastAsia" w:cstheme="minorEastAsia"/>
                        <w:spacing w:val="23"/>
                        <w:sz w:val="28"/>
                        <w:szCs w:val="28"/>
                        <w:lang w:eastAsia="zh-CN"/>
                      </w:rPr>
                      <w:fldChar w:fldCharType="separate"/>
                    </w:r>
                    <w:r>
                      <w:rPr>
                        <w:rFonts w:hint="eastAsia" w:asciiTheme="minorEastAsia" w:hAnsiTheme="minorEastAsia" w:eastAsiaTheme="minorEastAsia" w:cstheme="minorEastAsia"/>
                        <w:spacing w:val="23"/>
                        <w:sz w:val="28"/>
                        <w:szCs w:val="28"/>
                        <w:lang w:eastAsia="zh-CN"/>
                      </w:rPr>
                      <w:t>- 1 -</w:t>
                    </w:r>
                    <w:r>
                      <w:rPr>
                        <w:rFonts w:hint="eastAsia" w:asciiTheme="minorEastAsia" w:hAnsiTheme="minorEastAsia" w:eastAsiaTheme="minorEastAsia" w:cstheme="minorEastAsia"/>
                        <w:spacing w:val="23"/>
                        <w:sz w:val="28"/>
                        <w:szCs w:val="28"/>
                        <w:lang w:eastAsia="zh-CN"/>
                      </w:rPr>
                      <w:fldChar w:fldCharType="end"/>
                    </w:r>
                    <w:r>
                      <w:rPr>
                        <w:rFonts w:hint="eastAsia" w:asciiTheme="minorEastAsia" w:hAnsiTheme="minorEastAsia" w:eastAsiaTheme="minorEastAsia" w:cstheme="minorEastAsia"/>
                        <w:spacing w:val="23"/>
                        <w:sz w:val="28"/>
                        <w:szCs w:val="28"/>
                        <w:lang w:val="en-US" w:eastAsia="zh-CN"/>
                      </w:rPr>
                      <w:t xml:space="preserve"> </w:t>
                    </w:r>
                    <w:r>
                      <w:rPr>
                        <w:rFonts w:hint="eastAsia" w:ascii="宋体" w:hAnsi="宋体" w:eastAsia="宋体" w:cs="宋体"/>
                        <w:spacing w:val="23"/>
                        <w:sz w:val="28"/>
                        <w:szCs w:val="28"/>
                        <w:lang w:val="en-US" w:eastAsia="zh-CN"/>
                      </w:rPr>
                      <w:t>—</w:t>
                    </w:r>
                    <w:r>
                      <w:rPr>
                        <w:rFonts w:hint="eastAsia" w:ascii="宋体" w:hAnsi="宋体" w:cs="宋体"/>
                        <w:spacing w:val="23"/>
                        <w:sz w:val="28"/>
                        <w:szCs w:val="28"/>
                        <w:lang w:val="en-US" w:eastAsia="zh-CN"/>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right" w:y="1"/>
      <w:rPr>
        <w:rStyle w:val="9"/>
      </w:rPr>
    </w:pPr>
    <w:r>
      <w:fldChar w:fldCharType="begin"/>
    </w:r>
    <w:r>
      <w:rPr>
        <w:rStyle w:val="9"/>
      </w:rPr>
      <w:instrText xml:space="preserve">PAGE  </w:instrText>
    </w:r>
    <w:r>
      <w:fldChar w:fldCharType="end"/>
    </w:r>
  </w:p>
  <w:p>
    <w:pPr>
      <w:pStyle w:val="3"/>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1A9672"/>
    <w:multiLevelType w:val="singleLevel"/>
    <w:tmpl w:val="5E1A9672"/>
    <w:lvl w:ilvl="0" w:tentative="0">
      <w:start w:val="5"/>
      <w:numFmt w:val="chineseCounting"/>
      <w:suff w:val="nothing"/>
      <w:lvlText w:val="（%1）"/>
      <w:lvlJc w:val="left"/>
    </w:lvl>
  </w:abstractNum>
  <w:abstractNum w:abstractNumId="1">
    <w:nsid w:val="5E22B2D9"/>
    <w:multiLevelType w:val="singleLevel"/>
    <w:tmpl w:val="5E22B2D9"/>
    <w:lvl w:ilvl="0" w:tentative="0">
      <w:start w:val="1"/>
      <w:numFmt w:val="chineseCounting"/>
      <w:suff w:val="nothing"/>
      <w:lvlText w:val="（%1）"/>
      <w:lvlJc w:val="left"/>
    </w:lvl>
  </w:abstractNum>
  <w:abstractNum w:abstractNumId="2">
    <w:nsid w:val="5E2410BC"/>
    <w:multiLevelType w:val="singleLevel"/>
    <w:tmpl w:val="5E2410BC"/>
    <w:lvl w:ilvl="0" w:tentative="0">
      <w:start w:val="4"/>
      <w:numFmt w:val="chineseCounting"/>
      <w:suff w:val="nothing"/>
      <w:lvlText w:val="（%1）"/>
      <w:lvlJc w:val="left"/>
    </w:lvl>
  </w:abstractNum>
  <w:abstractNum w:abstractNumId="3">
    <w:nsid w:val="5E54D327"/>
    <w:multiLevelType w:val="singleLevel"/>
    <w:tmpl w:val="5E54D327"/>
    <w:lvl w:ilvl="0" w:tentative="0">
      <w:start w:val="2"/>
      <w:numFmt w:val="chineseCounting"/>
      <w:suff w:val="nothing"/>
      <w:lvlText w:val="(%1)"/>
      <w:lvlJc w:val="left"/>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2C5E"/>
    <w:rsid w:val="00125CC2"/>
    <w:rsid w:val="0013205F"/>
    <w:rsid w:val="00172A27"/>
    <w:rsid w:val="003358F9"/>
    <w:rsid w:val="003C655F"/>
    <w:rsid w:val="005028A4"/>
    <w:rsid w:val="005B1593"/>
    <w:rsid w:val="006F27C0"/>
    <w:rsid w:val="00763CBA"/>
    <w:rsid w:val="007F26AB"/>
    <w:rsid w:val="008223BF"/>
    <w:rsid w:val="009B6664"/>
    <w:rsid w:val="00B44AC7"/>
    <w:rsid w:val="00BB355F"/>
    <w:rsid w:val="00BC30F7"/>
    <w:rsid w:val="00C94502"/>
    <w:rsid w:val="00D46F45"/>
    <w:rsid w:val="00D81AFF"/>
    <w:rsid w:val="00DC0E5A"/>
    <w:rsid w:val="00F1423C"/>
    <w:rsid w:val="00F530DE"/>
    <w:rsid w:val="01206833"/>
    <w:rsid w:val="0146700B"/>
    <w:rsid w:val="014E3B99"/>
    <w:rsid w:val="016D2848"/>
    <w:rsid w:val="02510891"/>
    <w:rsid w:val="027B52EF"/>
    <w:rsid w:val="02AB21EF"/>
    <w:rsid w:val="02EA4A15"/>
    <w:rsid w:val="0355691F"/>
    <w:rsid w:val="03B357FA"/>
    <w:rsid w:val="048A42BD"/>
    <w:rsid w:val="048C236A"/>
    <w:rsid w:val="04DC63DC"/>
    <w:rsid w:val="05317DC9"/>
    <w:rsid w:val="056051E3"/>
    <w:rsid w:val="056C700E"/>
    <w:rsid w:val="05983871"/>
    <w:rsid w:val="05A22B0E"/>
    <w:rsid w:val="06337CF6"/>
    <w:rsid w:val="076E42C1"/>
    <w:rsid w:val="07B32DBC"/>
    <w:rsid w:val="08A625FB"/>
    <w:rsid w:val="0912219F"/>
    <w:rsid w:val="094C1761"/>
    <w:rsid w:val="09900A87"/>
    <w:rsid w:val="09A86AB2"/>
    <w:rsid w:val="09AE5FE1"/>
    <w:rsid w:val="0A1F7755"/>
    <w:rsid w:val="0A8D6754"/>
    <w:rsid w:val="0AAD5FB1"/>
    <w:rsid w:val="0AEB6A59"/>
    <w:rsid w:val="0B3920B4"/>
    <w:rsid w:val="0BAF36F1"/>
    <w:rsid w:val="0C1724DD"/>
    <w:rsid w:val="0CAE6187"/>
    <w:rsid w:val="0CF64ADD"/>
    <w:rsid w:val="0D4D7E0C"/>
    <w:rsid w:val="0D7D369E"/>
    <w:rsid w:val="0DF47A9F"/>
    <w:rsid w:val="0E7E0609"/>
    <w:rsid w:val="0E8D3DDA"/>
    <w:rsid w:val="0EA048FC"/>
    <w:rsid w:val="0EB51177"/>
    <w:rsid w:val="0EBA3E3D"/>
    <w:rsid w:val="0EF30AB1"/>
    <w:rsid w:val="0F15782C"/>
    <w:rsid w:val="101927A8"/>
    <w:rsid w:val="10545BA0"/>
    <w:rsid w:val="10A03855"/>
    <w:rsid w:val="10ED2039"/>
    <w:rsid w:val="11717C51"/>
    <w:rsid w:val="12705A7A"/>
    <w:rsid w:val="127925E4"/>
    <w:rsid w:val="12893250"/>
    <w:rsid w:val="12B90C07"/>
    <w:rsid w:val="12D71C98"/>
    <w:rsid w:val="138479B8"/>
    <w:rsid w:val="14045A0B"/>
    <w:rsid w:val="144B5605"/>
    <w:rsid w:val="149C3B08"/>
    <w:rsid w:val="14A5294A"/>
    <w:rsid w:val="14BC7390"/>
    <w:rsid w:val="14E43CAE"/>
    <w:rsid w:val="14ED1BB6"/>
    <w:rsid w:val="15347A4D"/>
    <w:rsid w:val="15B61EA7"/>
    <w:rsid w:val="15D37007"/>
    <w:rsid w:val="15ED1DF7"/>
    <w:rsid w:val="161A2293"/>
    <w:rsid w:val="16210608"/>
    <w:rsid w:val="164B4D96"/>
    <w:rsid w:val="16515B96"/>
    <w:rsid w:val="168E11CC"/>
    <w:rsid w:val="16936464"/>
    <w:rsid w:val="16E73AB6"/>
    <w:rsid w:val="17097D5B"/>
    <w:rsid w:val="171531B0"/>
    <w:rsid w:val="17AA2A2D"/>
    <w:rsid w:val="18717E63"/>
    <w:rsid w:val="19346B99"/>
    <w:rsid w:val="19542786"/>
    <w:rsid w:val="197E68CF"/>
    <w:rsid w:val="1998764C"/>
    <w:rsid w:val="19C61EAE"/>
    <w:rsid w:val="1A4C6554"/>
    <w:rsid w:val="1A704AAB"/>
    <w:rsid w:val="1AA4031A"/>
    <w:rsid w:val="1C5A343D"/>
    <w:rsid w:val="1C7471EE"/>
    <w:rsid w:val="1CAC2681"/>
    <w:rsid w:val="1CB11D92"/>
    <w:rsid w:val="1DD912B1"/>
    <w:rsid w:val="1DDD6D36"/>
    <w:rsid w:val="1E103D69"/>
    <w:rsid w:val="1E8421FF"/>
    <w:rsid w:val="1E915688"/>
    <w:rsid w:val="1F572499"/>
    <w:rsid w:val="1F5775D4"/>
    <w:rsid w:val="1FD95FE5"/>
    <w:rsid w:val="1FDF237D"/>
    <w:rsid w:val="20076144"/>
    <w:rsid w:val="20B60C39"/>
    <w:rsid w:val="21BC725E"/>
    <w:rsid w:val="21CB5006"/>
    <w:rsid w:val="22683E76"/>
    <w:rsid w:val="229527D2"/>
    <w:rsid w:val="232D0EBB"/>
    <w:rsid w:val="23452EB3"/>
    <w:rsid w:val="234C281A"/>
    <w:rsid w:val="23D736B5"/>
    <w:rsid w:val="23DE73A3"/>
    <w:rsid w:val="242D5EA3"/>
    <w:rsid w:val="25151594"/>
    <w:rsid w:val="25482C00"/>
    <w:rsid w:val="26014AD4"/>
    <w:rsid w:val="275A7E2F"/>
    <w:rsid w:val="28995DDC"/>
    <w:rsid w:val="28B32291"/>
    <w:rsid w:val="28C74FFE"/>
    <w:rsid w:val="28CC061A"/>
    <w:rsid w:val="292E73FA"/>
    <w:rsid w:val="295F0EBB"/>
    <w:rsid w:val="29973A9B"/>
    <w:rsid w:val="2A3B4B7A"/>
    <w:rsid w:val="2A3D4926"/>
    <w:rsid w:val="2AB56401"/>
    <w:rsid w:val="2B0200AA"/>
    <w:rsid w:val="2B250114"/>
    <w:rsid w:val="2B44248B"/>
    <w:rsid w:val="2BB81754"/>
    <w:rsid w:val="2C69326A"/>
    <w:rsid w:val="2C79321F"/>
    <w:rsid w:val="2C871C9B"/>
    <w:rsid w:val="2CAF5CA0"/>
    <w:rsid w:val="2CD22575"/>
    <w:rsid w:val="2D15188F"/>
    <w:rsid w:val="2D487E7A"/>
    <w:rsid w:val="2DEE6C2E"/>
    <w:rsid w:val="2EF942C7"/>
    <w:rsid w:val="2F03719F"/>
    <w:rsid w:val="2F4A709E"/>
    <w:rsid w:val="2F761F43"/>
    <w:rsid w:val="2F8D009E"/>
    <w:rsid w:val="307A2248"/>
    <w:rsid w:val="30FF3174"/>
    <w:rsid w:val="31693A95"/>
    <w:rsid w:val="31D12FBA"/>
    <w:rsid w:val="31EE7C1A"/>
    <w:rsid w:val="322858C6"/>
    <w:rsid w:val="322A6260"/>
    <w:rsid w:val="32396920"/>
    <w:rsid w:val="32BA269B"/>
    <w:rsid w:val="32E305DD"/>
    <w:rsid w:val="338140E7"/>
    <w:rsid w:val="34233356"/>
    <w:rsid w:val="345944F6"/>
    <w:rsid w:val="34672D86"/>
    <w:rsid w:val="35297CC6"/>
    <w:rsid w:val="36593258"/>
    <w:rsid w:val="366F087F"/>
    <w:rsid w:val="36A71A1C"/>
    <w:rsid w:val="37010372"/>
    <w:rsid w:val="37893499"/>
    <w:rsid w:val="37BE65D1"/>
    <w:rsid w:val="381369A8"/>
    <w:rsid w:val="38783557"/>
    <w:rsid w:val="387933D0"/>
    <w:rsid w:val="38946AE1"/>
    <w:rsid w:val="38954902"/>
    <w:rsid w:val="38A41E81"/>
    <w:rsid w:val="38A90FD4"/>
    <w:rsid w:val="38A94437"/>
    <w:rsid w:val="38B752AC"/>
    <w:rsid w:val="39277CD9"/>
    <w:rsid w:val="39986E48"/>
    <w:rsid w:val="39CA1029"/>
    <w:rsid w:val="3A996105"/>
    <w:rsid w:val="3AC359C2"/>
    <w:rsid w:val="3AD40BC9"/>
    <w:rsid w:val="3B272A4F"/>
    <w:rsid w:val="3B5D1E43"/>
    <w:rsid w:val="3BAA4C7C"/>
    <w:rsid w:val="3BE67555"/>
    <w:rsid w:val="3BFC68E1"/>
    <w:rsid w:val="3C144463"/>
    <w:rsid w:val="3C4D5706"/>
    <w:rsid w:val="3CA312BE"/>
    <w:rsid w:val="3CAB376E"/>
    <w:rsid w:val="3CAC7DE0"/>
    <w:rsid w:val="3CC03D62"/>
    <w:rsid w:val="3CDB2EBD"/>
    <w:rsid w:val="3D624C7E"/>
    <w:rsid w:val="3E4B640C"/>
    <w:rsid w:val="3E6D6463"/>
    <w:rsid w:val="3ED32B9D"/>
    <w:rsid w:val="3EF860E3"/>
    <w:rsid w:val="3F7C622E"/>
    <w:rsid w:val="40497686"/>
    <w:rsid w:val="405F57BB"/>
    <w:rsid w:val="40E8454B"/>
    <w:rsid w:val="410E453A"/>
    <w:rsid w:val="41127537"/>
    <w:rsid w:val="412D578E"/>
    <w:rsid w:val="416E2E76"/>
    <w:rsid w:val="41A908DB"/>
    <w:rsid w:val="423B5670"/>
    <w:rsid w:val="424050D3"/>
    <w:rsid w:val="42546887"/>
    <w:rsid w:val="43B671EF"/>
    <w:rsid w:val="43CE08A4"/>
    <w:rsid w:val="450F4151"/>
    <w:rsid w:val="451B384A"/>
    <w:rsid w:val="45271AC0"/>
    <w:rsid w:val="455F244B"/>
    <w:rsid w:val="45A264DE"/>
    <w:rsid w:val="46286197"/>
    <w:rsid w:val="46CE3D39"/>
    <w:rsid w:val="46D65B9F"/>
    <w:rsid w:val="476C0763"/>
    <w:rsid w:val="47BE5260"/>
    <w:rsid w:val="48EA5539"/>
    <w:rsid w:val="49207FB0"/>
    <w:rsid w:val="49656ACE"/>
    <w:rsid w:val="49AE1BEE"/>
    <w:rsid w:val="49C14509"/>
    <w:rsid w:val="49F9637C"/>
    <w:rsid w:val="4A475135"/>
    <w:rsid w:val="4ABC40F3"/>
    <w:rsid w:val="4ADA2AAD"/>
    <w:rsid w:val="4ADF5A9A"/>
    <w:rsid w:val="4BAA2C22"/>
    <w:rsid w:val="4BC6312F"/>
    <w:rsid w:val="4BE80503"/>
    <w:rsid w:val="4C7E7841"/>
    <w:rsid w:val="4C832E2F"/>
    <w:rsid w:val="4C8E5ACD"/>
    <w:rsid w:val="4CBD0E83"/>
    <w:rsid w:val="4D3F70B4"/>
    <w:rsid w:val="4D4A6886"/>
    <w:rsid w:val="4D732358"/>
    <w:rsid w:val="4DBF5392"/>
    <w:rsid w:val="4DDC0BBA"/>
    <w:rsid w:val="4E0D7BFD"/>
    <w:rsid w:val="4ECD3254"/>
    <w:rsid w:val="4F2312B2"/>
    <w:rsid w:val="4F3B0A7B"/>
    <w:rsid w:val="4F41279A"/>
    <w:rsid w:val="4F661FFC"/>
    <w:rsid w:val="4FC16AED"/>
    <w:rsid w:val="4FF3138A"/>
    <w:rsid w:val="5035049C"/>
    <w:rsid w:val="5048536D"/>
    <w:rsid w:val="50782642"/>
    <w:rsid w:val="51804FDB"/>
    <w:rsid w:val="51E34D29"/>
    <w:rsid w:val="5276536C"/>
    <w:rsid w:val="52B70B09"/>
    <w:rsid w:val="52CA3D30"/>
    <w:rsid w:val="536B3C11"/>
    <w:rsid w:val="53794A89"/>
    <w:rsid w:val="539E4BE9"/>
    <w:rsid w:val="53CE7907"/>
    <w:rsid w:val="541741AB"/>
    <w:rsid w:val="54533838"/>
    <w:rsid w:val="54900B24"/>
    <w:rsid w:val="54E64E0C"/>
    <w:rsid w:val="566F6343"/>
    <w:rsid w:val="56D61CDA"/>
    <w:rsid w:val="57026FC4"/>
    <w:rsid w:val="5745149D"/>
    <w:rsid w:val="5763265A"/>
    <w:rsid w:val="57802EA0"/>
    <w:rsid w:val="57A24EBE"/>
    <w:rsid w:val="57AC49B0"/>
    <w:rsid w:val="57DF0579"/>
    <w:rsid w:val="57E95C7D"/>
    <w:rsid w:val="581408B3"/>
    <w:rsid w:val="589C2275"/>
    <w:rsid w:val="593D563E"/>
    <w:rsid w:val="59DF1B85"/>
    <w:rsid w:val="5A8B6EA9"/>
    <w:rsid w:val="5AB36189"/>
    <w:rsid w:val="5AE9718D"/>
    <w:rsid w:val="5B0622D7"/>
    <w:rsid w:val="5B077FE1"/>
    <w:rsid w:val="5B5002F6"/>
    <w:rsid w:val="5B8E2BF6"/>
    <w:rsid w:val="5BA862F1"/>
    <w:rsid w:val="5C2F7FCE"/>
    <w:rsid w:val="5C565D9D"/>
    <w:rsid w:val="5CE64AAA"/>
    <w:rsid w:val="5CE876B7"/>
    <w:rsid w:val="5CE956DB"/>
    <w:rsid w:val="5CEF1FEA"/>
    <w:rsid w:val="5D2B170F"/>
    <w:rsid w:val="5DF63819"/>
    <w:rsid w:val="5E01298D"/>
    <w:rsid w:val="5E032593"/>
    <w:rsid w:val="5E6F0167"/>
    <w:rsid w:val="5F3D03EE"/>
    <w:rsid w:val="5F6B338B"/>
    <w:rsid w:val="5F776F15"/>
    <w:rsid w:val="5F8F1D60"/>
    <w:rsid w:val="5FCD49AC"/>
    <w:rsid w:val="5FD52E19"/>
    <w:rsid w:val="618856D5"/>
    <w:rsid w:val="62496A47"/>
    <w:rsid w:val="625C660F"/>
    <w:rsid w:val="62B56699"/>
    <w:rsid w:val="62BA3DF3"/>
    <w:rsid w:val="62CC62B9"/>
    <w:rsid w:val="63313297"/>
    <w:rsid w:val="633921F0"/>
    <w:rsid w:val="635845F4"/>
    <w:rsid w:val="63856798"/>
    <w:rsid w:val="644E5F2A"/>
    <w:rsid w:val="646F16FB"/>
    <w:rsid w:val="657E4E92"/>
    <w:rsid w:val="65B202C7"/>
    <w:rsid w:val="65B87D71"/>
    <w:rsid w:val="65C05BF6"/>
    <w:rsid w:val="65C57522"/>
    <w:rsid w:val="65E24490"/>
    <w:rsid w:val="66272203"/>
    <w:rsid w:val="66431214"/>
    <w:rsid w:val="66BD4658"/>
    <w:rsid w:val="67105669"/>
    <w:rsid w:val="67122E1B"/>
    <w:rsid w:val="67204DDB"/>
    <w:rsid w:val="67645BD6"/>
    <w:rsid w:val="68411DF6"/>
    <w:rsid w:val="68483587"/>
    <w:rsid w:val="68F918AA"/>
    <w:rsid w:val="69046230"/>
    <w:rsid w:val="6913194A"/>
    <w:rsid w:val="69454106"/>
    <w:rsid w:val="69DB70FD"/>
    <w:rsid w:val="6A3A6B3E"/>
    <w:rsid w:val="6A3F17D8"/>
    <w:rsid w:val="6A4E644D"/>
    <w:rsid w:val="6ABA064A"/>
    <w:rsid w:val="6AC57581"/>
    <w:rsid w:val="6BA84E70"/>
    <w:rsid w:val="6BB343A1"/>
    <w:rsid w:val="6BF0053C"/>
    <w:rsid w:val="6C6C65A3"/>
    <w:rsid w:val="6D1E1232"/>
    <w:rsid w:val="6DFC510B"/>
    <w:rsid w:val="6E0757FE"/>
    <w:rsid w:val="6E6E0819"/>
    <w:rsid w:val="6E9A7A2F"/>
    <w:rsid w:val="6ECF442F"/>
    <w:rsid w:val="6F6314D5"/>
    <w:rsid w:val="6FA20D36"/>
    <w:rsid w:val="6FB7225B"/>
    <w:rsid w:val="70132CF9"/>
    <w:rsid w:val="70267EA3"/>
    <w:rsid w:val="706919DB"/>
    <w:rsid w:val="70EB7211"/>
    <w:rsid w:val="710842E9"/>
    <w:rsid w:val="71856BB0"/>
    <w:rsid w:val="7250500D"/>
    <w:rsid w:val="72646B97"/>
    <w:rsid w:val="72676CDE"/>
    <w:rsid w:val="7298548A"/>
    <w:rsid w:val="72CD1125"/>
    <w:rsid w:val="72E543EC"/>
    <w:rsid w:val="730F30BF"/>
    <w:rsid w:val="73490050"/>
    <w:rsid w:val="73B76A0D"/>
    <w:rsid w:val="73EB1F8E"/>
    <w:rsid w:val="74A216FD"/>
    <w:rsid w:val="74CF38A0"/>
    <w:rsid w:val="74D728EC"/>
    <w:rsid w:val="75054974"/>
    <w:rsid w:val="753A4353"/>
    <w:rsid w:val="75752337"/>
    <w:rsid w:val="758C23E6"/>
    <w:rsid w:val="75AF6B23"/>
    <w:rsid w:val="75C331F8"/>
    <w:rsid w:val="75F968CF"/>
    <w:rsid w:val="76213191"/>
    <w:rsid w:val="76623FBE"/>
    <w:rsid w:val="77685F70"/>
    <w:rsid w:val="777941B6"/>
    <w:rsid w:val="77C65B0D"/>
    <w:rsid w:val="77E1790C"/>
    <w:rsid w:val="787E114E"/>
    <w:rsid w:val="78976C3D"/>
    <w:rsid w:val="78B410A0"/>
    <w:rsid w:val="790D1580"/>
    <w:rsid w:val="792C756C"/>
    <w:rsid w:val="794E6BAF"/>
    <w:rsid w:val="799A107B"/>
    <w:rsid w:val="79D408C8"/>
    <w:rsid w:val="7A5A0A07"/>
    <w:rsid w:val="7A7355D7"/>
    <w:rsid w:val="7A887859"/>
    <w:rsid w:val="7B3F1E74"/>
    <w:rsid w:val="7B6B60B4"/>
    <w:rsid w:val="7B7B2CB7"/>
    <w:rsid w:val="7BD02F17"/>
    <w:rsid w:val="7DD91278"/>
    <w:rsid w:val="7E1A0B80"/>
    <w:rsid w:val="7E735433"/>
    <w:rsid w:val="7EDC15DB"/>
    <w:rsid w:val="7EE616E6"/>
    <w:rsid w:val="7F2946E4"/>
    <w:rsid w:val="7F8A2ADD"/>
    <w:rsid w:val="7FDC567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Autospacing="1" w:afterAutospacing="1"/>
      <w:jc w:val="left"/>
    </w:pPr>
    <w:rPr>
      <w:rFonts w:ascii="宋体" w:hAnsi="宋体" w:cs="宋体"/>
      <w:kern w:val="0"/>
      <w:sz w:val="24"/>
    </w:rPr>
  </w:style>
  <w:style w:type="character" w:styleId="8">
    <w:name w:val="Strong"/>
    <w:basedOn w:val="7"/>
    <w:qFormat/>
    <w:uiPriority w:val="0"/>
    <w:rPr>
      <w:b/>
    </w:rPr>
  </w:style>
  <w:style w:type="character" w:styleId="9">
    <w:name w:val="page number"/>
    <w:basedOn w:val="7"/>
    <w:qFormat/>
    <w:uiPriority w:val="0"/>
  </w:style>
  <w:style w:type="character" w:styleId="10">
    <w:name w:val="FollowedHyperlink"/>
    <w:basedOn w:val="7"/>
    <w:qFormat/>
    <w:uiPriority w:val="0"/>
    <w:rPr>
      <w:color w:val="000000"/>
      <w:sz w:val="18"/>
      <w:szCs w:val="18"/>
      <w:u w:val="none"/>
    </w:rPr>
  </w:style>
  <w:style w:type="character" w:styleId="11">
    <w:name w:val="Emphasis"/>
    <w:basedOn w:val="7"/>
    <w:qFormat/>
    <w:uiPriority w:val="0"/>
    <w:rPr>
      <w:i/>
    </w:rPr>
  </w:style>
  <w:style w:type="character" w:styleId="12">
    <w:name w:val="Hyperlink"/>
    <w:basedOn w:val="7"/>
    <w:qFormat/>
    <w:uiPriority w:val="0"/>
    <w:rPr>
      <w:color w:val="000000"/>
      <w:sz w:val="18"/>
      <w:szCs w:val="18"/>
      <w:u w:val="none"/>
    </w:rPr>
  </w:style>
  <w:style w:type="paragraph" w:customStyle="1" w:styleId="13">
    <w:name w:val="Char Char Char Char Char Char Char"/>
    <w:basedOn w:val="1"/>
    <w:qFormat/>
    <w:uiPriority w:val="0"/>
  </w:style>
  <w:style w:type="character" w:customStyle="1" w:styleId="14">
    <w:name w:val="txtcontent11"/>
    <w:basedOn w:val="7"/>
    <w:qFormat/>
    <w:uiPriority w:val="0"/>
    <w:rPr>
      <w:rFonts w:hint="default" w:ascii="ˎ̥" w:hAnsi="ˎ̥"/>
      <w:color w:val="000000"/>
      <w:sz w:val="21"/>
      <w:szCs w:val="21"/>
    </w:rPr>
  </w:style>
  <w:style w:type="character" w:customStyle="1" w:styleId="15">
    <w:name w:val="页眉 Char"/>
    <w:basedOn w:val="7"/>
    <w:link w:val="4"/>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16</Pages>
  <Words>7717</Words>
  <Characters>599</Characters>
  <Lines>4</Lines>
  <Paragraphs>16</Paragraphs>
  <TotalTime>0</TotalTime>
  <ScaleCrop>false</ScaleCrop>
  <LinksUpToDate>false</LinksUpToDate>
  <CharactersWithSpaces>8300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2015-02-16T02:59:00Z</dcterms:created>
  <dc:creator>TCL</dc:creator>
  <cp:lastModifiedBy>启旺电脑&amp;得力文具17776298699</cp:lastModifiedBy>
  <cp:lastPrinted>2020-02-26T02:05:00Z</cp:lastPrinted>
  <dcterms:modified xsi:type="dcterms:W3CDTF">2020-05-27T02:06:40Z</dcterms:modified>
  <dc:title>关于永福县2013年预算执行情况和2014年预算草案的报告</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