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sz w:val="36"/>
          <w:szCs w:val="36"/>
          <w:lang w:eastAsia="zh-CN"/>
        </w:rPr>
      </w:pPr>
      <w:bookmarkStart w:id="0" w:name="_GoBack"/>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年永福县房</w:t>
      </w:r>
      <w:r>
        <w:rPr>
          <w:rFonts w:hint="eastAsia" w:ascii="方正小标宋_GBK" w:hAnsi="方正小标宋_GBK" w:eastAsia="方正小标宋_GBK" w:cs="方正小标宋_GBK"/>
          <w:sz w:val="44"/>
          <w:szCs w:val="44"/>
          <w:lang w:val="en-US" w:eastAsia="zh-CN"/>
        </w:rPr>
        <w:t>地产管理所</w:t>
      </w:r>
      <w:r>
        <w:rPr>
          <w:rFonts w:hint="eastAsia" w:ascii="方正小标宋_GBK" w:hAnsi="方正小标宋_GBK" w:eastAsia="方正小标宋_GBK" w:cs="方正小标宋_GBK"/>
          <w:sz w:val="44"/>
          <w:szCs w:val="44"/>
        </w:rPr>
        <w:t>预算</w:t>
      </w:r>
      <w:r>
        <w:rPr>
          <w:rFonts w:hint="eastAsia" w:ascii="方正小标宋_GBK" w:hAnsi="方正小标宋_GBK" w:eastAsia="方正小标宋_GBK" w:cs="方正小标宋_GBK"/>
          <w:sz w:val="44"/>
          <w:szCs w:val="44"/>
          <w:lang w:eastAsia="zh-CN"/>
        </w:rPr>
        <w:t>公开</w:t>
      </w:r>
    </w:p>
    <w:bookmarkEnd w:id="0"/>
    <w:p>
      <w:pPr>
        <w:keepNext w:val="0"/>
        <w:keepLines w:val="0"/>
        <w:pageBreakBefore w:val="0"/>
        <w:widowControl/>
        <w:kinsoku/>
        <w:wordWrap/>
        <w:overflowPunct/>
        <w:topLinePunct w:val="0"/>
        <w:autoSpaceDE/>
        <w:autoSpaceDN/>
        <w:bidi w:val="0"/>
        <w:adjustRightInd/>
        <w:snapToGrid/>
        <w:spacing w:after="0" w:line="560" w:lineRule="exact"/>
        <w:ind w:right="-229" w:rightChars="-104" w:firstLine="600" w:firstLineChars="200"/>
        <w:jc w:val="both"/>
        <w:textAlignment w:val="auto"/>
        <w:rPr>
          <w:rFonts w:hint="eastAsia" w:ascii="微软雅黑" w:hAnsi="微软雅黑" w:eastAsia="微软雅黑" w:cs="微软雅黑"/>
          <w:bCs/>
          <w:sz w:val="30"/>
          <w:szCs w:val="30"/>
        </w:rPr>
      </w:pPr>
    </w:p>
    <w:p>
      <w:pPr>
        <w:keepNext w:val="0"/>
        <w:keepLines w:val="0"/>
        <w:pageBreakBefore w:val="0"/>
        <w:widowControl/>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32"/>
          <w:szCs w:val="32"/>
          <w14:textFill>
            <w14:solidFill>
              <w14:schemeClr w14:val="tx1"/>
            </w14:solidFill>
          </w14:textFill>
        </w:rPr>
        <w:t>第一部分：部门概况</w:t>
      </w:r>
    </w:p>
    <w:p>
      <w:pPr>
        <w:keepNext w:val="0"/>
        <w:keepLines w:val="0"/>
        <w:pageBreakBefore w:val="0"/>
        <w:widowControl/>
        <w:numPr>
          <w:ilvl w:val="0"/>
          <w:numId w:val="1"/>
        </w:numPr>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主要职责</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（一）</w:t>
      </w:r>
      <w:r>
        <w:rPr>
          <w:rFonts w:hint="eastAsia" w:ascii="方正仿宋_GBK" w:hAnsi="方正仿宋_GBK" w:eastAsia="方正仿宋_GBK" w:cs="方正仿宋_GBK"/>
          <w:color w:val="000000" w:themeColor="text1"/>
          <w:sz w:val="32"/>
          <w:szCs w:val="32"/>
          <w14:textFill>
            <w14:solidFill>
              <w14:schemeClr w14:val="tx1"/>
            </w14:solidFill>
          </w14:textFill>
        </w:rPr>
        <w:t>贯彻执行国家及自治区城镇住房制度改革的方针、政策和法规，制订全县住房制度改革的各项政策措施和工作规划，并组织指导实施。</w:t>
      </w:r>
    </w:p>
    <w:p>
      <w:pPr>
        <w:keepNext w:val="0"/>
        <w:keepLines w:val="0"/>
        <w:pageBreakBefore w:val="0"/>
        <w:widowControl/>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（二）</w:t>
      </w:r>
      <w:r>
        <w:rPr>
          <w:rFonts w:hint="eastAsia" w:ascii="方正仿宋_GBK" w:hAnsi="方正仿宋_GBK" w:eastAsia="方正仿宋_GBK" w:cs="方正仿宋_GBK"/>
          <w:color w:val="000000" w:themeColor="text1"/>
          <w:sz w:val="32"/>
          <w:szCs w:val="32"/>
          <w14:textFill>
            <w14:solidFill>
              <w14:schemeClr w14:val="tx1"/>
            </w14:solidFill>
          </w14:textFill>
        </w:rPr>
        <w:t>拟订发展房地产行业的管理制度和行业发展规划</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负责房地产行业县级规范的拟订和上级房产标准规范的实施</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参与商品房的价格管理，规范房地产行业行为</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负责住宅（含经济适用住房、集资房、廉租住房）建设管理，指导并实施县住宅建设规划、计划和住宅产业化</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负责和指导全县房屋产权、确权、登记、发证和落实私房政策等工作，负责全县房屋重置价评测、公房出售、商品房预销售的管理工作</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统一组织印刷颁发有关房屋权属证书、商品房预售证书、已购公有住房上市准入证书</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负责全县房地产开发企业、物业管理企业。</w:t>
      </w:r>
    </w:p>
    <w:p>
      <w:pPr>
        <w:keepNext w:val="0"/>
        <w:keepLines w:val="0"/>
        <w:pageBreakBefore w:val="0"/>
        <w:widowControl/>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（三）</w:t>
      </w:r>
      <w:r>
        <w:rPr>
          <w:rFonts w:hint="eastAsia" w:ascii="方正仿宋_GBK" w:hAnsi="方正仿宋_GBK" w:eastAsia="方正仿宋_GBK" w:cs="方正仿宋_GBK"/>
          <w:color w:val="000000" w:themeColor="text1"/>
          <w:sz w:val="32"/>
          <w:szCs w:val="32"/>
          <w14:textFill>
            <w14:solidFill>
              <w14:schemeClr w14:val="tx1"/>
            </w14:solidFill>
          </w14:textFill>
        </w:rPr>
        <w:t>负责按全县房改政策规定监督和管理住房制度改革各项资金轨迹和使用。</w:t>
      </w:r>
    </w:p>
    <w:p>
      <w:pPr>
        <w:keepNext w:val="0"/>
        <w:keepLines w:val="0"/>
        <w:pageBreakBefore w:val="0"/>
        <w:widowControl/>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（四）</w:t>
      </w:r>
      <w:r>
        <w:rPr>
          <w:rFonts w:hint="eastAsia" w:ascii="方正仿宋_GBK" w:hAnsi="方正仿宋_GBK" w:eastAsia="方正仿宋_GBK" w:cs="方正仿宋_GBK"/>
          <w:color w:val="000000" w:themeColor="text1"/>
          <w:sz w:val="32"/>
          <w:szCs w:val="32"/>
          <w14:textFill>
            <w14:solidFill>
              <w14:schemeClr w14:val="tx1"/>
            </w14:solidFill>
          </w14:textFill>
        </w:rPr>
        <w:t>负责全县房地产行业管理</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依法管理房改、产权产籍、房地产行业</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负责城镇</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白</w:t>
      </w:r>
      <w:r>
        <w:rPr>
          <w:rFonts w:hint="eastAsia" w:ascii="方正仿宋_GBK" w:hAnsi="方正仿宋_GBK" w:eastAsia="方正仿宋_GBK" w:cs="方正仿宋_GBK"/>
          <w:color w:val="000000" w:themeColor="text1"/>
          <w:sz w:val="32"/>
          <w:szCs w:val="32"/>
          <w14:textFill>
            <w14:solidFill>
              <w14:schemeClr w14:val="tx1"/>
            </w14:solidFill>
          </w14:textFill>
        </w:rPr>
        <w:t>蚁防治、房屋维修物业</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管</w:t>
      </w:r>
      <w:r>
        <w:rPr>
          <w:rFonts w:hint="eastAsia" w:ascii="方正仿宋_GBK" w:hAnsi="方正仿宋_GBK" w:eastAsia="方正仿宋_GBK" w:cs="方正仿宋_GBK"/>
          <w:color w:val="000000" w:themeColor="text1"/>
          <w:sz w:val="32"/>
          <w:szCs w:val="32"/>
          <w14:textFill>
            <w14:solidFill>
              <w14:schemeClr w14:val="tx1"/>
            </w14:solidFill>
          </w14:textFill>
        </w:rPr>
        <w:t>理。</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(五）</w:t>
      </w:r>
      <w:r>
        <w:rPr>
          <w:rFonts w:hint="eastAsia" w:ascii="方正仿宋_GBK" w:hAnsi="方正仿宋_GBK" w:eastAsia="方正仿宋_GBK" w:cs="方正仿宋_GBK"/>
          <w:color w:val="000000" w:themeColor="text1"/>
          <w:sz w:val="32"/>
          <w:szCs w:val="32"/>
          <w14:textFill>
            <w14:solidFill>
              <w14:schemeClr w14:val="tx1"/>
            </w14:solidFill>
          </w14:textFill>
        </w:rPr>
        <w:t>负责全县廉租住房建设和租赁补贴发放、经济适用住房（含集资建房）、公共租赁住房、限价商品房等住房保障工作的建设和管理。</w:t>
      </w:r>
    </w:p>
    <w:p>
      <w:pPr>
        <w:keepNext w:val="0"/>
        <w:keepLines w:val="0"/>
        <w:pageBreakBefore w:val="0"/>
        <w:widowControl/>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二、机构设置情况</w:t>
      </w:r>
    </w:p>
    <w:p>
      <w:pPr>
        <w:keepNext w:val="0"/>
        <w:keepLines w:val="0"/>
        <w:pageBreakBefore w:val="0"/>
        <w:widowControl/>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我单位共设置</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5个内设机构，包括：办公室、白蚁站、财务室、综合股室、物业股。</w:t>
      </w:r>
    </w:p>
    <w:p>
      <w:pPr>
        <w:keepNext w:val="0"/>
        <w:keepLines w:val="0"/>
        <w:pageBreakBefore w:val="0"/>
        <w:widowControl/>
        <w:tabs>
          <w:tab w:val="center" w:pos="4475"/>
        </w:tabs>
        <w:kinsoku/>
        <w:wordWrap/>
        <w:overflowPunct/>
        <w:topLinePunct w:val="0"/>
        <w:autoSpaceDE/>
        <w:autoSpaceDN/>
        <w:bidi w:val="0"/>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第二部分：</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房管所</w:t>
      </w: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32"/>
          <w:szCs w:val="32"/>
          <w14:textFill>
            <w14:solidFill>
              <w14:schemeClr w14:val="tx1"/>
            </w14:solidFill>
          </w14:textFill>
        </w:rPr>
        <w:t>年单位预算情况说明</w:t>
      </w:r>
    </w:p>
    <w:p>
      <w:pPr>
        <w:keepNext w:val="0"/>
        <w:keepLines w:val="0"/>
        <w:pageBreakBefore w:val="0"/>
        <w:widowControl/>
        <w:numPr>
          <w:ilvl w:val="0"/>
          <w:numId w:val="2"/>
        </w:numPr>
        <w:tabs>
          <w:tab w:val="center" w:pos="4475"/>
        </w:tabs>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单位</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预算</w:t>
      </w:r>
      <w:r>
        <w:rPr>
          <w:rFonts w:hint="eastAsia" w:ascii="方正仿宋_GBK" w:hAnsi="方正仿宋_GBK" w:eastAsia="方正仿宋_GBK" w:cs="方正仿宋_GBK"/>
          <w:color w:val="000000" w:themeColor="text1"/>
          <w:sz w:val="32"/>
          <w:szCs w:val="32"/>
          <w14:textFill>
            <w14:solidFill>
              <w14:schemeClr w14:val="tx1"/>
            </w14:solidFill>
          </w14:textFill>
        </w:rPr>
        <w:t>收支</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增减变化</w:t>
      </w:r>
      <w:r>
        <w:rPr>
          <w:rFonts w:hint="eastAsia" w:ascii="方正仿宋_GBK" w:hAnsi="方正仿宋_GBK" w:eastAsia="方正仿宋_GBK" w:cs="方正仿宋_GBK"/>
          <w:color w:val="000000" w:themeColor="text1"/>
          <w:sz w:val="32"/>
          <w:szCs w:val="32"/>
          <w14:textFill>
            <w14:solidFill>
              <w14:schemeClr w14:val="tx1"/>
            </w14:solidFill>
          </w14:textFill>
        </w:rPr>
        <w:t>情况说明</w:t>
      </w:r>
    </w:p>
    <w:p>
      <w:pPr>
        <w:keepNext w:val="0"/>
        <w:keepLines w:val="0"/>
        <w:pageBreakBefore w:val="0"/>
        <w:widowControl/>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我单位</w:t>
      </w:r>
      <w:r>
        <w:rPr>
          <w:rFonts w:hint="eastAsia" w:ascii="方正仿宋_GBK" w:hAnsi="方正仿宋_GBK" w:eastAsia="方正仿宋_GBK" w:cs="方正仿宋_GBK"/>
          <w:color w:val="000000" w:themeColor="text1"/>
          <w:sz w:val="32"/>
          <w:szCs w:val="32"/>
          <w14:textFill>
            <w14:solidFill>
              <w14:schemeClr w14:val="tx1"/>
            </w14:solidFill>
          </w14:textFill>
        </w:rPr>
        <w:t>总收入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162.04</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总支出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162.04</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总收入较上年增加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6.02万元，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增长</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3.86</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主要原因是人员增加及工资增长，</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总支出</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较上年减少</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54.81万元，下降25.28%，主要原因是今年没结转中央对企业新建保障性安居工程补助资金。</w:t>
      </w:r>
    </w:p>
    <w:p>
      <w:pPr>
        <w:keepNext w:val="0"/>
        <w:keepLines w:val="0"/>
        <w:pageBreakBefore w:val="0"/>
        <w:widowControl/>
        <w:tabs>
          <w:tab w:val="center" w:pos="4475"/>
        </w:tabs>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二、单位</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预算</w:t>
      </w:r>
      <w:r>
        <w:rPr>
          <w:rFonts w:hint="eastAsia" w:ascii="方正仿宋_GBK" w:hAnsi="方正仿宋_GBK" w:eastAsia="方正仿宋_GBK" w:cs="方正仿宋_GBK"/>
          <w:color w:val="000000" w:themeColor="text1"/>
          <w:sz w:val="32"/>
          <w:szCs w:val="32"/>
          <w14:textFill>
            <w14:solidFill>
              <w14:schemeClr w14:val="tx1"/>
            </w14:solidFill>
          </w14:textFill>
        </w:rPr>
        <w:t>收入总体情况说明</w:t>
      </w:r>
    </w:p>
    <w:p>
      <w:pPr>
        <w:keepNext w:val="0"/>
        <w:keepLines w:val="0"/>
        <w:pageBreakBefore w:val="0"/>
        <w:widowControl/>
        <w:numPr>
          <w:ilvl w:val="0"/>
          <w:numId w:val="0"/>
        </w:numPr>
        <w:tabs>
          <w:tab w:val="center" w:pos="4475"/>
        </w:tabs>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我单位</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总收入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162.04</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较上年增加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6.02万元，增长3.86%，主要原因是</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人员增加及工资增长。</w:t>
      </w:r>
    </w:p>
    <w:p>
      <w:pPr>
        <w:keepNext w:val="0"/>
        <w:keepLines w:val="0"/>
        <w:pageBreakBefore w:val="0"/>
        <w:widowControl/>
        <w:numPr>
          <w:ilvl w:val="0"/>
          <w:numId w:val="0"/>
        </w:numPr>
        <w:tabs>
          <w:tab w:val="center" w:pos="4475"/>
        </w:tabs>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三、</w:t>
      </w:r>
      <w:r>
        <w:rPr>
          <w:rFonts w:hint="eastAsia" w:ascii="方正仿宋_GBK" w:hAnsi="方正仿宋_GBK" w:eastAsia="方正仿宋_GBK" w:cs="方正仿宋_GBK"/>
          <w:color w:val="000000" w:themeColor="text1"/>
          <w:sz w:val="32"/>
          <w:szCs w:val="32"/>
          <w14:textFill>
            <w14:solidFill>
              <w14:schemeClr w14:val="tx1"/>
            </w14:solidFill>
          </w14:textFill>
        </w:rPr>
        <w:t>单位</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预算</w:t>
      </w:r>
      <w:r>
        <w:rPr>
          <w:rFonts w:hint="eastAsia" w:ascii="方正仿宋_GBK" w:hAnsi="方正仿宋_GBK" w:eastAsia="方正仿宋_GBK" w:cs="方正仿宋_GBK"/>
          <w:color w:val="000000" w:themeColor="text1"/>
          <w:sz w:val="32"/>
          <w:szCs w:val="32"/>
          <w14:textFill>
            <w14:solidFill>
              <w14:schemeClr w14:val="tx1"/>
            </w14:solidFill>
          </w14:textFill>
        </w:rPr>
        <w:t>支出总体情况说明</w:t>
      </w:r>
    </w:p>
    <w:p>
      <w:pPr>
        <w:keepNext w:val="0"/>
        <w:keepLines w:val="0"/>
        <w:pageBreakBefore w:val="0"/>
        <w:widowControl/>
        <w:kinsoku/>
        <w:wordWrap/>
        <w:overflowPunct/>
        <w:topLinePunct w:val="0"/>
        <w:autoSpaceDE/>
        <w:autoSpaceDN/>
        <w:bidi w:val="0"/>
        <w:adjustRightInd/>
        <w:snapToGrid w:val="0"/>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我单位</w:t>
      </w:r>
      <w:r>
        <w:rPr>
          <w:rFonts w:hint="eastAsia" w:ascii="方正仿宋_GBK" w:hAnsi="方正仿宋_GBK" w:eastAsia="方正仿宋_GBK" w:cs="方正仿宋_GBK"/>
          <w:color w:val="000000" w:themeColor="text1"/>
          <w:sz w:val="32"/>
          <w:szCs w:val="32"/>
          <w14:textFill>
            <w14:solidFill>
              <w14:schemeClr w14:val="tx1"/>
            </w14:solidFill>
          </w14:textFill>
        </w:rPr>
        <w:t>总</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162.04</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较上年减少</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54.81万元，减少25.28%，</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今年没结转中央对企业新建保障性安居工程补助资金。</w:t>
      </w:r>
    </w:p>
    <w:p>
      <w:pPr>
        <w:keepNext w:val="0"/>
        <w:keepLines w:val="0"/>
        <w:pageBreakBefore w:val="0"/>
        <w:widowControl/>
        <w:tabs>
          <w:tab w:val="center" w:pos="4475"/>
        </w:tabs>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p>
    <w:p>
      <w:pPr>
        <w:keepNext w:val="0"/>
        <w:keepLines w:val="0"/>
        <w:pageBreakBefore w:val="0"/>
        <w:widowControl/>
        <w:numPr>
          <w:ilvl w:val="0"/>
          <w:numId w:val="3"/>
        </w:numPr>
        <w:tabs>
          <w:tab w:val="center" w:pos="4475"/>
        </w:tabs>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eastAsia" w:ascii="方正仿宋_GBK" w:hAnsi="方正仿宋_GBK" w:eastAsia="方正仿宋_GBK" w:cs="方正仿宋_GBK"/>
          <w:b w:val="0"/>
          <w:bCs w:val="0"/>
          <w:color w:val="000000" w:themeColor="text1"/>
          <w:sz w:val="32"/>
          <w:szCs w:val="32"/>
          <w:highlight w:val="none"/>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本年支出</w:t>
      </w:r>
      <w:r>
        <w:rPr>
          <w:rFonts w:hint="eastAsia" w:ascii="方正仿宋_GBK" w:hAnsi="方正仿宋_GBK" w:eastAsia="方正仿宋_GBK" w:cs="方正仿宋_GBK"/>
          <w:b w:val="0"/>
          <w:bCs w:val="0"/>
          <w:color w:val="000000" w:themeColor="text1"/>
          <w:sz w:val="32"/>
          <w:szCs w:val="32"/>
          <w:highlight w:val="none"/>
          <w:u w:val="none"/>
          <w:lang w:val="en-US" w:eastAsia="zh-CN"/>
          <w14:textFill>
            <w14:solidFill>
              <w14:schemeClr w14:val="tx1"/>
            </w14:solidFill>
          </w14:textFill>
        </w:rPr>
        <w:t>按支出功能分类划分，共分为4类：</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社会保障和就业支出类科目支出</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21.86</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万元，占本年支出预算</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13.49</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％，同比增加</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0.67</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万元，增长</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3.06</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％，增长的主要原因</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：单位人员增资变动和新调进人员</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1人。</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卫生健康支出类科目支出</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10.38</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万元，占本年支出预算</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6.4</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％，同比</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增加</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1.27</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 xml:space="preserve"> 万元，</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增长</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12.23</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增长</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的主要原因</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：单位人员增资变动和新调进人员</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1人</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p>
    <w:p>
      <w:pPr>
        <w:keepNext w:val="0"/>
        <w:keepLines w:val="0"/>
        <w:pageBreakBefore w:val="0"/>
        <w:widowControl/>
        <w:numPr>
          <w:ilvl w:val="0"/>
          <w:numId w:val="0"/>
        </w:numPr>
        <w:tabs>
          <w:tab w:val="center" w:pos="4475"/>
        </w:tabs>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eastAsia" w:ascii="方正仿宋_GBK" w:hAnsi="方正仿宋_GBK" w:eastAsia="方正仿宋_GBK" w:cs="方正仿宋_GBK"/>
          <w:b w:val="0"/>
          <w:bCs w:val="0"/>
          <w:color w:val="000000" w:themeColor="text1"/>
          <w:sz w:val="32"/>
          <w:szCs w:val="32"/>
          <w:highlight w:val="none"/>
          <w:u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u w:val="none"/>
          <w:lang w:val="en-US" w:eastAsia="zh-CN"/>
          <w14:textFill>
            <w14:solidFill>
              <w14:schemeClr w14:val="tx1"/>
            </w14:solidFill>
          </w14:textFill>
        </w:rPr>
        <w:t>3、城乡社区支出类科目支出115.92万元，占本年支出预算71.54%，同比减少2.56万元，下降2.21%，减少的主要原因：减少退休人员一人。</w:t>
      </w:r>
    </w:p>
    <w:p>
      <w:pPr>
        <w:keepNext w:val="0"/>
        <w:keepLines w:val="0"/>
        <w:pageBreakBefore w:val="0"/>
        <w:widowControl/>
        <w:numPr>
          <w:ilvl w:val="0"/>
          <w:numId w:val="0"/>
        </w:numPr>
        <w:tabs>
          <w:tab w:val="center" w:pos="4475"/>
        </w:tabs>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u w:val="none"/>
          <w:lang w:val="en-US" w:eastAsia="zh-CN"/>
          <w14:textFill>
            <w14:solidFill>
              <w14:schemeClr w14:val="tx1"/>
            </w14:solidFill>
          </w14:textFill>
        </w:rPr>
        <w:t>4、住房保障支出类科目支出8.76万元，占本年支出预算5.41%，同比增加1.95万元，增长2.23%，增长原因：</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单位人员增资变动和新调进人员</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1人。</w:t>
      </w: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（二）</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本年支出</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按支出结构分类划分，分为基本支出预算和项目支出预算。</w:t>
      </w: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基本支出预算</w:t>
      </w: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基本支出预算</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147.18</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万元，占本年支出预算</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90.83</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％，同比</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减少</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3.45</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 xml:space="preserve"> 万元，</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下降</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2.34</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其中：人员经费预算</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125.49</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万元，占基本支出预算</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85.26</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％，同比</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减少</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18.74</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 xml:space="preserve"> 万元，</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下降</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14.93</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％。其中：工资福利支出预算</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125.49</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 xml:space="preserve"> 万元，占基本支出预算</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85.26%，同比</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减少</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18.74</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 xml:space="preserve"> 万元，</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下降</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14.93</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，减少的</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主要原因</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：单位人员退休人员减少</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1人。</w:t>
      </w: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对个人和家庭的补助预算</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14.49</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万元，占基本支出预算</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8.94</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％，同比</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增加</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6.14</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增长</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4.24</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增长的</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主要原因</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：退休人员生活补助减少</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1人和增加了丧葬抚恤金</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公用经费（商品和服务支出）预算</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7.2</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万元，占基本支出预算</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4.89</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％，同比</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增长</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0.8</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增长</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11.11</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增长的</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主要原因</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：单位人员新调进</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1人。</w:t>
      </w: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项目支出预算</w:t>
      </w: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项目支出预算</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14.87</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万元，占本年支出预算</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9.18</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％，同比</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增加</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9.49</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增长</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63.82</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增长的</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主要原因</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增加了丧葬抚恤金</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p>
    <w:p>
      <w:pPr>
        <w:keepNext w:val="0"/>
        <w:keepLines w:val="0"/>
        <w:pageBreakBefore w:val="0"/>
        <w:widowControl/>
        <w:tabs>
          <w:tab w:val="center" w:pos="4475"/>
        </w:tabs>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四、政府性基金预算支出情况说明</w:t>
      </w:r>
    </w:p>
    <w:p>
      <w:pPr>
        <w:keepNext w:val="0"/>
        <w:keepLines w:val="0"/>
        <w:pageBreakBefore w:val="0"/>
        <w:widowControl/>
        <w:tabs>
          <w:tab w:val="center" w:pos="4475"/>
        </w:tabs>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我</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2026年无</w:t>
      </w:r>
      <w:r>
        <w:rPr>
          <w:rFonts w:hint="eastAsia" w:ascii="方正仿宋_GBK" w:hAnsi="方正仿宋_GBK" w:eastAsia="方正仿宋_GBK" w:cs="方正仿宋_GBK"/>
          <w:color w:val="000000" w:themeColor="text1"/>
          <w:sz w:val="32"/>
          <w:szCs w:val="32"/>
          <w14:textFill>
            <w14:solidFill>
              <w14:schemeClr w14:val="tx1"/>
            </w14:solidFill>
          </w14:textFill>
        </w:rPr>
        <w:t>政府性基金预算</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widowControl/>
        <w:numPr>
          <w:ilvl w:val="0"/>
          <w:numId w:val="4"/>
        </w:numPr>
        <w:tabs>
          <w:tab w:val="center" w:pos="4475"/>
        </w:tabs>
        <w:kinsoku/>
        <w:wordWrap/>
        <w:overflowPunct/>
        <w:topLinePunct w:val="0"/>
        <w:autoSpaceDE/>
        <w:autoSpaceDN/>
        <w:bidi w:val="0"/>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国有资本经营</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预算支出情况说明</w:t>
      </w:r>
    </w:p>
    <w:p>
      <w:pPr>
        <w:keepNext w:val="0"/>
        <w:keepLines w:val="0"/>
        <w:pageBreakBefore w:val="0"/>
        <w:widowControl/>
        <w:numPr>
          <w:ilvl w:val="0"/>
          <w:numId w:val="0"/>
        </w:numPr>
        <w:tabs>
          <w:tab w:val="center" w:pos="4475"/>
        </w:tabs>
        <w:kinsoku/>
        <w:wordWrap/>
        <w:overflowPunct/>
        <w:topLinePunct w:val="0"/>
        <w:autoSpaceDE/>
        <w:autoSpaceDN/>
        <w:bidi w:val="0"/>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我单位</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2026年无国有资本经营预算。</w:t>
      </w:r>
    </w:p>
    <w:p>
      <w:pPr>
        <w:keepNext w:val="0"/>
        <w:keepLines w:val="0"/>
        <w:pageBreakBefore w:val="0"/>
        <w:widowControl/>
        <w:tabs>
          <w:tab w:val="center" w:pos="4475"/>
        </w:tabs>
        <w:kinsoku/>
        <w:wordWrap/>
        <w:overflowPunct/>
        <w:topLinePunct w:val="0"/>
        <w:autoSpaceDE/>
        <w:autoSpaceDN/>
        <w:bidi w:val="0"/>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六</w:t>
      </w:r>
      <w:r>
        <w:rPr>
          <w:rFonts w:hint="eastAsia" w:ascii="方正仿宋_GBK" w:hAnsi="方正仿宋_GBK" w:eastAsia="方正仿宋_GBK" w:cs="方正仿宋_GBK"/>
          <w:color w:val="000000" w:themeColor="text1"/>
          <w:sz w:val="32"/>
          <w:szCs w:val="32"/>
          <w14:textFill>
            <w14:solidFill>
              <w14:schemeClr w14:val="tx1"/>
            </w14:solidFill>
          </w14:textFill>
        </w:rPr>
        <w:t>、一般公共预算“三公”经费支出情况说明</w:t>
      </w:r>
    </w:p>
    <w:p>
      <w:pPr>
        <w:keepNext w:val="0"/>
        <w:keepLines w:val="0"/>
        <w:pageBreakBefore w:val="0"/>
        <w:widowControl/>
        <w:tabs>
          <w:tab w:val="center" w:pos="4475"/>
        </w:tabs>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我</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32"/>
          <w:szCs w:val="32"/>
          <w14:textFill>
            <w14:solidFill>
              <w14:schemeClr w14:val="tx1"/>
            </w14:solidFill>
          </w14:textFill>
        </w:rPr>
        <w:t>年一般公共预算</w:t>
      </w:r>
      <w:r>
        <w:rPr>
          <w:rFonts w:hint="eastAsia" w:ascii="方正仿宋_GBK" w:hAnsi="方正仿宋_GBK" w:eastAsia="方正仿宋_GBK" w:cs="方正仿宋_GBK"/>
          <w:bCs/>
          <w:color w:val="000000" w:themeColor="text1"/>
          <w:sz w:val="32"/>
          <w:szCs w:val="32"/>
          <w14:textFill>
            <w14:solidFill>
              <w14:schemeClr w14:val="tx1"/>
            </w14:solidFill>
          </w14:textFill>
        </w:rPr>
        <w:t>安排的“三公”经费支出预算</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0</w:t>
      </w:r>
      <w:r>
        <w:rPr>
          <w:rFonts w:hint="eastAsia" w:ascii="方正仿宋_GBK" w:hAnsi="方正仿宋_GBK" w:eastAsia="方正仿宋_GBK" w:cs="方正仿宋_GBK"/>
          <w:bCs/>
          <w:color w:val="000000" w:themeColor="text1"/>
          <w:sz w:val="32"/>
          <w:szCs w:val="32"/>
          <w14:textFill>
            <w14:solidFill>
              <w14:schemeClr w14:val="tx1"/>
            </w14:solidFill>
          </w14:textFill>
        </w:rPr>
        <w:t>万元，同口径比202</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bCs/>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14:textFill>
            <w14:solidFill>
              <w14:schemeClr w14:val="tx1"/>
            </w14:solidFill>
          </w14:textFill>
        </w:rPr>
        <w:t>，同无增减</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sz w:val="32"/>
          <w:szCs w:val="32"/>
          <w14:textFill>
            <w14:solidFill>
              <w14:schemeClr w14:val="tx1"/>
            </w14:solidFill>
          </w14:textFill>
        </w:rPr>
        <w:t>具体如下：</w:t>
      </w:r>
    </w:p>
    <w:p>
      <w:pPr>
        <w:keepNext w:val="0"/>
        <w:keepLines w:val="0"/>
        <w:pageBreakBefore w:val="0"/>
        <w:widowControl/>
        <w:tabs>
          <w:tab w:val="center" w:pos="4475"/>
        </w:tabs>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因公出国（境）费202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32"/>
          <w:szCs w:val="32"/>
          <w14:textFill>
            <w14:solidFill>
              <w14:schemeClr w14:val="tx1"/>
            </w14:solidFill>
          </w14:textFill>
        </w:rPr>
        <w:t>年预算安排</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较上年</w:t>
      </w:r>
      <w:r>
        <w:rPr>
          <w:rFonts w:hint="eastAsia" w:ascii="方正仿宋_GBK" w:hAnsi="方正仿宋_GBK" w:eastAsia="方正仿宋_GBK" w:cs="方正仿宋_GBK"/>
          <w:color w:val="000000" w:themeColor="text1"/>
          <w:sz w:val="32"/>
          <w:szCs w:val="32"/>
          <w14:textFill>
            <w14:solidFill>
              <w14:schemeClr w14:val="tx1"/>
            </w14:solidFill>
          </w14:textFill>
        </w:rPr>
        <w:t>同无增减</w:t>
      </w:r>
      <w:r>
        <w:rPr>
          <w:rFonts w:hint="eastAsia" w:ascii="方正仿宋_GBK" w:hAnsi="方正仿宋_GBK" w:eastAsia="方正仿宋_GBK" w:cs="方正仿宋_GBK"/>
          <w:color w:val="000000" w:themeColor="text1"/>
          <w:kern w:val="0"/>
          <w:sz w:val="32"/>
          <w:szCs w:val="32"/>
          <w14:textFill>
            <w14:solidFill>
              <w14:schemeClr w14:val="tx1"/>
            </w14:solidFill>
          </w14:textFill>
        </w:rPr>
        <w:t>。</w:t>
      </w:r>
    </w:p>
    <w:p>
      <w:pPr>
        <w:keepNext w:val="0"/>
        <w:keepLines w:val="0"/>
        <w:pageBreakBefore w:val="0"/>
        <w:widowControl/>
        <w:tabs>
          <w:tab w:val="center" w:pos="4475"/>
        </w:tabs>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公务接待费202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32"/>
          <w:szCs w:val="32"/>
          <w14:textFill>
            <w14:solidFill>
              <w14:schemeClr w14:val="tx1"/>
            </w14:solidFill>
          </w14:textFill>
        </w:rPr>
        <w:t>年预算安排</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较上年</w:t>
      </w:r>
      <w:r>
        <w:rPr>
          <w:rFonts w:hint="eastAsia" w:ascii="方正仿宋_GBK" w:hAnsi="方正仿宋_GBK" w:eastAsia="方正仿宋_GBK" w:cs="方正仿宋_GBK"/>
          <w:color w:val="000000" w:themeColor="text1"/>
          <w:sz w:val="32"/>
          <w:szCs w:val="32"/>
          <w14:textFill>
            <w14:solidFill>
              <w14:schemeClr w14:val="tx1"/>
            </w14:solidFill>
          </w14:textFill>
        </w:rPr>
        <w:t>同无增减</w:t>
      </w:r>
      <w:r>
        <w:rPr>
          <w:rFonts w:hint="eastAsia" w:ascii="方正仿宋_GBK" w:hAnsi="方正仿宋_GBK" w:eastAsia="方正仿宋_GBK" w:cs="方正仿宋_GBK"/>
          <w:color w:val="000000" w:themeColor="text1"/>
          <w:kern w:val="0"/>
          <w:sz w:val="32"/>
          <w:szCs w:val="32"/>
          <w14:textFill>
            <w14:solidFill>
              <w14:schemeClr w14:val="tx1"/>
            </w14:solidFill>
          </w14:textFill>
        </w:rPr>
        <w:t>。</w:t>
      </w:r>
    </w:p>
    <w:p>
      <w:pPr>
        <w:keepNext w:val="0"/>
        <w:keepLines w:val="0"/>
        <w:pageBreakBefore w:val="0"/>
        <w:widowControl/>
        <w:tabs>
          <w:tab w:val="center" w:pos="4475"/>
        </w:tabs>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公务用车购置及运行费202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32"/>
          <w:szCs w:val="32"/>
          <w14:textFill>
            <w14:solidFill>
              <w14:schemeClr w14:val="tx1"/>
            </w14:solidFill>
          </w14:textFill>
        </w:rPr>
        <w:t>年预算安排</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较上年</w:t>
      </w:r>
      <w:r>
        <w:rPr>
          <w:rFonts w:hint="eastAsia" w:ascii="方正仿宋_GBK" w:hAnsi="方正仿宋_GBK" w:eastAsia="方正仿宋_GBK" w:cs="方正仿宋_GBK"/>
          <w:color w:val="000000" w:themeColor="text1"/>
          <w:sz w:val="32"/>
          <w:szCs w:val="32"/>
          <w14:textFill>
            <w14:solidFill>
              <w14:schemeClr w14:val="tx1"/>
            </w14:solidFill>
          </w14:textFill>
        </w:rPr>
        <w:t>同无增减</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其中：</w:t>
      </w:r>
    </w:p>
    <w:p>
      <w:pPr>
        <w:keepNext w:val="0"/>
        <w:keepLines w:val="0"/>
        <w:pageBreakBefore w:val="0"/>
        <w:widowControl/>
        <w:tabs>
          <w:tab w:val="center" w:pos="4475"/>
        </w:tabs>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公务用车购置费202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32"/>
          <w:szCs w:val="32"/>
          <w14:textFill>
            <w14:solidFill>
              <w14:schemeClr w14:val="tx1"/>
            </w14:solidFill>
          </w14:textFill>
        </w:rPr>
        <w:t>年预算安排</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较上年</w:t>
      </w:r>
      <w:r>
        <w:rPr>
          <w:rFonts w:hint="eastAsia" w:ascii="方正仿宋_GBK" w:hAnsi="方正仿宋_GBK" w:eastAsia="方正仿宋_GBK" w:cs="方正仿宋_GBK"/>
          <w:color w:val="000000" w:themeColor="text1"/>
          <w:sz w:val="32"/>
          <w:szCs w:val="32"/>
          <w14:textFill>
            <w14:solidFill>
              <w14:schemeClr w14:val="tx1"/>
            </w14:solidFill>
          </w14:textFill>
        </w:rPr>
        <w:t>同无增减</w:t>
      </w:r>
      <w:r>
        <w:rPr>
          <w:rFonts w:hint="eastAsia" w:ascii="方正仿宋_GBK" w:hAnsi="方正仿宋_GBK" w:eastAsia="方正仿宋_GBK" w:cs="方正仿宋_GBK"/>
          <w:color w:val="000000" w:themeColor="text1"/>
          <w:kern w:val="0"/>
          <w:sz w:val="32"/>
          <w:szCs w:val="32"/>
          <w14:textFill>
            <w14:solidFill>
              <w14:schemeClr w14:val="tx1"/>
            </w14:solidFill>
          </w14:textFill>
        </w:rPr>
        <w:t>；</w:t>
      </w:r>
    </w:p>
    <w:p>
      <w:pPr>
        <w:keepNext w:val="0"/>
        <w:keepLines w:val="0"/>
        <w:pageBreakBefore w:val="0"/>
        <w:widowControl/>
        <w:tabs>
          <w:tab w:val="center" w:pos="4475"/>
        </w:tabs>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公务用车运行维护费202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32"/>
          <w:szCs w:val="32"/>
          <w14:textFill>
            <w14:solidFill>
              <w14:schemeClr w14:val="tx1"/>
            </w14:solidFill>
          </w14:textFill>
        </w:rPr>
        <w:t>年预算安排</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较上年</w:t>
      </w:r>
      <w:r>
        <w:rPr>
          <w:rFonts w:hint="eastAsia" w:ascii="方正仿宋_GBK" w:hAnsi="方正仿宋_GBK" w:eastAsia="方正仿宋_GBK" w:cs="方正仿宋_GBK"/>
          <w:color w:val="000000" w:themeColor="text1"/>
          <w:sz w:val="32"/>
          <w:szCs w:val="32"/>
          <w14:textFill>
            <w14:solidFill>
              <w14:schemeClr w14:val="tx1"/>
            </w14:solidFill>
          </w14:textFill>
        </w:rPr>
        <w:t>同无增减</w:t>
      </w:r>
      <w:r>
        <w:rPr>
          <w:rFonts w:hint="eastAsia" w:ascii="方正仿宋_GBK" w:hAnsi="方正仿宋_GBK" w:eastAsia="方正仿宋_GBK" w:cs="方正仿宋_GBK"/>
          <w:color w:val="000000" w:themeColor="text1"/>
          <w:kern w:val="0"/>
          <w:sz w:val="32"/>
          <w:szCs w:val="32"/>
          <w14:textFill>
            <w14:solidFill>
              <w14:schemeClr w14:val="tx1"/>
            </w14:solidFill>
          </w14:textFill>
        </w:rPr>
        <w:t>。</w:t>
      </w:r>
    </w:p>
    <w:p>
      <w:pPr>
        <w:keepNext w:val="0"/>
        <w:keepLines w:val="0"/>
        <w:pageBreakBefore w:val="0"/>
        <w:widowControl/>
        <w:numPr>
          <w:ilvl w:val="0"/>
          <w:numId w:val="0"/>
        </w:numPr>
        <w:tabs>
          <w:tab w:val="center" w:pos="4475"/>
        </w:tabs>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七、事业单位</w:t>
      </w:r>
      <w:r>
        <w:rPr>
          <w:rFonts w:hint="eastAsia" w:ascii="方正仿宋_GBK" w:hAnsi="方正仿宋_GBK" w:eastAsia="方正仿宋_GBK" w:cs="方正仿宋_GBK"/>
          <w:color w:val="000000" w:themeColor="text1"/>
          <w:sz w:val="32"/>
          <w:szCs w:val="32"/>
          <w14:textFill>
            <w14:solidFill>
              <w14:schemeClr w14:val="tx1"/>
            </w14:solidFill>
          </w14:textFill>
        </w:rPr>
        <w:t>运行经费安排情况说明</w:t>
      </w:r>
    </w:p>
    <w:p>
      <w:pPr>
        <w:keepNext w:val="0"/>
        <w:keepLines w:val="0"/>
        <w:pageBreakBefore w:val="0"/>
        <w:widowControl/>
        <w:tabs>
          <w:tab w:val="center" w:pos="4475"/>
        </w:tabs>
        <w:kinsoku/>
        <w:wordWrap/>
        <w:overflowPunct/>
        <w:topLinePunct w:val="0"/>
        <w:autoSpaceDE/>
        <w:autoSpaceDN/>
        <w:bidi w:val="0"/>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我单位事业单位运行经费主要包括</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办公费、差旅费。</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我单位</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2026年</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事业单位</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运行经费预算7.2 万元，较上年增加0.8</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lang w:val="en" w:eastAsia="zh-CN"/>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增长</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11.11</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%，增长的主要原因是;新调进人员1人。</w:t>
      </w:r>
    </w:p>
    <w:p>
      <w:pPr>
        <w:keepNext w:val="0"/>
        <w:keepLines w:val="0"/>
        <w:pageBreakBefore w:val="0"/>
        <w:widowControl/>
        <w:tabs>
          <w:tab w:val="center" w:pos="4475"/>
        </w:tabs>
        <w:kinsoku/>
        <w:wordWrap/>
        <w:overflowPunct/>
        <w:topLinePunct w:val="0"/>
        <w:autoSpaceDE/>
        <w:autoSpaceDN/>
        <w:bidi w:val="0"/>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八、</w:t>
      </w:r>
      <w:r>
        <w:rPr>
          <w:rFonts w:hint="eastAsia" w:ascii="方正仿宋_GBK" w:hAnsi="方正仿宋_GBK" w:eastAsia="方正仿宋_GBK" w:cs="方正仿宋_GBK"/>
          <w:color w:val="000000" w:themeColor="text1"/>
          <w:kern w:val="0"/>
          <w:sz w:val="32"/>
          <w:szCs w:val="32"/>
          <w14:textFill>
            <w14:solidFill>
              <w14:schemeClr w14:val="tx1"/>
            </w14:solidFill>
          </w14:textFill>
        </w:rPr>
        <w:t>政府采购预算安排情况说明</w:t>
      </w:r>
    </w:p>
    <w:p>
      <w:pPr>
        <w:keepNext w:val="0"/>
        <w:keepLines w:val="0"/>
        <w:pageBreakBefore w:val="0"/>
        <w:widowControl/>
        <w:tabs>
          <w:tab w:val="center" w:pos="4475"/>
        </w:tabs>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kern w:val="0"/>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我</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32"/>
          <w:szCs w:val="32"/>
          <w14:textFill>
            <w14:solidFill>
              <w14:schemeClr w14:val="tx1"/>
            </w14:solidFill>
          </w14:textFill>
        </w:rPr>
        <w:t>年政府采购预算总金额</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0.1</w:t>
      </w:r>
      <w:r>
        <w:rPr>
          <w:rFonts w:hint="eastAsia" w:ascii="方正仿宋_GBK" w:hAnsi="方正仿宋_GBK" w:eastAsia="方正仿宋_GBK" w:cs="方正仿宋_GBK"/>
          <w:color w:val="000000" w:themeColor="text1"/>
          <w:sz w:val="32"/>
          <w:szCs w:val="32"/>
          <w14:textFill>
            <w14:solidFill>
              <w14:schemeClr w14:val="tx1"/>
            </w14:solidFill>
          </w14:textFill>
        </w:rPr>
        <w:t>万元。其中：货物类采购</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0.10</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widowControl/>
        <w:numPr>
          <w:ilvl w:val="0"/>
          <w:numId w:val="5"/>
        </w:numPr>
        <w:tabs>
          <w:tab w:val="center" w:pos="4475"/>
        </w:tabs>
        <w:kinsoku/>
        <w:wordWrap/>
        <w:overflowPunct/>
        <w:topLinePunct w:val="0"/>
        <w:autoSpaceDE/>
        <w:autoSpaceDN/>
        <w:bidi w:val="0"/>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国有资产占用情况说明</w:t>
      </w:r>
    </w:p>
    <w:p>
      <w:pPr>
        <w:keepNext w:val="0"/>
        <w:keepLines w:val="0"/>
        <w:pageBreakBefore w:val="0"/>
        <w:widowControl/>
        <w:numPr>
          <w:ilvl w:val="0"/>
          <w:numId w:val="0"/>
        </w:numPr>
        <w:tabs>
          <w:tab w:val="center" w:pos="4475"/>
        </w:tabs>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b w:val="0"/>
          <w:bCs w:val="0"/>
          <w:color w:val="000000" w:themeColor="text1"/>
          <w:sz w:val="32"/>
          <w:szCs w:val="32"/>
          <w:highlight w:val="none"/>
          <w:u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u w:val="none"/>
          <w14:textFill>
            <w14:solidFill>
              <w14:schemeClr w14:val="tx1"/>
            </w14:solidFill>
          </w14:textFill>
        </w:rPr>
        <w:t>我</w:t>
      </w:r>
      <w:r>
        <w:rPr>
          <w:rFonts w:hint="eastAsia" w:ascii="方正仿宋_GBK" w:hAnsi="方正仿宋_GBK" w:eastAsia="方正仿宋_GBK" w:cs="方正仿宋_GBK"/>
          <w:b w:val="0"/>
          <w:bCs w:val="0"/>
          <w:color w:val="000000" w:themeColor="text1"/>
          <w:sz w:val="32"/>
          <w:szCs w:val="32"/>
          <w:highlight w:val="none"/>
          <w:u w:val="none"/>
          <w:lang w:eastAsia="zh-CN"/>
          <w14:textFill>
            <w14:solidFill>
              <w14:schemeClr w14:val="tx1"/>
            </w14:solidFill>
          </w14:textFill>
        </w:rPr>
        <w:t>单位</w:t>
      </w:r>
      <w:r>
        <w:rPr>
          <w:rFonts w:hint="eastAsia" w:ascii="方正仿宋_GBK" w:hAnsi="方正仿宋_GBK" w:eastAsia="方正仿宋_GBK" w:cs="方正仿宋_GBK"/>
          <w:b w:val="0"/>
          <w:bCs w:val="0"/>
          <w:color w:val="000000" w:themeColor="text1"/>
          <w:sz w:val="32"/>
          <w:szCs w:val="32"/>
          <w:highlight w:val="none"/>
          <w:u w:val="none"/>
          <w14:textFill>
            <w14:solidFill>
              <w14:schemeClr w14:val="tx1"/>
            </w14:solidFill>
          </w14:textFill>
        </w:rPr>
        <w:t>202</w:t>
      </w:r>
      <w:r>
        <w:rPr>
          <w:rFonts w:hint="eastAsia" w:ascii="方正仿宋_GBK" w:hAnsi="方正仿宋_GBK" w:eastAsia="方正仿宋_GBK" w:cs="方正仿宋_GBK"/>
          <w:b w:val="0"/>
          <w:bCs w:val="0"/>
          <w:color w:val="000000" w:themeColor="text1"/>
          <w:sz w:val="32"/>
          <w:szCs w:val="32"/>
          <w:highlight w:val="none"/>
          <w:u w:val="none"/>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32"/>
          <w:szCs w:val="32"/>
          <w:highlight w:val="none"/>
          <w:u w:val="none"/>
          <w14:textFill>
            <w14:solidFill>
              <w14:schemeClr w14:val="tx1"/>
            </w14:solidFill>
          </w14:textFill>
        </w:rPr>
        <w:t>年无国有资产占用相关情况</w:t>
      </w:r>
      <w:r>
        <w:rPr>
          <w:rFonts w:hint="eastAsia" w:ascii="方正仿宋_GBK" w:hAnsi="方正仿宋_GBK" w:eastAsia="方正仿宋_GBK" w:cs="方正仿宋_GBK"/>
          <w:b w:val="0"/>
          <w:bCs w:val="0"/>
          <w:color w:val="000000" w:themeColor="text1"/>
          <w:sz w:val="32"/>
          <w:szCs w:val="32"/>
          <w:highlight w:val="none"/>
          <w:u w:val="none"/>
          <w:lang w:val="en-US" w:eastAsia="zh-CN"/>
          <w14:textFill>
            <w14:solidFill>
              <w14:schemeClr w14:val="tx1"/>
            </w14:solidFill>
          </w14:textFill>
        </w:rPr>
        <w:t>.</w:t>
      </w:r>
    </w:p>
    <w:p>
      <w:pPr>
        <w:keepNext w:val="0"/>
        <w:keepLines w:val="0"/>
        <w:pageBreakBefore w:val="0"/>
        <w:widowControl/>
        <w:numPr>
          <w:ilvl w:val="0"/>
          <w:numId w:val="5"/>
        </w:numPr>
        <w:tabs>
          <w:tab w:val="center" w:pos="4475"/>
        </w:tabs>
        <w:kinsoku/>
        <w:wordWrap/>
        <w:overflowPunct/>
        <w:topLinePunct w:val="0"/>
        <w:autoSpaceDE/>
        <w:autoSpaceDN/>
        <w:bidi w:val="0"/>
        <w:spacing w:after="0" w:line="560" w:lineRule="exact"/>
        <w:ind w:left="0" w:leftChars="0" w:right="0" w:righ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预算绩效目标情况说明</w:t>
      </w:r>
    </w:p>
    <w:p>
      <w:pPr>
        <w:keepNext w:val="0"/>
        <w:keepLines w:val="0"/>
        <w:pageBreakBefore w:val="0"/>
        <w:widowControl/>
        <w:numPr>
          <w:ilvl w:val="0"/>
          <w:numId w:val="6"/>
        </w:numPr>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我单位2026年所有项目支出全面实施绩效目标管理，涉及县本级项目3个，预算资金14.87万元。绩效目标情况详见报表。</w:t>
      </w:r>
    </w:p>
    <w:p>
      <w:pPr>
        <w:keepNext w:val="0"/>
        <w:keepLines w:val="0"/>
        <w:pageBreakBefore w:val="0"/>
        <w:widowControl/>
        <w:tabs>
          <w:tab w:val="center" w:pos="4475"/>
        </w:tabs>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2、重点项目预算绩效目标说明。</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tbl>
      <w:tblPr>
        <w:tblStyle w:val="3"/>
        <w:tblW w:w="10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4"/>
        <w:gridCol w:w="2608"/>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734" w:type="dxa"/>
            <w:noWrap w:val="0"/>
            <w:vAlign w:val="center"/>
          </w:tcPr>
          <w:p>
            <w:pPr>
              <w:keepNext w:val="0"/>
              <w:keepLines w:val="0"/>
              <w:pageBreakBefore w:val="0"/>
              <w:widowControl w:val="0"/>
              <w:tabs>
                <w:tab w:val="center" w:pos="4475"/>
              </w:tabs>
              <w:kinsoku/>
              <w:wordWrap/>
              <w:overflowPunct/>
              <w:topLinePunct w:val="0"/>
              <w:autoSpaceDE/>
              <w:autoSpaceDN/>
              <w:bidi w:val="0"/>
              <w:spacing w:after="0" w:line="560" w:lineRule="exact"/>
              <w:ind w:right="0" w:rightChars="0"/>
              <w:jc w:val="center"/>
              <w:textAlignment w:val="auto"/>
              <w:rPr>
                <w:rFonts w:hint="eastAsia" w:ascii="方正仿宋_GBK" w:hAnsi="方正仿宋_GBK" w:eastAsia="方正仿宋_GBK" w:cs="方正仿宋_GBK"/>
                <w:b/>
                <w:bCs/>
                <w:color w:val="000000" w:themeColor="text1"/>
                <w:sz w:val="32"/>
                <w:szCs w:val="32"/>
                <w:vertAlign w:val="baseline"/>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vertAlign w:val="baseline"/>
                <w:lang w:eastAsia="zh-CN"/>
                <w14:textFill>
                  <w14:solidFill>
                    <w14:schemeClr w14:val="tx1"/>
                  </w14:solidFill>
                </w14:textFill>
              </w:rPr>
              <w:t>项目名称</w:t>
            </w:r>
          </w:p>
        </w:tc>
        <w:tc>
          <w:tcPr>
            <w:tcW w:w="2608" w:type="dxa"/>
            <w:noWrap w:val="0"/>
            <w:vAlign w:val="center"/>
          </w:tcPr>
          <w:p>
            <w:pPr>
              <w:keepNext w:val="0"/>
              <w:keepLines w:val="0"/>
              <w:pageBreakBefore w:val="0"/>
              <w:widowControl w:val="0"/>
              <w:tabs>
                <w:tab w:val="center" w:pos="4475"/>
              </w:tabs>
              <w:kinsoku/>
              <w:wordWrap/>
              <w:overflowPunct/>
              <w:topLinePunct w:val="0"/>
              <w:autoSpaceDE/>
              <w:autoSpaceDN/>
              <w:bidi w:val="0"/>
              <w:spacing w:after="0" w:line="560" w:lineRule="exact"/>
              <w:ind w:right="0" w:rightChars="0"/>
              <w:jc w:val="center"/>
              <w:textAlignment w:val="auto"/>
              <w:rPr>
                <w:rFonts w:hint="eastAsia" w:ascii="方正仿宋_GBK" w:hAnsi="方正仿宋_GBK" w:eastAsia="方正仿宋_GBK" w:cs="方正仿宋_GBK"/>
                <w:b/>
                <w:bCs/>
                <w:color w:val="000000" w:themeColor="text1"/>
                <w:sz w:val="32"/>
                <w:szCs w:val="32"/>
                <w:vertAlign w:val="baseline"/>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vertAlign w:val="baseline"/>
                <w:lang w:eastAsia="zh-CN"/>
                <w14:textFill>
                  <w14:solidFill>
                    <w14:schemeClr w14:val="tx1"/>
                  </w14:solidFill>
                </w14:textFill>
              </w:rPr>
              <w:t>预算数</w:t>
            </w:r>
          </w:p>
          <w:p>
            <w:pPr>
              <w:keepNext w:val="0"/>
              <w:keepLines w:val="0"/>
              <w:pageBreakBefore w:val="0"/>
              <w:widowControl w:val="0"/>
              <w:tabs>
                <w:tab w:val="center" w:pos="4475"/>
              </w:tabs>
              <w:kinsoku/>
              <w:wordWrap/>
              <w:overflowPunct/>
              <w:topLinePunct w:val="0"/>
              <w:autoSpaceDE/>
              <w:autoSpaceDN/>
              <w:bidi w:val="0"/>
              <w:spacing w:after="0" w:line="560" w:lineRule="exact"/>
              <w:ind w:right="0" w:rightChars="0"/>
              <w:jc w:val="center"/>
              <w:textAlignment w:val="auto"/>
              <w:rPr>
                <w:rFonts w:hint="eastAsia" w:ascii="方正仿宋_GBK" w:hAnsi="方正仿宋_GBK" w:eastAsia="方正仿宋_GBK" w:cs="方正仿宋_GBK"/>
                <w:b/>
                <w:bCs/>
                <w:color w:val="000000" w:themeColor="text1"/>
                <w:sz w:val="32"/>
                <w:szCs w:val="32"/>
                <w:vertAlign w:val="baseline"/>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vertAlign w:val="baseline"/>
                <w:lang w:eastAsia="zh-CN"/>
                <w14:textFill>
                  <w14:solidFill>
                    <w14:schemeClr w14:val="tx1"/>
                  </w14:solidFill>
                </w14:textFill>
              </w:rPr>
              <w:t>（单位：万元）</w:t>
            </w:r>
          </w:p>
        </w:tc>
        <w:tc>
          <w:tcPr>
            <w:tcW w:w="4814" w:type="dxa"/>
            <w:noWrap w:val="0"/>
            <w:vAlign w:val="center"/>
          </w:tcPr>
          <w:p>
            <w:pPr>
              <w:keepNext w:val="0"/>
              <w:keepLines w:val="0"/>
              <w:pageBreakBefore w:val="0"/>
              <w:widowControl w:val="0"/>
              <w:tabs>
                <w:tab w:val="center" w:pos="4475"/>
              </w:tabs>
              <w:kinsoku/>
              <w:wordWrap/>
              <w:overflowPunct/>
              <w:topLinePunct w:val="0"/>
              <w:autoSpaceDE/>
              <w:autoSpaceDN/>
              <w:bidi w:val="0"/>
              <w:spacing w:after="0" w:line="560" w:lineRule="exact"/>
              <w:ind w:right="0" w:rightChars="0"/>
              <w:jc w:val="center"/>
              <w:textAlignment w:val="auto"/>
              <w:rPr>
                <w:rFonts w:hint="eastAsia" w:ascii="方正仿宋_GBK" w:hAnsi="方正仿宋_GBK" w:eastAsia="方正仿宋_GBK" w:cs="方正仿宋_GBK"/>
                <w:b/>
                <w:bCs/>
                <w:color w:val="000000" w:themeColor="text1"/>
                <w:sz w:val="32"/>
                <w:szCs w:val="32"/>
                <w:vertAlign w:val="baseline"/>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vertAlign w:val="baseline"/>
                <w:lang w:eastAsia="zh-CN"/>
                <w14:textFill>
                  <w14:solidFill>
                    <w14:schemeClr w14:val="tx1"/>
                  </w14:solidFill>
                </w14:textFill>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jc w:val="center"/>
        </w:trPr>
        <w:tc>
          <w:tcPr>
            <w:tcW w:w="2734" w:type="dxa"/>
            <w:noWrap w:val="0"/>
            <w:vAlign w:val="top"/>
          </w:tcPr>
          <w:p>
            <w:pPr>
              <w:keepNext w:val="0"/>
              <w:keepLines w:val="0"/>
              <w:pageBreakBefore w:val="0"/>
              <w:widowControl w:val="0"/>
              <w:tabs>
                <w:tab w:val="center" w:pos="4475"/>
              </w:tabs>
              <w:kinsoku/>
              <w:wordWrap/>
              <w:overflowPunct/>
              <w:topLinePunct w:val="0"/>
              <w:autoSpaceDE/>
              <w:autoSpaceDN/>
              <w:bidi w:val="0"/>
              <w:spacing w:after="0" w:line="560" w:lineRule="exact"/>
              <w:ind w:right="0" w:rightChars="0"/>
              <w:jc w:val="center"/>
              <w:textAlignment w:val="auto"/>
              <w:rPr>
                <w:rFonts w:hint="eastAsia" w:ascii="方正仿宋_GBK" w:hAnsi="方正仿宋_GBK" w:eastAsia="方正仿宋_GBK" w:cs="方正仿宋_GBK"/>
                <w:color w:val="000000" w:themeColor="text1"/>
                <w:sz w:val="32"/>
                <w:szCs w:val="32"/>
                <w:vertAlign w:val="baseline"/>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领导干部房产信息核查报送系统软件光纤数据专线</w:t>
            </w:r>
          </w:p>
        </w:tc>
        <w:tc>
          <w:tcPr>
            <w:tcW w:w="2608" w:type="dxa"/>
            <w:noWrap w:val="0"/>
            <w:vAlign w:val="top"/>
          </w:tcPr>
          <w:p>
            <w:pPr>
              <w:keepNext w:val="0"/>
              <w:keepLines w:val="0"/>
              <w:pageBreakBefore w:val="0"/>
              <w:widowControl w:val="0"/>
              <w:tabs>
                <w:tab w:val="center" w:pos="4475"/>
              </w:tabs>
              <w:kinsoku/>
              <w:wordWrap/>
              <w:overflowPunct/>
              <w:topLinePunct w:val="0"/>
              <w:autoSpaceDE/>
              <w:autoSpaceDN/>
              <w:bidi w:val="0"/>
              <w:spacing w:after="0" w:line="560" w:lineRule="exact"/>
              <w:ind w:right="0" w:rightChars="0" w:firstLine="640" w:firstLineChars="200"/>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p>
          <w:p>
            <w:pPr>
              <w:keepNext w:val="0"/>
              <w:keepLines w:val="0"/>
              <w:pageBreakBefore w:val="0"/>
              <w:widowControl w:val="0"/>
              <w:tabs>
                <w:tab w:val="center" w:pos="4475"/>
              </w:tabs>
              <w:kinsoku/>
              <w:wordWrap/>
              <w:overflowPunct/>
              <w:topLinePunct w:val="0"/>
              <w:autoSpaceDE/>
              <w:autoSpaceDN/>
              <w:bidi w:val="0"/>
              <w:spacing w:after="0" w:line="560" w:lineRule="exact"/>
              <w:ind w:right="0" w:rightChars="0"/>
              <w:jc w:val="center"/>
              <w:textAlignment w:val="auto"/>
              <w:rPr>
                <w:rFonts w:hint="eastAsia" w:ascii="方正仿宋_GBK" w:hAnsi="方正仿宋_GBK" w:eastAsia="方正仿宋_GBK" w:cs="方正仿宋_GBK"/>
                <w:color w:val="000000" w:themeColor="text1"/>
                <w:sz w:val="32"/>
                <w:szCs w:val="32"/>
                <w:vertAlign w:val="baseline"/>
                <w:lang w:val="en-US"/>
                <w14:textFill>
                  <w14:solidFill>
                    <w14:schemeClr w14:val="tx1"/>
                  </w14:solidFill>
                </w14:textFill>
              </w:rPr>
            </w:pPr>
            <w:r>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t>1.8</w:t>
            </w:r>
          </w:p>
        </w:tc>
        <w:tc>
          <w:tcPr>
            <w:tcW w:w="4814" w:type="dxa"/>
            <w:noWrap w:val="0"/>
            <w:vAlign w:val="top"/>
          </w:tcPr>
          <w:p>
            <w:pPr>
              <w:keepNext w:val="0"/>
              <w:keepLines w:val="0"/>
              <w:pageBreakBefore w:val="0"/>
              <w:widowControl w:val="0"/>
              <w:tabs>
                <w:tab w:val="center" w:pos="4475"/>
              </w:tabs>
              <w:kinsoku/>
              <w:wordWrap/>
              <w:overflowPunct/>
              <w:topLinePunct w:val="0"/>
              <w:autoSpaceDE/>
              <w:autoSpaceDN/>
              <w:bidi w:val="0"/>
              <w:spacing w:after="0" w:line="560" w:lineRule="exact"/>
              <w:ind w:right="0" w:rightChars="0"/>
              <w:jc w:val="center"/>
              <w:textAlignment w:val="auto"/>
              <w:rPr>
                <w:rFonts w:hint="eastAsia" w:ascii="方正仿宋_GBK" w:hAnsi="方正仿宋_GBK" w:eastAsia="方正仿宋_GBK" w:cs="方正仿宋_GBK"/>
                <w:color w:val="000000" w:themeColor="text1"/>
                <w:sz w:val="32"/>
                <w:szCs w:val="32"/>
                <w:vertAlign w:val="baseline"/>
                <w14:textFill>
                  <w14:solidFill>
                    <w14:schemeClr w14:val="tx1"/>
                  </w14:solidFill>
                </w14:textFill>
              </w:rPr>
            </w:pPr>
            <w:r>
              <w:rPr>
                <w:rFonts w:hint="eastAsia" w:ascii="方正仿宋_GBK" w:hAnsi="方正仿宋_GBK" w:eastAsia="方正仿宋_GBK" w:cs="方正仿宋_GBK"/>
                <w:color w:val="000000" w:themeColor="text1"/>
                <w:sz w:val="32"/>
                <w:szCs w:val="32"/>
                <w:vertAlign w:val="baseline"/>
                <w:lang w:eastAsia="zh-CN"/>
                <w14:textFill>
                  <w14:solidFill>
                    <w14:schemeClr w14:val="tx1"/>
                  </w14:solidFill>
                </w14:textFill>
              </w:rPr>
              <w:t>通过领导干部房产信息核查系统，能及时查核</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能及时查核领导干部房产个人信息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4" w:type="dxa"/>
            <w:noWrap w:val="0"/>
            <w:vAlign w:val="top"/>
          </w:tcPr>
          <w:p>
            <w:pPr>
              <w:keepNext w:val="0"/>
              <w:keepLines w:val="0"/>
              <w:pageBreakBefore w:val="0"/>
              <w:widowControl w:val="0"/>
              <w:tabs>
                <w:tab w:val="center" w:pos="4475"/>
              </w:tabs>
              <w:kinsoku/>
              <w:wordWrap/>
              <w:overflowPunct/>
              <w:topLinePunct w:val="0"/>
              <w:autoSpaceDE/>
              <w:autoSpaceDN/>
              <w:bidi w:val="0"/>
              <w:spacing w:after="0" w:line="560" w:lineRule="exact"/>
              <w:ind w:right="0" w:rightChars="0"/>
              <w:jc w:val="center"/>
              <w:textAlignment w:val="auto"/>
              <w:rPr>
                <w:rFonts w:hint="eastAsia" w:ascii="方正仿宋_GBK" w:hAnsi="方正仿宋_GBK" w:eastAsia="方正仿宋_GBK" w:cs="方正仿宋_GBK"/>
                <w:color w:val="000000" w:themeColor="text1"/>
                <w:sz w:val="32"/>
                <w:szCs w:val="32"/>
                <w:vertAlign w:val="baseli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房管所白蚁药品费</w:t>
            </w:r>
          </w:p>
        </w:tc>
        <w:tc>
          <w:tcPr>
            <w:tcW w:w="2608" w:type="dxa"/>
            <w:noWrap w:val="0"/>
            <w:vAlign w:val="center"/>
          </w:tcPr>
          <w:p>
            <w:pPr>
              <w:keepNext w:val="0"/>
              <w:keepLines w:val="0"/>
              <w:pageBreakBefore w:val="0"/>
              <w:widowControl w:val="0"/>
              <w:tabs>
                <w:tab w:val="center" w:pos="4475"/>
              </w:tabs>
              <w:kinsoku/>
              <w:wordWrap/>
              <w:overflowPunct/>
              <w:topLinePunct w:val="0"/>
              <w:autoSpaceDE/>
              <w:autoSpaceDN/>
              <w:bidi w:val="0"/>
              <w:spacing w:after="0" w:line="560" w:lineRule="exact"/>
              <w:ind w:right="0" w:rightChars="0"/>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t>2</w:t>
            </w:r>
          </w:p>
        </w:tc>
        <w:tc>
          <w:tcPr>
            <w:tcW w:w="4814" w:type="dxa"/>
            <w:noWrap w:val="0"/>
            <w:vAlign w:val="top"/>
          </w:tcPr>
          <w:p>
            <w:pPr>
              <w:keepNext w:val="0"/>
              <w:keepLines w:val="0"/>
              <w:pageBreakBefore w:val="0"/>
              <w:widowControl w:val="0"/>
              <w:tabs>
                <w:tab w:val="center" w:pos="4475"/>
              </w:tabs>
              <w:kinsoku/>
              <w:wordWrap/>
              <w:overflowPunct/>
              <w:topLinePunct w:val="0"/>
              <w:autoSpaceDE/>
              <w:autoSpaceDN/>
              <w:bidi w:val="0"/>
              <w:spacing w:after="0" w:line="560" w:lineRule="exact"/>
              <w:ind w:right="0" w:rightChars="0"/>
              <w:jc w:val="center"/>
              <w:textAlignment w:val="auto"/>
              <w:rPr>
                <w:rFonts w:hint="eastAsia" w:ascii="方正仿宋_GBK" w:hAnsi="方正仿宋_GBK" w:eastAsia="方正仿宋_GBK" w:cs="方正仿宋_GBK"/>
                <w:color w:val="000000" w:themeColor="text1"/>
                <w:sz w:val="32"/>
                <w:szCs w:val="32"/>
                <w:vertAlign w:val="baseline"/>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t>2026年</w:t>
            </w:r>
            <w:r>
              <w:rPr>
                <w:rFonts w:hint="eastAsia" w:ascii="方正仿宋_GBK" w:hAnsi="方正仿宋_GBK" w:eastAsia="方正仿宋_GBK" w:cs="方正仿宋_GBK"/>
                <w:color w:val="000000" w:themeColor="text1"/>
                <w:sz w:val="32"/>
                <w:szCs w:val="32"/>
                <w:vertAlign w:val="baseline"/>
                <w:lang w:eastAsia="zh-CN"/>
                <w14:textFill>
                  <w14:solidFill>
                    <w14:schemeClr w14:val="tx1"/>
                  </w14:solidFill>
                </w14:textFill>
              </w:rPr>
              <w:t>通过采购药品能及时对</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全县新建房屋白蚁预防及灭治施工</w:t>
            </w:r>
          </w:p>
        </w:tc>
      </w:tr>
    </w:tbl>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第三部分名词解释</w:t>
      </w:r>
    </w:p>
    <w:p>
      <w:pPr>
        <w:keepNext w:val="0"/>
        <w:keepLines w:val="0"/>
        <w:pageBreakBefore w:val="0"/>
        <w:widowControl/>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（一）社会保障和就业支出（类）单位在职职工工资总额的一定比例缴纳的机关事业单位基本养老保险。</w:t>
      </w:r>
    </w:p>
    <w:p>
      <w:pPr>
        <w:keepNext w:val="0"/>
        <w:keepLines w:val="0"/>
        <w:pageBreakBefore w:val="0"/>
        <w:widowControl/>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（二）医疗卫生与计划生育支出（类）行政事业单位医疗（款）行政单位医疗（项）：是根据统一规定，按行政机关（含参公单位）在职职工工资总额的一定比例计缴的医疗保险。</w:t>
      </w:r>
    </w:p>
    <w:p>
      <w:pPr>
        <w:keepNext w:val="0"/>
        <w:keepLines w:val="0"/>
        <w:pageBreakBefore w:val="0"/>
        <w:widowControl/>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（三）医疗卫生与计划生育支出（类）行政事业单位医疗（款）事业单位医疗（项）：是根据统一规定，按事业单位在职职工工资总额的一定比例计缴的医疗保险。</w:t>
      </w:r>
    </w:p>
    <w:p>
      <w:pPr>
        <w:keepNext w:val="0"/>
        <w:keepLines w:val="0"/>
        <w:pageBreakBefore w:val="0"/>
        <w:widowControl/>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（四）医疗卫生与计划生育支出（类）行政事业单位医疗（款）公务员医疗补助（项）：是根据统一规定，按工资总额的一定比例计缴的公务员医疗补助。</w:t>
      </w:r>
    </w:p>
    <w:p>
      <w:pPr>
        <w:keepNext w:val="0"/>
        <w:keepLines w:val="0"/>
        <w:pageBreakBefore w:val="0"/>
        <w:widowControl/>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（五）城乡社区支出（类）国有土地使用权出让收入及对应专项债务收入安排的支出（款）城市建设支出（项）: 是指政府性基金预算安排的开展财政性投资预决算评审业务的项目支出。</w:t>
      </w:r>
    </w:p>
    <w:p>
      <w:pPr>
        <w:keepNext w:val="0"/>
        <w:keepLines w:val="0"/>
        <w:pageBreakBefore w:val="0"/>
        <w:widowControl/>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（六）住房保障（类）住房改革支出（款）住房公积 金（项）：指根据统一规定，按工资总额的一定比例计缴的住房公积金。</w:t>
      </w:r>
    </w:p>
    <w:p>
      <w:pPr>
        <w:keepNext w:val="0"/>
        <w:keepLines w:val="0"/>
        <w:pageBreakBefore w:val="0"/>
        <w:widowControl/>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（七）基本支出：指为保障机构正常运转、完成日常 工作任务而发生的人员支出和公用支出。</w:t>
      </w:r>
    </w:p>
    <w:p>
      <w:pPr>
        <w:keepNext w:val="0"/>
        <w:keepLines w:val="0"/>
        <w:pageBreakBefore w:val="0"/>
        <w:widowControl/>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（八）项目支出：指在基本支出之外为完成特定行政任务和事业发展目标所发生的支出。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九）“三公”经费：是指因公出国（境）费、公务用车购置及运行费、公务接待费。其中，因公出国（境）费反映单位公务出国（境）的国际旅费、国外城市间交通费、住宿费、伙食费、培训费、公杂费等支出；公务用车购置及运行费反映单位公务用车车辆购置支出（含车辆购置税）及公车燃料费、维修费、过路过桥费、保险费等支出；公务接待费反映单位按规定开支的各类公务接待支出。</w:t>
      </w:r>
    </w:p>
    <w:p>
      <w:pPr>
        <w:keepNext w:val="0"/>
        <w:keepLines w:val="0"/>
        <w:pageBreakBefore w:val="0"/>
        <w:widowControl/>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(十)机关运行经费：为保障行政单位（包括参照公务 员法管理的事业单位）运行用于购买货物和服务的各项资金， 包括办公费、印刷费、水费、电费、邮电费、物业管理费、差旅费、维修（护）费、租赁费、会议费、培训费、公务接待费、劳务费、委托业务费、工会经费、福利费、公务用车运行维护费、其他交通费用、税金及附加费用和其他商品和服务支出。</w:t>
      </w:r>
    </w:p>
    <w:p>
      <w:pPr>
        <w:keepNext w:val="0"/>
        <w:keepLines w:val="0"/>
        <w:pageBreakBefore w:val="0"/>
        <w:widowControl/>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after="0" w:line="560" w:lineRule="exact"/>
        <w:ind w:right="0" w:rightChars="0" w:firstLine="4800" w:firstLineChars="15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永福县房地产管理所</w:t>
      </w:r>
    </w:p>
    <w:p>
      <w:pPr>
        <w:numPr>
          <w:ilvl w:val="0"/>
          <w:numId w:val="0"/>
        </w:numPr>
        <w:tabs>
          <w:tab w:val="center" w:pos="4475"/>
        </w:tabs>
        <w:spacing w:line="560" w:lineRule="exact"/>
        <w:ind w:firstLine="5120" w:firstLineChars="1600"/>
        <w:rPr>
          <w:rFonts w:hint="eastAsia" w:asciiTheme="minorEastAsia" w:hAnsiTheme="minorEastAsia" w:eastAsiaTheme="minorEastAsia" w:cstheme="minorEastAsia"/>
          <w:sz w:val="30"/>
          <w:szCs w:val="30"/>
          <w:highlight w:val="none"/>
          <w:lang w:val="en-US" w:eastAsia="zh-CN"/>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24</w:t>
      </w:r>
      <w:r>
        <w:rPr>
          <w:rFonts w:hint="eastAsia" w:ascii="方正仿宋_GBK" w:hAnsi="方正仿宋_GBK" w:eastAsia="方正仿宋_GBK" w:cs="方正仿宋_GBK"/>
          <w:color w:val="000000" w:themeColor="text1"/>
          <w:sz w:val="32"/>
          <w:szCs w:val="32"/>
          <w14:textFill>
            <w14:solidFill>
              <w14:schemeClr w14:val="tx1"/>
            </w14:solidFill>
          </w14:textFill>
        </w:rPr>
        <w:t>日</w:t>
      </w:r>
    </w:p>
    <w:p>
      <w:pPr>
        <w:tabs>
          <w:tab w:val="center" w:pos="4475"/>
        </w:tabs>
        <w:spacing w:line="560" w:lineRule="exact"/>
        <w:ind w:firstLine="645"/>
        <w:rPr>
          <w:rFonts w:hint="eastAsia" w:asciiTheme="minorEastAsia" w:hAnsiTheme="minorEastAsia" w:eastAsiaTheme="minorEastAsia" w:cstheme="minorEastAsia"/>
          <w:sz w:val="30"/>
          <w:szCs w:val="30"/>
          <w:lang w:eastAsia="zh-CN"/>
        </w:rPr>
      </w:pP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A4C754"/>
    <w:multiLevelType w:val="singleLevel"/>
    <w:tmpl w:val="D1A4C754"/>
    <w:lvl w:ilvl="0" w:tentative="0">
      <w:start w:val="1"/>
      <w:numFmt w:val="chineseCounting"/>
      <w:suff w:val="nothing"/>
      <w:lvlText w:val="%1、"/>
      <w:lvlJc w:val="left"/>
      <w:rPr>
        <w:rFonts w:hint="eastAsia"/>
      </w:rPr>
    </w:lvl>
  </w:abstractNum>
  <w:abstractNum w:abstractNumId="1">
    <w:nsid w:val="DB390DBF"/>
    <w:multiLevelType w:val="singleLevel"/>
    <w:tmpl w:val="DB390DBF"/>
    <w:lvl w:ilvl="0" w:tentative="0">
      <w:start w:val="9"/>
      <w:numFmt w:val="chineseCounting"/>
      <w:suff w:val="nothing"/>
      <w:lvlText w:val="%1、"/>
      <w:lvlJc w:val="left"/>
      <w:rPr>
        <w:rFonts w:hint="eastAsia"/>
      </w:rPr>
    </w:lvl>
  </w:abstractNum>
  <w:abstractNum w:abstractNumId="2">
    <w:nsid w:val="F2E1518B"/>
    <w:multiLevelType w:val="singleLevel"/>
    <w:tmpl w:val="F2E1518B"/>
    <w:lvl w:ilvl="0" w:tentative="0">
      <w:start w:val="1"/>
      <w:numFmt w:val="chineseCounting"/>
      <w:suff w:val="nothing"/>
      <w:lvlText w:val="%1、"/>
      <w:lvlJc w:val="left"/>
      <w:rPr>
        <w:rFonts w:hint="eastAsia"/>
      </w:rPr>
    </w:lvl>
  </w:abstractNum>
  <w:abstractNum w:abstractNumId="3">
    <w:nsid w:val="3AF8D690"/>
    <w:multiLevelType w:val="singleLevel"/>
    <w:tmpl w:val="3AF8D690"/>
    <w:lvl w:ilvl="0" w:tentative="0">
      <w:start w:val="1"/>
      <w:numFmt w:val="decimal"/>
      <w:suff w:val="nothing"/>
      <w:lvlText w:val="%1、"/>
      <w:lvlJc w:val="left"/>
    </w:lvl>
  </w:abstractNum>
  <w:abstractNum w:abstractNumId="4">
    <w:nsid w:val="3D814094"/>
    <w:multiLevelType w:val="singleLevel"/>
    <w:tmpl w:val="3D814094"/>
    <w:lvl w:ilvl="0" w:tentative="0">
      <w:start w:val="1"/>
      <w:numFmt w:val="chineseCounting"/>
      <w:suff w:val="nothing"/>
      <w:lvlText w:val="（%1）"/>
      <w:lvlJc w:val="left"/>
      <w:rPr>
        <w:rFonts w:hint="eastAsia"/>
      </w:rPr>
    </w:lvl>
  </w:abstractNum>
  <w:abstractNum w:abstractNumId="5">
    <w:nsid w:val="629CA83A"/>
    <w:multiLevelType w:val="singleLevel"/>
    <w:tmpl w:val="629CA83A"/>
    <w:lvl w:ilvl="0" w:tentative="0">
      <w:start w:val="5"/>
      <w:numFmt w:val="chineseCounting"/>
      <w:suff w:val="nothing"/>
      <w:lvlText w:val="%1、"/>
      <w:lvlJc w:val="left"/>
      <w:rPr>
        <w:rFonts w:hint="eastAsia"/>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09D26F45"/>
    <w:rsid w:val="0EC50383"/>
    <w:rsid w:val="0F375E2A"/>
    <w:rsid w:val="108D7EFB"/>
    <w:rsid w:val="11146E68"/>
    <w:rsid w:val="11E73D25"/>
    <w:rsid w:val="16294BEB"/>
    <w:rsid w:val="18DA345E"/>
    <w:rsid w:val="1C176A23"/>
    <w:rsid w:val="1C703089"/>
    <w:rsid w:val="1CCB2355"/>
    <w:rsid w:val="1F264229"/>
    <w:rsid w:val="21166F57"/>
    <w:rsid w:val="314D62F2"/>
    <w:rsid w:val="33880D4F"/>
    <w:rsid w:val="34853D0F"/>
    <w:rsid w:val="38CA71E4"/>
    <w:rsid w:val="39EF1E2C"/>
    <w:rsid w:val="3B0272F3"/>
    <w:rsid w:val="3B795CEF"/>
    <w:rsid w:val="3C785F45"/>
    <w:rsid w:val="3E671904"/>
    <w:rsid w:val="408848F1"/>
    <w:rsid w:val="428466CD"/>
    <w:rsid w:val="45C0752A"/>
    <w:rsid w:val="466A0AAA"/>
    <w:rsid w:val="46741366"/>
    <w:rsid w:val="48C749F6"/>
    <w:rsid w:val="4AC960E9"/>
    <w:rsid w:val="4DDF9E65"/>
    <w:rsid w:val="4F2524AA"/>
    <w:rsid w:val="50461149"/>
    <w:rsid w:val="523E5EFC"/>
    <w:rsid w:val="52DA56A5"/>
    <w:rsid w:val="565A0D01"/>
    <w:rsid w:val="57F72555"/>
    <w:rsid w:val="5C070888"/>
    <w:rsid w:val="5C2F7A76"/>
    <w:rsid w:val="5DBD1BFF"/>
    <w:rsid w:val="5E384F22"/>
    <w:rsid w:val="5FBB2837"/>
    <w:rsid w:val="607240FA"/>
    <w:rsid w:val="61AB3779"/>
    <w:rsid w:val="673232A1"/>
    <w:rsid w:val="67482DD6"/>
    <w:rsid w:val="6969632E"/>
    <w:rsid w:val="69764BA0"/>
    <w:rsid w:val="743A72BC"/>
    <w:rsid w:val="74B314DB"/>
    <w:rsid w:val="76011FE3"/>
    <w:rsid w:val="762826FB"/>
    <w:rsid w:val="7909810E"/>
    <w:rsid w:val="793730A0"/>
    <w:rsid w:val="7A103F84"/>
    <w:rsid w:val="7AB736DC"/>
    <w:rsid w:val="7AC34C78"/>
    <w:rsid w:val="7DD97A77"/>
    <w:rsid w:val="EF7F96A8"/>
    <w:rsid w:val="FEFD1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方正小标宋简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18</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朱晓艳</cp:lastModifiedBy>
  <dcterms:modified xsi:type="dcterms:W3CDTF">2026-03-26T16:50:20Z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51808ADA1FE34707998F39278AE75CBC</vt:lpwstr>
  </property>
</Properties>
</file>