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A51" w:rsidRDefault="00EA213D" w:rsidP="00841A51">
      <w:pPr>
        <w:adjustRightInd w:val="0"/>
        <w:snapToGrid w:val="0"/>
        <w:spacing w:line="640" w:lineRule="exact"/>
        <w:jc w:val="center"/>
        <w:rPr>
          <w:rFonts w:ascii="方正小标宋_GBK" w:eastAsia="方正小标宋_GBK"/>
          <w:sz w:val="44"/>
          <w:szCs w:val="32"/>
        </w:rPr>
      </w:pPr>
      <w:r>
        <w:rPr>
          <w:rFonts w:ascii="方正小标宋_GBK" w:eastAsia="方正小标宋_GBK" w:hint="eastAsia"/>
          <w:sz w:val="44"/>
          <w:szCs w:val="44"/>
        </w:rPr>
        <w:t>外来入侵物种</w:t>
      </w:r>
      <w:r w:rsidR="00841A51">
        <w:rPr>
          <w:rFonts w:ascii="方正小标宋_GBK" w:eastAsia="方正小标宋_GBK" w:hint="eastAsia"/>
          <w:sz w:val="44"/>
          <w:szCs w:val="32"/>
        </w:rPr>
        <w:t>长芒苋防控技术指导意见</w:t>
      </w:r>
    </w:p>
    <w:p w:rsidR="00841A51" w:rsidRDefault="00841A51" w:rsidP="00841A51">
      <w:pPr>
        <w:adjustRightInd w:val="0"/>
        <w:snapToGrid w:val="0"/>
        <w:spacing w:line="580" w:lineRule="exact"/>
        <w:rPr>
          <w:rFonts w:eastAsia="仿宋_GB2312"/>
          <w:sz w:val="32"/>
          <w:szCs w:val="32"/>
        </w:rPr>
      </w:pPr>
    </w:p>
    <w:p w:rsidR="00841A51" w:rsidRDefault="00841A51" w:rsidP="00841A51">
      <w:pPr>
        <w:adjustRightInd w:val="0"/>
        <w:snapToGrid w:val="0"/>
        <w:spacing w:line="580" w:lineRule="exact"/>
        <w:jc w:val="center"/>
        <w:rPr>
          <w:rFonts w:eastAsia="仿宋_GB2312"/>
          <w:sz w:val="32"/>
          <w:szCs w:val="32"/>
        </w:rPr>
      </w:pPr>
      <w:r w:rsidRPr="00482FEE">
        <w:rPr>
          <w:rFonts w:eastAsia="仿宋_GB2312" w:hint="eastAsia"/>
          <w:sz w:val="32"/>
          <w:szCs w:val="32"/>
        </w:rPr>
        <w:t>来源：农业农村部农业生态总站</w:t>
      </w:r>
    </w:p>
    <w:p w:rsidR="00841A51" w:rsidRPr="00482FEE" w:rsidRDefault="00841A51" w:rsidP="00841A51">
      <w:pPr>
        <w:adjustRightInd w:val="0"/>
        <w:snapToGrid w:val="0"/>
        <w:spacing w:line="580" w:lineRule="exact"/>
        <w:rPr>
          <w:rFonts w:eastAsia="仿宋_GB2312"/>
          <w:sz w:val="32"/>
          <w:szCs w:val="32"/>
        </w:rPr>
      </w:pP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长芒苋（</w:t>
      </w:r>
      <w:r>
        <w:rPr>
          <w:rFonts w:eastAsia="仿宋_GB2312"/>
          <w:sz w:val="32"/>
          <w:szCs w:val="32"/>
        </w:rPr>
        <w:t>Amaranthus palmeri S. Waston</w:t>
      </w:r>
      <w:r>
        <w:rPr>
          <w:rFonts w:eastAsia="仿宋_GB2312"/>
          <w:sz w:val="32"/>
          <w:szCs w:val="32"/>
        </w:rPr>
        <w:t>）隶属于苋科（</w:t>
      </w:r>
      <w:r>
        <w:rPr>
          <w:rFonts w:eastAsia="仿宋_GB2312"/>
          <w:sz w:val="32"/>
          <w:szCs w:val="32"/>
        </w:rPr>
        <w:t>Amaranthaceae</w:t>
      </w:r>
      <w:r>
        <w:rPr>
          <w:rFonts w:eastAsia="仿宋_GB2312"/>
          <w:sz w:val="32"/>
          <w:szCs w:val="32"/>
        </w:rPr>
        <w:t>）苋属（</w:t>
      </w:r>
      <w:r>
        <w:rPr>
          <w:rFonts w:eastAsia="仿宋_GB2312"/>
          <w:sz w:val="32"/>
          <w:szCs w:val="32"/>
        </w:rPr>
        <w:t>Amaranthus</w:t>
      </w:r>
      <w:r>
        <w:rPr>
          <w:rFonts w:eastAsia="仿宋_GB2312"/>
          <w:sz w:val="32"/>
          <w:szCs w:val="32"/>
        </w:rPr>
        <w:t>），原产北美洲，是当地具有多种除草剂抗性的恶性</w:t>
      </w:r>
      <w:r>
        <w:rPr>
          <w:rFonts w:eastAsia="仿宋_GB2312"/>
          <w:sz w:val="32"/>
          <w:szCs w:val="32"/>
        </w:rPr>
        <w:t>“</w:t>
      </w:r>
      <w:r>
        <w:rPr>
          <w:rFonts w:eastAsia="仿宋_GB2312"/>
          <w:sz w:val="32"/>
          <w:szCs w:val="32"/>
        </w:rPr>
        <w:t>超级杂草</w:t>
      </w:r>
      <w:r>
        <w:rPr>
          <w:rFonts w:eastAsia="仿宋_GB2312"/>
          <w:sz w:val="32"/>
          <w:szCs w:val="32"/>
        </w:rPr>
        <w:t>”</w:t>
      </w:r>
      <w:r>
        <w:rPr>
          <w:rFonts w:eastAsia="仿宋_GB2312"/>
          <w:sz w:val="32"/>
          <w:szCs w:val="32"/>
        </w:rPr>
        <w:t>，目前已扩散到欧洲、南美洲、亚洲的多个国家，由于它具有生长速度快、环境适应性广、竞争力强、繁殖量大等特性，且具有多种除草剂抗性和亚硝酸盐毒性，一旦入侵极易形成单优群落从而威胁入侵地的生物多样性、农业生产和人类健康。长芒苋最早于</w:t>
      </w:r>
      <w:r>
        <w:rPr>
          <w:rFonts w:eastAsia="仿宋_GB2312"/>
          <w:sz w:val="32"/>
          <w:szCs w:val="32"/>
        </w:rPr>
        <w:t>20</w:t>
      </w:r>
      <w:r>
        <w:rPr>
          <w:rFonts w:eastAsia="仿宋_GB2312"/>
          <w:sz w:val="32"/>
          <w:szCs w:val="32"/>
        </w:rPr>
        <w:t>世纪</w:t>
      </w:r>
      <w:r>
        <w:rPr>
          <w:rFonts w:eastAsia="仿宋_GB2312"/>
          <w:sz w:val="32"/>
          <w:szCs w:val="32"/>
        </w:rPr>
        <w:t>80</w:t>
      </w:r>
      <w:r>
        <w:rPr>
          <w:rFonts w:eastAsia="仿宋_GB2312"/>
          <w:sz w:val="32"/>
          <w:szCs w:val="32"/>
        </w:rPr>
        <w:t>年代入侵我国，当前，长芒苋已经传入我国十几个省市，在京津冀地区大面积发生，已对当地农业生产和生物多样性保护造成危害。长芒苋已被列入</w:t>
      </w:r>
      <w:r>
        <w:rPr>
          <w:rFonts w:eastAsia="仿宋_GB2312"/>
          <w:sz w:val="32"/>
          <w:szCs w:val="32"/>
        </w:rPr>
        <w:t xml:space="preserve"> 2023 </w:t>
      </w:r>
      <w:r>
        <w:rPr>
          <w:rFonts w:eastAsia="仿宋_GB2312"/>
          <w:sz w:val="32"/>
          <w:szCs w:val="32"/>
        </w:rPr>
        <w:t>年</w:t>
      </w:r>
      <w:r>
        <w:rPr>
          <w:rFonts w:eastAsia="仿宋_GB2312"/>
          <w:sz w:val="32"/>
          <w:szCs w:val="32"/>
        </w:rPr>
        <w:t xml:space="preserve">1 </w:t>
      </w:r>
      <w:r>
        <w:rPr>
          <w:rFonts w:eastAsia="仿宋_GB2312"/>
          <w:sz w:val="32"/>
          <w:szCs w:val="32"/>
        </w:rPr>
        <w:t>月</w:t>
      </w:r>
      <w:r>
        <w:rPr>
          <w:rFonts w:eastAsia="仿宋_GB2312"/>
          <w:sz w:val="32"/>
          <w:szCs w:val="32"/>
        </w:rPr>
        <w:t xml:space="preserve"> 1 </w:t>
      </w:r>
      <w:r>
        <w:rPr>
          <w:rFonts w:eastAsia="仿宋_GB2312"/>
          <w:sz w:val="32"/>
          <w:szCs w:val="32"/>
        </w:rPr>
        <w:t>日正式生效的《重点管理外来入侵物种名录》之中，是我国重点管理的重大农林入侵物种。近年来，长芒苋在我国呈现出不断传入和扩散蔓延的趋势，为及时有效地做好防控工作，制定本防控技术指导意见。</w:t>
      </w:r>
    </w:p>
    <w:p w:rsidR="00841A51" w:rsidRDefault="00841A51" w:rsidP="00841A51">
      <w:pPr>
        <w:adjustRightInd w:val="0"/>
        <w:snapToGrid w:val="0"/>
        <w:spacing w:line="580" w:lineRule="exact"/>
        <w:rPr>
          <w:rFonts w:ascii="黑体" w:eastAsia="黑体" w:hAnsi="黑体"/>
          <w:sz w:val="32"/>
          <w:szCs w:val="32"/>
        </w:rPr>
      </w:pPr>
      <w:r>
        <w:rPr>
          <w:rFonts w:ascii="黑体" w:eastAsia="黑体" w:hAnsi="黑体"/>
          <w:sz w:val="32"/>
          <w:szCs w:val="32"/>
        </w:rPr>
        <w:t xml:space="preserve">　　一、主要特征</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（一）生物特征。一年生草本，雌雄异株，高</w:t>
      </w:r>
      <w:r>
        <w:rPr>
          <w:rFonts w:eastAsia="仿宋_GB2312"/>
          <w:sz w:val="32"/>
          <w:szCs w:val="32"/>
        </w:rPr>
        <w:t>0.8~3m</w:t>
      </w:r>
      <w:r>
        <w:rPr>
          <w:rFonts w:eastAsia="仿宋_GB2312"/>
          <w:sz w:val="32"/>
          <w:szCs w:val="32"/>
        </w:rPr>
        <w:t>。茎直立，下部粗壮，黄绿色，具脊状条纹，雌株茎常绿色，偶见紫红色，雄株茎常红色至紫红色，有时变淡红褐色，无毛或上部散生短柔毛；上部分枝较多，分枝斜展至近平展。叶无毛，叶片卵形</w:t>
      </w:r>
      <w:r>
        <w:rPr>
          <w:rFonts w:eastAsia="仿宋_GB2312"/>
          <w:sz w:val="32"/>
          <w:szCs w:val="32"/>
        </w:rPr>
        <w:lastRenderedPageBreak/>
        <w:t>至菱状卵形，茎上部者可呈披针形，长（</w:t>
      </w:r>
      <w:r>
        <w:rPr>
          <w:rFonts w:eastAsia="仿宋_GB2312"/>
          <w:sz w:val="32"/>
          <w:szCs w:val="32"/>
        </w:rPr>
        <w:t>2~</w:t>
      </w:r>
      <w:r>
        <w:rPr>
          <w:rFonts w:eastAsia="仿宋_GB2312"/>
          <w:sz w:val="32"/>
          <w:szCs w:val="32"/>
        </w:rPr>
        <w:t>）</w:t>
      </w:r>
      <w:r>
        <w:rPr>
          <w:rFonts w:eastAsia="仿宋_GB2312"/>
          <w:sz w:val="32"/>
          <w:szCs w:val="32"/>
        </w:rPr>
        <w:t>5~8cm</w:t>
      </w:r>
      <w:r>
        <w:rPr>
          <w:rFonts w:eastAsia="仿宋_GB2312"/>
          <w:sz w:val="32"/>
          <w:szCs w:val="32"/>
        </w:rPr>
        <w:t>，宽（</w:t>
      </w:r>
      <w:r>
        <w:rPr>
          <w:rFonts w:eastAsia="仿宋_GB2312"/>
          <w:sz w:val="32"/>
          <w:szCs w:val="32"/>
        </w:rPr>
        <w:t>0.5~</w:t>
      </w:r>
      <w:r>
        <w:rPr>
          <w:rFonts w:eastAsia="仿宋_GB2312"/>
          <w:sz w:val="32"/>
          <w:szCs w:val="32"/>
        </w:rPr>
        <w:t>）</w:t>
      </w:r>
      <w:r>
        <w:rPr>
          <w:rFonts w:eastAsia="仿宋_GB2312"/>
          <w:sz w:val="32"/>
          <w:szCs w:val="32"/>
        </w:rPr>
        <w:t>2~4cm</w:t>
      </w:r>
      <w:r>
        <w:rPr>
          <w:rFonts w:eastAsia="仿宋_GB2312"/>
          <w:sz w:val="32"/>
          <w:szCs w:val="32"/>
        </w:rPr>
        <w:t>，先端钝、急尖或微凹，边缘全缘，叶柄长（</w:t>
      </w:r>
      <w:r>
        <w:rPr>
          <w:rFonts w:eastAsia="仿宋_GB2312"/>
          <w:sz w:val="32"/>
          <w:szCs w:val="32"/>
        </w:rPr>
        <w:t>0.7~</w:t>
      </w:r>
      <w:r>
        <w:rPr>
          <w:rFonts w:eastAsia="仿宋_GB2312"/>
          <w:sz w:val="32"/>
          <w:szCs w:val="32"/>
        </w:rPr>
        <w:t>）</w:t>
      </w:r>
      <w:r>
        <w:rPr>
          <w:rFonts w:eastAsia="仿宋_GB2312"/>
          <w:sz w:val="32"/>
          <w:szCs w:val="32"/>
        </w:rPr>
        <w:t>4~8cm</w:t>
      </w:r>
      <w:r>
        <w:rPr>
          <w:rFonts w:eastAsia="仿宋_GB2312"/>
          <w:sz w:val="32"/>
          <w:szCs w:val="32"/>
        </w:rPr>
        <w:t>，纤细。花序顶生和腋生，多为穗状花序或集成圆锥花序，直伸或略弯曲，生叶腋者较短，呈短圆柱状至头状；苞片钻状披针形，长于花被片，长</w:t>
      </w:r>
      <w:r>
        <w:rPr>
          <w:rFonts w:eastAsia="仿宋_GB2312"/>
          <w:sz w:val="32"/>
          <w:szCs w:val="32"/>
        </w:rPr>
        <w:t>4~6mm</w:t>
      </w:r>
      <w:r>
        <w:rPr>
          <w:rFonts w:eastAsia="仿宋_GB2312"/>
          <w:sz w:val="32"/>
          <w:szCs w:val="32"/>
        </w:rPr>
        <w:t>，先端芒刺状，雌、雄异株，雄花苞片下部约</w:t>
      </w:r>
      <w:r>
        <w:rPr>
          <w:rFonts w:eastAsia="仿宋_GB2312"/>
          <w:sz w:val="32"/>
          <w:szCs w:val="32"/>
        </w:rPr>
        <w:t xml:space="preserve"> 1/3 </w:t>
      </w:r>
      <w:r>
        <w:rPr>
          <w:rFonts w:eastAsia="仿宋_GB2312"/>
          <w:sz w:val="32"/>
          <w:szCs w:val="32"/>
        </w:rPr>
        <w:t>具宽膜质边缘，雌花苞片下半部具狭膜质边缘，且比雄花的苞片更坚硬；雄花花被片</w:t>
      </w:r>
      <w:r>
        <w:rPr>
          <w:rFonts w:eastAsia="仿宋_GB2312"/>
          <w:sz w:val="32"/>
          <w:szCs w:val="32"/>
        </w:rPr>
        <w:t>5</w:t>
      </w:r>
      <w:r>
        <w:rPr>
          <w:rFonts w:eastAsia="仿宋_GB2312"/>
          <w:sz w:val="32"/>
          <w:szCs w:val="32"/>
        </w:rPr>
        <w:t>，膜质，卵状披针形，中脉不明显，不等长，最外面的花被片长</w:t>
      </w:r>
      <w:r>
        <w:rPr>
          <w:rFonts w:eastAsia="仿宋_GB2312"/>
          <w:sz w:val="32"/>
          <w:szCs w:val="32"/>
        </w:rPr>
        <w:t>3.5~4mm</w:t>
      </w:r>
      <w:r>
        <w:rPr>
          <w:rFonts w:eastAsia="仿宋_GB2312"/>
          <w:sz w:val="32"/>
          <w:szCs w:val="32"/>
        </w:rPr>
        <w:t>，先端延伸成芒尖，其余花被片长</w:t>
      </w:r>
      <w:r>
        <w:rPr>
          <w:rFonts w:eastAsia="仿宋_GB2312"/>
          <w:sz w:val="32"/>
          <w:szCs w:val="32"/>
        </w:rPr>
        <w:t>2.5~3 mm</w:t>
      </w:r>
      <w:r>
        <w:rPr>
          <w:rFonts w:eastAsia="仿宋_GB2312"/>
          <w:sz w:val="32"/>
          <w:szCs w:val="32"/>
        </w:rPr>
        <w:t>，中肋较弱且少外伸，雄蕊</w:t>
      </w:r>
      <w:r>
        <w:rPr>
          <w:rFonts w:eastAsia="仿宋_GB2312"/>
          <w:sz w:val="32"/>
          <w:szCs w:val="32"/>
        </w:rPr>
        <w:t xml:space="preserve"> 5</w:t>
      </w:r>
      <w:r>
        <w:rPr>
          <w:rFonts w:eastAsia="仿宋_GB2312"/>
          <w:sz w:val="32"/>
          <w:szCs w:val="32"/>
        </w:rPr>
        <w:t>；雌花花被片</w:t>
      </w:r>
      <w:r>
        <w:rPr>
          <w:rFonts w:eastAsia="仿宋_GB2312"/>
          <w:sz w:val="32"/>
          <w:szCs w:val="32"/>
        </w:rPr>
        <w:t xml:space="preserve"> 5</w:t>
      </w:r>
      <w:r>
        <w:rPr>
          <w:rFonts w:eastAsia="仿宋_GB2312"/>
          <w:sz w:val="32"/>
          <w:szCs w:val="32"/>
        </w:rPr>
        <w:t>，发育完全，膜质，不等长，最外面一片倒披针形，长</w:t>
      </w:r>
      <w:r>
        <w:rPr>
          <w:rFonts w:eastAsia="仿宋_GB2312"/>
          <w:sz w:val="32"/>
          <w:szCs w:val="32"/>
        </w:rPr>
        <w:t>3~4mm</w:t>
      </w:r>
      <w:r>
        <w:rPr>
          <w:rFonts w:eastAsia="仿宋_GB2312"/>
          <w:sz w:val="32"/>
          <w:szCs w:val="32"/>
        </w:rPr>
        <w:t>，其余花被片匙形，长</w:t>
      </w:r>
      <w:r>
        <w:rPr>
          <w:rFonts w:eastAsia="仿宋_GB2312"/>
          <w:sz w:val="32"/>
          <w:szCs w:val="32"/>
        </w:rPr>
        <w:t>2~2.5mm</w:t>
      </w:r>
      <w:r>
        <w:rPr>
          <w:rFonts w:eastAsia="仿宋_GB2312"/>
          <w:sz w:val="32"/>
          <w:szCs w:val="32"/>
        </w:rPr>
        <w:t>；花柱</w:t>
      </w:r>
      <w:r>
        <w:rPr>
          <w:rFonts w:eastAsia="仿宋_GB2312"/>
          <w:sz w:val="32"/>
          <w:szCs w:val="32"/>
        </w:rPr>
        <w:t>2</w:t>
      </w:r>
      <w:r>
        <w:rPr>
          <w:rFonts w:eastAsia="仿宋_GB2312"/>
          <w:sz w:val="32"/>
          <w:szCs w:val="32"/>
        </w:rPr>
        <w:t>或</w:t>
      </w:r>
      <w:r>
        <w:rPr>
          <w:rFonts w:eastAsia="仿宋_GB2312"/>
          <w:sz w:val="32"/>
          <w:szCs w:val="32"/>
        </w:rPr>
        <w:t>3</w:t>
      </w:r>
      <w:r>
        <w:rPr>
          <w:rFonts w:eastAsia="仿宋_GB2312"/>
          <w:sz w:val="32"/>
          <w:szCs w:val="32"/>
        </w:rPr>
        <w:t>，开展，流苏状。胞果近球形，与宿存花被片近等长，果皮膜质，上部微皱，周裂。种子近圆形或宽椭圆形，直径为</w:t>
      </w:r>
      <w:r>
        <w:rPr>
          <w:rFonts w:eastAsia="仿宋_GB2312"/>
          <w:sz w:val="32"/>
          <w:szCs w:val="32"/>
        </w:rPr>
        <w:t>1~1.2 mm</w:t>
      </w:r>
      <w:r>
        <w:rPr>
          <w:rFonts w:eastAsia="仿宋_GB2312"/>
          <w:sz w:val="32"/>
          <w:szCs w:val="32"/>
        </w:rPr>
        <w:t>，深红褐色，有光泽。</w:t>
      </w:r>
    </w:p>
    <w:p w:rsidR="00841A51" w:rsidRDefault="00841A51" w:rsidP="00841A51">
      <w:pPr>
        <w:adjustRightInd w:val="0"/>
        <w:snapToGrid w:val="0"/>
        <w:jc w:val="center"/>
        <w:rPr>
          <w:rFonts w:eastAsia="仿宋_GB2312"/>
          <w:sz w:val="32"/>
          <w:szCs w:val="32"/>
        </w:rPr>
      </w:pPr>
      <w:r>
        <w:rPr>
          <w:rFonts w:eastAsia="仿宋_GB2312"/>
          <w:noProof/>
          <w:sz w:val="32"/>
          <w:szCs w:val="32"/>
        </w:rPr>
        <w:drawing>
          <wp:inline distT="0" distB="0" distL="0" distR="0">
            <wp:extent cx="3892550" cy="3180876"/>
            <wp:effectExtent l="19050" t="0" r="0" b="0"/>
            <wp:docPr id="11" name="图片 11" descr="http://www.reea.agri.cn/stzybh/202307/W020230707625507823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reea.agri.cn/stzybh/202307/W020230707625507823682.png"/>
                    <pic:cNvPicPr>
                      <a:picLocks noChangeAspect="1" noChangeArrowheads="1"/>
                    </pic:cNvPicPr>
                  </pic:nvPicPr>
                  <pic:blipFill>
                    <a:blip r:embed="rId6"/>
                    <a:srcRect/>
                    <a:stretch>
                      <a:fillRect/>
                    </a:stretch>
                  </pic:blipFill>
                  <pic:spPr>
                    <a:xfrm>
                      <a:off x="0" y="0"/>
                      <a:ext cx="3898652" cy="3185862"/>
                    </a:xfrm>
                    <a:prstGeom prst="rect">
                      <a:avLst/>
                    </a:prstGeom>
                    <a:noFill/>
                    <a:ln w="9525">
                      <a:noFill/>
                      <a:miter lim="800000"/>
                      <a:headEnd/>
                      <a:tailEnd/>
                    </a:ln>
                  </pic:spPr>
                </pic:pic>
              </a:graphicData>
            </a:graphic>
          </wp:inline>
        </w:drawing>
      </w:r>
    </w:p>
    <w:p w:rsidR="00841A51" w:rsidRDefault="00841A51" w:rsidP="00841A51">
      <w:pPr>
        <w:adjustRightInd w:val="0"/>
        <w:snapToGrid w:val="0"/>
        <w:spacing w:line="580" w:lineRule="exact"/>
        <w:jc w:val="center"/>
        <w:rPr>
          <w:rFonts w:eastAsia="仿宋_GB2312"/>
          <w:sz w:val="32"/>
          <w:szCs w:val="32"/>
        </w:rPr>
      </w:pPr>
      <w:r>
        <w:rPr>
          <w:rFonts w:eastAsia="仿宋_GB2312"/>
          <w:sz w:val="32"/>
          <w:szCs w:val="32"/>
        </w:rPr>
        <w:t>长芒苋主要生物学特征（上，生境；下，幼苗和叶片）</w:t>
      </w:r>
    </w:p>
    <w:p w:rsidR="00841A51" w:rsidRDefault="00841A51" w:rsidP="00841A51">
      <w:pPr>
        <w:adjustRightInd w:val="0"/>
        <w:snapToGrid w:val="0"/>
        <w:jc w:val="center"/>
        <w:rPr>
          <w:rFonts w:eastAsia="仿宋_GB2312"/>
          <w:sz w:val="32"/>
          <w:szCs w:val="32"/>
        </w:rPr>
      </w:pPr>
      <w:r>
        <w:rPr>
          <w:rFonts w:eastAsia="仿宋_GB2312"/>
          <w:noProof/>
          <w:sz w:val="32"/>
          <w:szCs w:val="32"/>
        </w:rPr>
        <w:lastRenderedPageBreak/>
        <w:drawing>
          <wp:inline distT="0" distB="0" distL="0" distR="0">
            <wp:extent cx="4550091" cy="3835400"/>
            <wp:effectExtent l="19050" t="0" r="2859" b="0"/>
            <wp:docPr id="12" name="图片 12" descr="http://www.reea.agri.cn/stzybh/202307/W02023070762550786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reea.agri.cn/stzybh/202307/W020230707625507861028.png"/>
                    <pic:cNvPicPr>
                      <a:picLocks noChangeAspect="1" noChangeArrowheads="1"/>
                    </pic:cNvPicPr>
                  </pic:nvPicPr>
                  <pic:blipFill>
                    <a:blip r:embed="rId7"/>
                    <a:srcRect/>
                    <a:stretch>
                      <a:fillRect/>
                    </a:stretch>
                  </pic:blipFill>
                  <pic:spPr>
                    <a:xfrm>
                      <a:off x="0" y="0"/>
                      <a:ext cx="4561088" cy="3844670"/>
                    </a:xfrm>
                    <a:prstGeom prst="rect">
                      <a:avLst/>
                    </a:prstGeom>
                    <a:noFill/>
                    <a:ln w="9525">
                      <a:noFill/>
                      <a:miter lim="800000"/>
                      <a:headEnd/>
                      <a:tailEnd/>
                    </a:ln>
                  </pic:spPr>
                </pic:pic>
              </a:graphicData>
            </a:graphic>
          </wp:inline>
        </w:drawing>
      </w:r>
    </w:p>
    <w:p w:rsidR="00841A51" w:rsidRDefault="00841A51" w:rsidP="00841A51">
      <w:pPr>
        <w:adjustRightInd w:val="0"/>
        <w:snapToGrid w:val="0"/>
        <w:spacing w:line="580" w:lineRule="exact"/>
        <w:jc w:val="center"/>
        <w:rPr>
          <w:rFonts w:eastAsia="仿宋_GB2312"/>
          <w:sz w:val="32"/>
          <w:szCs w:val="32"/>
        </w:rPr>
      </w:pPr>
      <w:r>
        <w:rPr>
          <w:rFonts w:eastAsia="仿宋_GB2312"/>
          <w:sz w:val="32"/>
          <w:szCs w:val="32"/>
        </w:rPr>
        <w:t>长芒苋的主要生物学特征（左，雌株；右，雄株）</w:t>
      </w:r>
    </w:p>
    <w:p w:rsidR="00841A51" w:rsidRDefault="00841A51" w:rsidP="00841A51">
      <w:pPr>
        <w:adjustRightInd w:val="0"/>
        <w:snapToGrid w:val="0"/>
        <w:spacing w:line="580" w:lineRule="exact"/>
        <w:jc w:val="center"/>
        <w:rPr>
          <w:rFonts w:eastAsia="仿宋_GB2312"/>
          <w:sz w:val="32"/>
          <w:szCs w:val="32"/>
        </w:rPr>
      </w:pP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（二）主要危害。长芒苋是农田、果园、林地、废弃地等的常见杂草。长芒苋入侵农田可抑制农作物的生长，导致作物严重减产和品质下降。在原产地美国长芒苋可使棉花产量损失</w:t>
      </w:r>
      <w:r>
        <w:rPr>
          <w:rFonts w:eastAsia="仿宋_GB2312"/>
          <w:sz w:val="32"/>
          <w:szCs w:val="32"/>
        </w:rPr>
        <w:t>65%</w:t>
      </w:r>
      <w:r>
        <w:rPr>
          <w:rFonts w:eastAsia="仿宋_GB2312"/>
          <w:sz w:val="32"/>
          <w:szCs w:val="32"/>
        </w:rPr>
        <w:t>，大豆产量损失</w:t>
      </w:r>
      <w:r>
        <w:rPr>
          <w:rFonts w:eastAsia="仿宋_GB2312"/>
          <w:sz w:val="32"/>
          <w:szCs w:val="32"/>
        </w:rPr>
        <w:t>79%</w:t>
      </w:r>
      <w:r>
        <w:rPr>
          <w:rFonts w:eastAsia="仿宋_GB2312"/>
          <w:sz w:val="32"/>
          <w:szCs w:val="32"/>
        </w:rPr>
        <w:t>，玉米产量损失</w:t>
      </w:r>
      <w:r>
        <w:rPr>
          <w:rFonts w:eastAsia="仿宋_GB2312"/>
          <w:sz w:val="32"/>
          <w:szCs w:val="32"/>
        </w:rPr>
        <w:t>91%</w:t>
      </w:r>
      <w:r>
        <w:rPr>
          <w:rFonts w:eastAsia="仿宋_GB2312"/>
          <w:sz w:val="32"/>
          <w:szCs w:val="32"/>
        </w:rPr>
        <w:t>。长芒苋生长速度快、繁殖和适应性强，一旦在新的环境中定殖繁衍将很难根除，且很容易形成优势群落，对生物多样性和生态环境破坏极大。另外，长芒苋对常用的除草剂均具有耐受性，其广谱抗药性基因可能会渐渗入其他近缘种，导致</w:t>
      </w:r>
      <w:r>
        <w:rPr>
          <w:rFonts w:ascii="仿宋_GB2312" w:eastAsia="仿宋_GB2312" w:hint="eastAsia"/>
          <w:sz w:val="32"/>
          <w:szCs w:val="32"/>
        </w:rPr>
        <w:t>“超级杂草”</w:t>
      </w:r>
      <w:r>
        <w:rPr>
          <w:rFonts w:eastAsia="仿宋_GB2312"/>
          <w:sz w:val="32"/>
          <w:szCs w:val="32"/>
        </w:rPr>
        <w:t>的出现。</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（三）发生生境。多见于垃圾堆、沟渠地边、旷野荒地、耕地、村落边、河边、河床、港口、铁路与公路边、工地、加工厂、</w:t>
      </w:r>
      <w:r>
        <w:rPr>
          <w:rFonts w:eastAsia="仿宋_GB2312"/>
          <w:sz w:val="32"/>
          <w:szCs w:val="32"/>
        </w:rPr>
        <w:lastRenderedPageBreak/>
        <w:t>仓库、农田、果园和家禽饲养场附近。</w:t>
      </w:r>
    </w:p>
    <w:p w:rsidR="00841A51" w:rsidRDefault="00841A51" w:rsidP="00841A51">
      <w:pPr>
        <w:adjustRightInd w:val="0"/>
        <w:snapToGrid w:val="0"/>
        <w:spacing w:line="580" w:lineRule="exact"/>
        <w:rPr>
          <w:rFonts w:ascii="黑体" w:eastAsia="黑体" w:hAnsi="黑体"/>
          <w:sz w:val="32"/>
          <w:szCs w:val="32"/>
        </w:rPr>
      </w:pPr>
      <w:r>
        <w:rPr>
          <w:rFonts w:ascii="黑体" w:eastAsia="黑体" w:hAnsi="黑体"/>
          <w:sz w:val="32"/>
          <w:szCs w:val="32"/>
        </w:rPr>
        <w:t xml:space="preserve">　　二、防控策略</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摸清长芒苋传入途径及其发生危害现状的基础上，对不同区域，因地制宜，采取针对性的监测预警和防控措施。对于潜在传入区域，加强实时监测，一旦发现及时上报当地外来入侵物种管理有关部门并采取根除措施，防止种子的形成与扩散；对于重点发生区域，强化发生情况监测，及时采取人工或机械拔除、土地深翻、化学防除等减灾降害处理，并进行连年的监测防控；对于扩散前沿区域，加强监测和预警，并根据入侵种群发生面积，尽量在其生殖生长期前采用物理、化学等方法进行防除。长芒苋最适宜的防治时期为营养生长期。</w:t>
      </w:r>
    </w:p>
    <w:p w:rsidR="00841A51" w:rsidRDefault="00841A51" w:rsidP="00841A51">
      <w:pPr>
        <w:adjustRightInd w:val="0"/>
        <w:snapToGrid w:val="0"/>
        <w:spacing w:line="580" w:lineRule="exact"/>
        <w:rPr>
          <w:rFonts w:ascii="黑体" w:eastAsia="黑体" w:hAnsi="黑体"/>
          <w:sz w:val="32"/>
          <w:szCs w:val="32"/>
        </w:rPr>
      </w:pPr>
      <w:r>
        <w:rPr>
          <w:rFonts w:ascii="黑体" w:eastAsia="黑体" w:hAnsi="黑体"/>
          <w:sz w:val="32"/>
          <w:szCs w:val="32"/>
        </w:rPr>
        <w:t xml:space="preserve">　　三、防除措施</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（一）监测预警</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在营养生长期尤其是花果期定期开展监测调查，查明长芒苋在扩散前沿带、前哨点和潜在入侵地的发生动态，绘制高精度分布图，一旦发现新的入侵要及时及早根除。</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（二）人工拔除或机械防除</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长芒苋零星发生区。为确保灭除效果，主要采用人工拔除或锄除等物理方法进行处置，处置时期应尽量选在长芒苋植株营养生长期结束前。且灭除后要进行持续监测，如果发现长芒苋还有发生，要持续进行防除，也可辅助使用除草剂提升防效，直至</w:t>
      </w:r>
      <w:r>
        <w:rPr>
          <w:rFonts w:eastAsia="仿宋_GB2312"/>
          <w:sz w:val="32"/>
          <w:szCs w:val="32"/>
        </w:rPr>
        <w:t>3</w:t>
      </w:r>
      <w:r>
        <w:rPr>
          <w:rFonts w:eastAsia="仿宋_GB2312"/>
          <w:sz w:val="32"/>
          <w:szCs w:val="32"/>
        </w:rPr>
        <w:t>年内不再发现长芒苋为止。</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lastRenderedPageBreak/>
        <w:t xml:space="preserve">　　在长芒苋的连片发生区。春夏季营养生长期（苗期至开花期前）可采用机械防除、化学防治方法进行防治。若植株较为高大，化学防治效果不佳时，采用机械拔除。在秋冬季结籽期，主要采用人工或机械拔除的方法进行防除。如果发现种子已经成熟，需要人工用枝剪剪除花序部分，装入密封袋并进行灭活处理，防止种子进入土壤形成新的入侵与扩散。</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（三）化学防除</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在长芒苋的苗期和花期可采用化学防治方法进行防除。化学防治时应在充分考虑对长芒苋发生生境土著植物和生态环境安全性的基础上及时采用适宜的化学防除药剂。</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1.</w:t>
      </w:r>
      <w:r>
        <w:rPr>
          <w:rFonts w:eastAsia="仿宋_GB2312"/>
          <w:sz w:val="32"/>
          <w:szCs w:val="32"/>
        </w:rPr>
        <w:t>农田。</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在玉米田，于玉米播种后出苗前每亩可选用</w:t>
      </w:r>
      <w:r>
        <w:rPr>
          <w:rFonts w:eastAsia="仿宋_GB2312"/>
          <w:sz w:val="32"/>
          <w:szCs w:val="32"/>
        </w:rPr>
        <w:t>96%</w:t>
      </w:r>
      <w:r>
        <w:rPr>
          <w:rFonts w:eastAsia="仿宋_GB2312"/>
          <w:sz w:val="32"/>
          <w:szCs w:val="32"/>
        </w:rPr>
        <w:t>精异丙甲草胺乳油</w:t>
      </w:r>
      <w:r>
        <w:rPr>
          <w:rFonts w:eastAsia="仿宋_GB2312"/>
          <w:sz w:val="32"/>
          <w:szCs w:val="32"/>
        </w:rPr>
        <w:t>60~90mL</w:t>
      </w:r>
      <w:r>
        <w:rPr>
          <w:rFonts w:eastAsia="仿宋_GB2312"/>
          <w:sz w:val="32"/>
          <w:szCs w:val="32"/>
        </w:rPr>
        <w:t>，或</w:t>
      </w:r>
      <w:r>
        <w:rPr>
          <w:rFonts w:eastAsia="仿宋_GB2312"/>
          <w:sz w:val="32"/>
          <w:szCs w:val="32"/>
        </w:rPr>
        <w:t>40%</w:t>
      </w:r>
      <w:r>
        <w:rPr>
          <w:rFonts w:eastAsia="仿宋_GB2312"/>
          <w:sz w:val="32"/>
          <w:szCs w:val="32"/>
        </w:rPr>
        <w:t>砜吡草唑悬浮剂</w:t>
      </w:r>
      <w:r>
        <w:rPr>
          <w:rFonts w:eastAsia="仿宋_GB2312"/>
          <w:sz w:val="32"/>
          <w:szCs w:val="32"/>
        </w:rPr>
        <w:t>25~30mL</w:t>
      </w:r>
      <w:r>
        <w:rPr>
          <w:rFonts w:eastAsia="仿宋_GB2312"/>
          <w:sz w:val="32"/>
          <w:szCs w:val="32"/>
        </w:rPr>
        <w:t>，兑水</w:t>
      </w:r>
      <w:r>
        <w:rPr>
          <w:rFonts w:eastAsia="仿宋_GB2312"/>
          <w:sz w:val="32"/>
          <w:szCs w:val="32"/>
        </w:rPr>
        <w:t>30~50L</w:t>
      </w:r>
      <w:r>
        <w:rPr>
          <w:rFonts w:eastAsia="仿宋_GB2312"/>
          <w:sz w:val="32"/>
          <w:szCs w:val="32"/>
        </w:rPr>
        <w:t>，进行土壤喷雾；出苗后每亩可选用</w:t>
      </w:r>
      <w:r>
        <w:rPr>
          <w:rFonts w:eastAsia="仿宋_GB2312"/>
          <w:sz w:val="32"/>
          <w:szCs w:val="32"/>
        </w:rPr>
        <w:t>10%</w:t>
      </w:r>
      <w:r>
        <w:rPr>
          <w:rFonts w:eastAsia="仿宋_GB2312"/>
          <w:sz w:val="32"/>
          <w:szCs w:val="32"/>
        </w:rPr>
        <w:t>硝磺草酮悬浮剂</w:t>
      </w:r>
      <w:r>
        <w:rPr>
          <w:rFonts w:eastAsia="仿宋_GB2312"/>
          <w:sz w:val="32"/>
          <w:szCs w:val="32"/>
        </w:rPr>
        <w:t>80~100mL</w:t>
      </w:r>
      <w:r>
        <w:rPr>
          <w:rFonts w:eastAsia="仿宋_GB2312"/>
          <w:sz w:val="32"/>
          <w:szCs w:val="32"/>
        </w:rPr>
        <w:t>，或</w:t>
      </w:r>
      <w:r>
        <w:rPr>
          <w:rFonts w:eastAsia="仿宋_GB2312"/>
          <w:sz w:val="32"/>
          <w:szCs w:val="32"/>
        </w:rPr>
        <w:t>30%</w:t>
      </w:r>
      <w:r>
        <w:rPr>
          <w:rFonts w:eastAsia="仿宋_GB2312"/>
          <w:sz w:val="32"/>
          <w:szCs w:val="32"/>
        </w:rPr>
        <w:t>苯唑草酮悬浮剂</w:t>
      </w:r>
      <w:r>
        <w:rPr>
          <w:rFonts w:eastAsia="仿宋_GB2312"/>
          <w:sz w:val="32"/>
          <w:szCs w:val="32"/>
        </w:rPr>
        <w:t>5~6mL</w:t>
      </w:r>
      <w:r>
        <w:rPr>
          <w:rFonts w:eastAsia="仿宋_GB2312"/>
          <w:sz w:val="32"/>
          <w:szCs w:val="32"/>
        </w:rPr>
        <w:t>，兑水</w:t>
      </w:r>
      <w:r>
        <w:rPr>
          <w:rFonts w:eastAsia="仿宋_GB2312"/>
          <w:sz w:val="32"/>
          <w:szCs w:val="32"/>
        </w:rPr>
        <w:t>20~30L</w:t>
      </w:r>
      <w:r>
        <w:rPr>
          <w:rFonts w:eastAsia="仿宋_GB2312"/>
          <w:sz w:val="32"/>
          <w:szCs w:val="32"/>
        </w:rPr>
        <w:t>，进行茎叶喷雾。</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在大豆田，苗前可参照玉米田的用药方案，出苗后每亩可选用</w:t>
      </w:r>
      <w:r>
        <w:rPr>
          <w:rFonts w:eastAsia="仿宋_GB2312"/>
          <w:sz w:val="32"/>
          <w:szCs w:val="32"/>
        </w:rPr>
        <w:t>48%</w:t>
      </w:r>
      <w:r>
        <w:rPr>
          <w:rFonts w:eastAsia="仿宋_GB2312"/>
          <w:sz w:val="32"/>
          <w:szCs w:val="32"/>
        </w:rPr>
        <w:t>灭草松水剂</w:t>
      </w:r>
      <w:r>
        <w:rPr>
          <w:rFonts w:eastAsia="仿宋_GB2312"/>
          <w:sz w:val="32"/>
          <w:szCs w:val="32"/>
        </w:rPr>
        <w:t>100~200mL</w:t>
      </w:r>
      <w:r>
        <w:rPr>
          <w:rFonts w:eastAsia="仿宋_GB2312"/>
          <w:sz w:val="32"/>
          <w:szCs w:val="32"/>
        </w:rPr>
        <w:t>，兑水</w:t>
      </w:r>
      <w:r>
        <w:rPr>
          <w:rFonts w:eastAsia="仿宋_GB2312"/>
          <w:sz w:val="32"/>
          <w:szCs w:val="32"/>
        </w:rPr>
        <w:t>20~30L</w:t>
      </w:r>
      <w:r>
        <w:rPr>
          <w:rFonts w:eastAsia="仿宋_GB2312"/>
          <w:sz w:val="32"/>
          <w:szCs w:val="32"/>
        </w:rPr>
        <w:t>，进行茎叶喷雾。</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在花生田，苗前每亩可使用</w:t>
      </w:r>
      <w:r>
        <w:rPr>
          <w:rFonts w:eastAsia="仿宋_GB2312"/>
          <w:sz w:val="32"/>
          <w:szCs w:val="32"/>
        </w:rPr>
        <w:t>960g/L</w:t>
      </w:r>
      <w:r>
        <w:rPr>
          <w:rFonts w:eastAsia="仿宋_GB2312"/>
          <w:sz w:val="32"/>
          <w:szCs w:val="32"/>
        </w:rPr>
        <w:t>精异丙甲草胺乳油</w:t>
      </w:r>
      <w:r>
        <w:rPr>
          <w:rFonts w:eastAsia="仿宋_GB2312"/>
          <w:sz w:val="32"/>
          <w:szCs w:val="32"/>
        </w:rPr>
        <w:t>45~60mL</w:t>
      </w:r>
      <w:r>
        <w:rPr>
          <w:rFonts w:eastAsia="仿宋_GB2312"/>
          <w:sz w:val="32"/>
          <w:szCs w:val="32"/>
        </w:rPr>
        <w:t>，兑水</w:t>
      </w:r>
      <w:r>
        <w:rPr>
          <w:rFonts w:eastAsia="仿宋_GB2312"/>
          <w:sz w:val="32"/>
          <w:szCs w:val="32"/>
        </w:rPr>
        <w:t>30~50L</w:t>
      </w:r>
      <w:r>
        <w:rPr>
          <w:rFonts w:eastAsia="仿宋_GB2312"/>
          <w:sz w:val="32"/>
          <w:szCs w:val="32"/>
        </w:rPr>
        <w:t>，进行土壤喷雾；出苗后每亩可选用</w:t>
      </w:r>
      <w:r>
        <w:rPr>
          <w:rFonts w:eastAsia="仿宋_GB2312"/>
          <w:sz w:val="32"/>
          <w:szCs w:val="32"/>
        </w:rPr>
        <w:t>10%</w:t>
      </w:r>
      <w:r>
        <w:rPr>
          <w:rFonts w:eastAsia="仿宋_GB2312"/>
          <w:sz w:val="32"/>
          <w:szCs w:val="32"/>
        </w:rPr>
        <w:t>乙羧氟草醚乳油</w:t>
      </w:r>
      <w:r>
        <w:rPr>
          <w:rFonts w:eastAsia="仿宋_GB2312"/>
          <w:sz w:val="32"/>
          <w:szCs w:val="32"/>
        </w:rPr>
        <w:t>20~30mL</w:t>
      </w:r>
      <w:r>
        <w:rPr>
          <w:rFonts w:eastAsia="仿宋_GB2312"/>
          <w:sz w:val="32"/>
          <w:szCs w:val="32"/>
        </w:rPr>
        <w:t>，兑水</w:t>
      </w:r>
      <w:r>
        <w:rPr>
          <w:rFonts w:eastAsia="仿宋_GB2312"/>
          <w:sz w:val="32"/>
          <w:szCs w:val="32"/>
        </w:rPr>
        <w:t>20~30L</w:t>
      </w:r>
      <w:r>
        <w:rPr>
          <w:rFonts w:eastAsia="仿宋_GB2312"/>
          <w:sz w:val="32"/>
          <w:szCs w:val="32"/>
        </w:rPr>
        <w:t>，进行茎叶喷雾。</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在棉花田，苗前每亩可使用</w:t>
      </w:r>
      <w:r>
        <w:rPr>
          <w:rFonts w:eastAsia="仿宋_GB2312"/>
          <w:sz w:val="32"/>
          <w:szCs w:val="32"/>
        </w:rPr>
        <w:t>96%</w:t>
      </w:r>
      <w:r>
        <w:rPr>
          <w:rFonts w:eastAsia="仿宋_GB2312"/>
          <w:sz w:val="32"/>
          <w:szCs w:val="32"/>
        </w:rPr>
        <w:t>精异丙甲草胺乳油</w:t>
      </w:r>
      <w:r>
        <w:rPr>
          <w:rFonts w:eastAsia="仿宋_GB2312"/>
          <w:sz w:val="32"/>
          <w:szCs w:val="32"/>
        </w:rPr>
        <w:t>50~85mL</w:t>
      </w:r>
      <w:r>
        <w:rPr>
          <w:rFonts w:eastAsia="仿宋_GB2312"/>
          <w:sz w:val="32"/>
          <w:szCs w:val="32"/>
        </w:rPr>
        <w:t>，</w:t>
      </w:r>
      <w:r>
        <w:rPr>
          <w:rFonts w:eastAsia="仿宋_GB2312"/>
          <w:sz w:val="32"/>
          <w:szCs w:val="32"/>
        </w:rPr>
        <w:lastRenderedPageBreak/>
        <w:t>兑水</w:t>
      </w:r>
      <w:r>
        <w:rPr>
          <w:rFonts w:eastAsia="仿宋_GB2312"/>
          <w:sz w:val="32"/>
          <w:szCs w:val="32"/>
        </w:rPr>
        <w:t>30~50L</w:t>
      </w:r>
      <w:r>
        <w:rPr>
          <w:rFonts w:eastAsia="仿宋_GB2312"/>
          <w:sz w:val="32"/>
          <w:szCs w:val="32"/>
        </w:rPr>
        <w:t>，进行土壤喷雾；出苗后每亩可使用</w:t>
      </w:r>
      <w:r>
        <w:rPr>
          <w:rFonts w:eastAsia="仿宋_GB2312"/>
          <w:sz w:val="32"/>
          <w:szCs w:val="32"/>
        </w:rPr>
        <w:t>10%</w:t>
      </w:r>
      <w:r>
        <w:rPr>
          <w:rFonts w:eastAsia="仿宋_GB2312"/>
          <w:sz w:val="32"/>
          <w:szCs w:val="32"/>
        </w:rPr>
        <w:t>乙羧氟草醚乳油</w:t>
      </w:r>
      <w:r>
        <w:rPr>
          <w:rFonts w:eastAsia="仿宋_GB2312"/>
          <w:sz w:val="32"/>
          <w:szCs w:val="32"/>
        </w:rPr>
        <w:t>30~40</w:t>
      </w:r>
      <w:r>
        <w:rPr>
          <w:rFonts w:eastAsia="仿宋_GB2312"/>
          <w:sz w:val="32"/>
          <w:szCs w:val="32"/>
        </w:rPr>
        <w:t>毫升，兑水</w:t>
      </w:r>
      <w:r>
        <w:rPr>
          <w:rFonts w:eastAsia="仿宋_GB2312"/>
          <w:sz w:val="32"/>
          <w:szCs w:val="32"/>
        </w:rPr>
        <w:t>20~30L</w:t>
      </w:r>
      <w:r>
        <w:rPr>
          <w:rFonts w:eastAsia="仿宋_GB2312"/>
          <w:sz w:val="32"/>
          <w:szCs w:val="32"/>
        </w:rPr>
        <w:t>，在行间进行定向喷雾，尽量避免直接喷到棉苗上。</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在甘薯田，苗前每亩可使用</w:t>
      </w:r>
      <w:r>
        <w:rPr>
          <w:rFonts w:eastAsia="仿宋_GB2312"/>
          <w:sz w:val="32"/>
          <w:szCs w:val="32"/>
        </w:rPr>
        <w:t>10%</w:t>
      </w:r>
      <w:r>
        <w:rPr>
          <w:rFonts w:eastAsia="仿宋_GB2312"/>
          <w:sz w:val="32"/>
          <w:szCs w:val="32"/>
        </w:rPr>
        <w:t>唑嘧磺草胺悬浮剂</w:t>
      </w:r>
      <w:r>
        <w:rPr>
          <w:rFonts w:eastAsia="仿宋_GB2312"/>
          <w:sz w:val="32"/>
          <w:szCs w:val="32"/>
        </w:rPr>
        <w:t>18~25mL</w:t>
      </w:r>
      <w:r>
        <w:rPr>
          <w:rFonts w:eastAsia="仿宋_GB2312"/>
          <w:sz w:val="32"/>
          <w:szCs w:val="32"/>
        </w:rPr>
        <w:t>，兑水</w:t>
      </w:r>
      <w:r>
        <w:rPr>
          <w:rFonts w:eastAsia="仿宋_GB2312"/>
          <w:sz w:val="32"/>
          <w:szCs w:val="32"/>
        </w:rPr>
        <w:t>30~50L</w:t>
      </w:r>
      <w:r>
        <w:rPr>
          <w:rFonts w:eastAsia="仿宋_GB2312"/>
          <w:sz w:val="32"/>
          <w:szCs w:val="32"/>
        </w:rPr>
        <w:t>，进行土壤喷雾。</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2.</w:t>
      </w:r>
      <w:r>
        <w:rPr>
          <w:rFonts w:eastAsia="仿宋_GB2312"/>
          <w:sz w:val="32"/>
          <w:szCs w:val="32"/>
        </w:rPr>
        <w:t>果园。对于翻耕地，可在出苗前每亩使用</w:t>
      </w:r>
      <w:r>
        <w:rPr>
          <w:rFonts w:eastAsia="仿宋_GB2312"/>
          <w:sz w:val="32"/>
          <w:szCs w:val="32"/>
        </w:rPr>
        <w:t>70%</w:t>
      </w:r>
      <w:r>
        <w:rPr>
          <w:rFonts w:eastAsia="仿宋_GB2312"/>
          <w:sz w:val="32"/>
          <w:szCs w:val="32"/>
        </w:rPr>
        <w:t>苯嘧磺草胺水分散粒剂</w:t>
      </w:r>
      <w:r>
        <w:rPr>
          <w:rFonts w:eastAsia="仿宋_GB2312"/>
          <w:sz w:val="32"/>
          <w:szCs w:val="32"/>
        </w:rPr>
        <w:t>5~7.5</w:t>
      </w:r>
      <w:r>
        <w:rPr>
          <w:rFonts w:eastAsia="仿宋_GB2312"/>
          <w:sz w:val="32"/>
          <w:szCs w:val="32"/>
        </w:rPr>
        <w:t>克，兑水</w:t>
      </w:r>
      <w:r>
        <w:rPr>
          <w:rFonts w:eastAsia="仿宋_GB2312"/>
          <w:sz w:val="32"/>
          <w:szCs w:val="32"/>
        </w:rPr>
        <w:t>30~50L</w:t>
      </w:r>
      <w:r>
        <w:rPr>
          <w:rFonts w:eastAsia="仿宋_GB2312"/>
          <w:sz w:val="32"/>
          <w:szCs w:val="32"/>
        </w:rPr>
        <w:t>，进行土壤喷雾；也可于苗期选用草甘膦铵盐、钾盐或异丙胺盐等，严格按照农药标签的推荐用量进行茎叶喷雾。</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3.</w:t>
      </w:r>
      <w:r>
        <w:rPr>
          <w:rFonts w:eastAsia="仿宋_GB2312"/>
          <w:sz w:val="32"/>
          <w:szCs w:val="32"/>
        </w:rPr>
        <w:t>园林绿地（主要是草坪地）。苗期每亩选用</w:t>
      </w:r>
      <w:r>
        <w:rPr>
          <w:rFonts w:eastAsia="仿宋_GB2312"/>
          <w:sz w:val="32"/>
          <w:szCs w:val="32"/>
        </w:rPr>
        <w:t>10%</w:t>
      </w:r>
      <w:r>
        <w:rPr>
          <w:rFonts w:eastAsia="仿宋_GB2312"/>
          <w:sz w:val="32"/>
          <w:szCs w:val="32"/>
        </w:rPr>
        <w:t>乙羧氟草醚乳油</w:t>
      </w:r>
      <w:r>
        <w:rPr>
          <w:rFonts w:eastAsia="仿宋_GB2312"/>
          <w:sz w:val="32"/>
          <w:szCs w:val="32"/>
        </w:rPr>
        <w:t>30~40mL</w:t>
      </w:r>
      <w:r>
        <w:rPr>
          <w:rFonts w:eastAsia="仿宋_GB2312"/>
          <w:sz w:val="32"/>
          <w:szCs w:val="32"/>
        </w:rPr>
        <w:t>、或</w:t>
      </w:r>
      <w:r>
        <w:rPr>
          <w:rFonts w:eastAsia="仿宋_GB2312"/>
          <w:sz w:val="32"/>
          <w:szCs w:val="32"/>
        </w:rPr>
        <w:t>16%</w:t>
      </w:r>
      <w:r>
        <w:rPr>
          <w:rFonts w:eastAsia="仿宋_GB2312"/>
          <w:sz w:val="32"/>
          <w:szCs w:val="32"/>
        </w:rPr>
        <w:t>双氟</w:t>
      </w:r>
      <w:r>
        <w:rPr>
          <w:rFonts w:eastAsia="仿宋_GB2312"/>
          <w:sz w:val="32"/>
          <w:szCs w:val="32"/>
        </w:rPr>
        <w:t>·</w:t>
      </w:r>
      <w:r>
        <w:rPr>
          <w:rFonts w:eastAsia="仿宋_GB2312"/>
          <w:sz w:val="32"/>
          <w:szCs w:val="32"/>
        </w:rPr>
        <w:t>氯氟吡悬乳剂</w:t>
      </w:r>
      <w:r>
        <w:rPr>
          <w:rFonts w:eastAsia="仿宋_GB2312"/>
          <w:sz w:val="32"/>
          <w:szCs w:val="32"/>
        </w:rPr>
        <w:t>30~40mL</w:t>
      </w:r>
      <w:r>
        <w:rPr>
          <w:rFonts w:eastAsia="仿宋_GB2312"/>
          <w:sz w:val="32"/>
          <w:szCs w:val="32"/>
        </w:rPr>
        <w:t>、兑水</w:t>
      </w:r>
      <w:r>
        <w:rPr>
          <w:rFonts w:eastAsia="仿宋_GB2312"/>
          <w:sz w:val="32"/>
          <w:szCs w:val="32"/>
        </w:rPr>
        <w:t>20~30L</w:t>
      </w:r>
      <w:r>
        <w:rPr>
          <w:rFonts w:eastAsia="仿宋_GB2312"/>
          <w:sz w:val="32"/>
          <w:szCs w:val="32"/>
        </w:rPr>
        <w:t>，进行茎叶喷雾。</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4.</w:t>
      </w:r>
      <w:r>
        <w:rPr>
          <w:rFonts w:eastAsia="仿宋_GB2312"/>
          <w:sz w:val="32"/>
          <w:szCs w:val="32"/>
        </w:rPr>
        <w:t>公路和铁路护坡地、荒地、河边滩涂地等。药剂选择和施药方法与果园生境类似。</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喷雾时要选择晴天无风天气，避免喷施的药剂飘移到邻近敏感植物上。在河沟边或农田边喷施化学除草剂时，要避免药剂随雨水进入农田而造成药害。施药区应插上明显的警示牌，避免造成人、畜中毒或其他意外。</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（四）综合防除</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此外，除了上述通过人工拔除、机械切割、或化学防除等手段进行治理外，对于依然残存的长芒苋植株，需抓住结籽落粒前的关键时期，主要采用机械切除地上部分的方式进行治理，对拔</w:t>
      </w:r>
      <w:r>
        <w:rPr>
          <w:rFonts w:eastAsia="仿宋_GB2312"/>
          <w:sz w:val="32"/>
          <w:szCs w:val="32"/>
        </w:rPr>
        <w:lastRenderedPageBreak/>
        <w:t>除后的带有种子的地上部分进行严格的灭活处理，对拔除区域进行清洁和残留种子的灭活处理。同时采用土壤深翻（深度一般在</w:t>
      </w:r>
      <w:r>
        <w:rPr>
          <w:rFonts w:eastAsia="仿宋_GB2312"/>
          <w:sz w:val="32"/>
          <w:szCs w:val="32"/>
        </w:rPr>
        <w:t>25cm</w:t>
      </w:r>
      <w:r>
        <w:rPr>
          <w:rFonts w:eastAsia="仿宋_GB2312"/>
          <w:sz w:val="32"/>
          <w:szCs w:val="32"/>
        </w:rPr>
        <w:t>以上）的方式将处于表层土壤的种籽深翻到耕层以下，避免下一年的种籽发芽导致长芒苋再次发生。由于长芒苋结籽量大，每个发生区域应至少连续防除</w:t>
      </w:r>
      <w:r>
        <w:rPr>
          <w:rFonts w:eastAsia="仿宋_GB2312"/>
          <w:sz w:val="32"/>
          <w:szCs w:val="32"/>
        </w:rPr>
        <w:t>3</w:t>
      </w:r>
      <w:r>
        <w:rPr>
          <w:rFonts w:eastAsia="仿宋_GB2312"/>
          <w:sz w:val="32"/>
          <w:szCs w:val="32"/>
        </w:rPr>
        <w:t>年。</w:t>
      </w:r>
    </w:p>
    <w:p w:rsidR="00841A51" w:rsidRDefault="00841A51" w:rsidP="00841A51">
      <w:pPr>
        <w:adjustRightInd w:val="0"/>
        <w:snapToGrid w:val="0"/>
        <w:spacing w:line="580" w:lineRule="exact"/>
        <w:rPr>
          <w:rFonts w:ascii="黑体" w:eastAsia="黑体" w:hAnsi="黑体"/>
          <w:sz w:val="32"/>
          <w:szCs w:val="32"/>
        </w:rPr>
      </w:pPr>
      <w:r>
        <w:rPr>
          <w:rFonts w:ascii="黑体" w:eastAsia="黑体" w:hAnsi="黑体"/>
          <w:sz w:val="32"/>
          <w:szCs w:val="32"/>
        </w:rPr>
        <w:t xml:space="preserve">　　四、加强部门间的协调与科普宣传和培训</w:t>
      </w:r>
    </w:p>
    <w:p w:rsidR="00841A51" w:rsidRDefault="00841A51" w:rsidP="00841A51">
      <w:pPr>
        <w:adjustRightInd w:val="0"/>
        <w:snapToGrid w:val="0"/>
        <w:spacing w:line="580" w:lineRule="exact"/>
        <w:rPr>
          <w:rFonts w:eastAsia="仿宋_GB2312"/>
          <w:sz w:val="32"/>
          <w:szCs w:val="32"/>
        </w:rPr>
      </w:pPr>
      <w:r>
        <w:rPr>
          <w:rFonts w:eastAsia="仿宋_GB2312"/>
          <w:sz w:val="32"/>
          <w:szCs w:val="32"/>
        </w:rPr>
        <w:t xml:space="preserve">　　加强长芒苋入侵地（如县级行政区）间的联防联控，同一入侵地不同管理部门（如农业、海关、林草、生态环境、水利、交通等）间的协同管理，避免出现管理盲区和遗漏等，提升防控效率。</w:t>
      </w:r>
    </w:p>
    <w:p w:rsidR="00032D18" w:rsidRPr="00841A51" w:rsidRDefault="00841A51" w:rsidP="00841A51">
      <w:r>
        <w:rPr>
          <w:rFonts w:eastAsia="仿宋_GB2312"/>
          <w:sz w:val="32"/>
          <w:szCs w:val="32"/>
        </w:rPr>
        <w:t xml:space="preserve">　　充分运用电视广播、网络媒体、宣传图册等媒体开展多种形式的科普宣传与培训，普及长芒苋的识别要点和防控技术，广泛动员社会力量积极参与到长芒苋监测与防控队伍中来，全面提升长芒苋的综合防控效果，抑制长芒苋的再次传入与扩散蔓延。</w:t>
      </w:r>
    </w:p>
    <w:sectPr w:rsidR="00032D18" w:rsidRPr="00841A51" w:rsidSect="001E29C4">
      <w:footerReference w:type="default" r:id="rId8"/>
      <w:pgSz w:w="11906" w:h="16838"/>
      <w:pgMar w:top="2041" w:right="1361" w:bottom="141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9BC" w:rsidRDefault="00B039BC" w:rsidP="001E29C4">
      <w:r>
        <w:separator/>
      </w:r>
    </w:p>
  </w:endnote>
  <w:endnote w:type="continuationSeparator" w:id="1">
    <w:p w:rsidR="00B039BC" w:rsidRDefault="00B039BC" w:rsidP="001E29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051"/>
      <w:docPartObj>
        <w:docPartGallery w:val="Page Numbers (Bottom of Page)"/>
        <w:docPartUnique/>
      </w:docPartObj>
    </w:sdtPr>
    <w:sdtEndPr>
      <w:rPr>
        <w:rFonts w:asciiTheme="minorEastAsia" w:eastAsiaTheme="minorEastAsia" w:hAnsiTheme="minorEastAsia"/>
        <w:sz w:val="28"/>
        <w:szCs w:val="28"/>
      </w:rPr>
    </w:sdtEndPr>
    <w:sdtContent>
      <w:p w:rsidR="001E29C4" w:rsidRPr="001E29C4" w:rsidRDefault="001E29C4">
        <w:pPr>
          <w:pStyle w:val="a3"/>
          <w:jc w:val="right"/>
          <w:rPr>
            <w:rFonts w:asciiTheme="minorEastAsia" w:eastAsiaTheme="minorEastAsia" w:hAnsiTheme="minorEastAsia"/>
            <w:sz w:val="28"/>
            <w:szCs w:val="28"/>
          </w:rPr>
        </w:pPr>
        <w:r w:rsidRPr="001E29C4">
          <w:rPr>
            <w:rFonts w:asciiTheme="minorEastAsia" w:eastAsiaTheme="minorEastAsia" w:hAnsiTheme="minorEastAsia" w:hint="eastAsia"/>
            <w:sz w:val="28"/>
            <w:szCs w:val="28"/>
          </w:rPr>
          <w:t xml:space="preserve">— </w:t>
        </w:r>
        <w:r w:rsidR="00557396" w:rsidRPr="001E29C4">
          <w:rPr>
            <w:rFonts w:asciiTheme="minorEastAsia" w:eastAsiaTheme="minorEastAsia" w:hAnsiTheme="minorEastAsia"/>
            <w:sz w:val="28"/>
            <w:szCs w:val="28"/>
          </w:rPr>
          <w:fldChar w:fldCharType="begin"/>
        </w:r>
        <w:r w:rsidRPr="001E29C4">
          <w:rPr>
            <w:rFonts w:asciiTheme="minorEastAsia" w:eastAsiaTheme="minorEastAsia" w:hAnsiTheme="minorEastAsia"/>
            <w:sz w:val="28"/>
            <w:szCs w:val="28"/>
          </w:rPr>
          <w:instrText xml:space="preserve"> PAGE   \* MERGEFORMAT </w:instrText>
        </w:r>
        <w:r w:rsidR="00557396" w:rsidRPr="001E29C4">
          <w:rPr>
            <w:rFonts w:asciiTheme="minorEastAsia" w:eastAsiaTheme="minorEastAsia" w:hAnsiTheme="minorEastAsia"/>
            <w:sz w:val="28"/>
            <w:szCs w:val="28"/>
          </w:rPr>
          <w:fldChar w:fldCharType="separate"/>
        </w:r>
        <w:r w:rsidR="00EA213D" w:rsidRPr="00EA213D">
          <w:rPr>
            <w:rFonts w:asciiTheme="minorEastAsia" w:eastAsiaTheme="minorEastAsia" w:hAnsiTheme="minorEastAsia"/>
            <w:noProof/>
            <w:sz w:val="28"/>
            <w:szCs w:val="28"/>
            <w:lang w:val="zh-CN"/>
          </w:rPr>
          <w:t>3</w:t>
        </w:r>
        <w:r w:rsidR="00557396" w:rsidRPr="001E29C4">
          <w:rPr>
            <w:rFonts w:asciiTheme="minorEastAsia" w:eastAsiaTheme="minorEastAsia" w:hAnsiTheme="minorEastAsia"/>
            <w:sz w:val="28"/>
            <w:szCs w:val="28"/>
          </w:rPr>
          <w:fldChar w:fldCharType="end"/>
        </w:r>
        <w:r w:rsidRPr="001E29C4">
          <w:rPr>
            <w:rFonts w:asciiTheme="minorEastAsia" w:eastAsiaTheme="minorEastAsia" w:hAnsiTheme="minorEastAsia" w:hint="eastAsia"/>
            <w:sz w:val="28"/>
            <w:szCs w:val="28"/>
          </w:rPr>
          <w:t xml:space="preserve"> —</w:t>
        </w:r>
      </w:p>
    </w:sdtContent>
  </w:sdt>
  <w:p w:rsidR="001E29C4" w:rsidRDefault="001E29C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9BC" w:rsidRDefault="00B039BC" w:rsidP="001E29C4">
      <w:r>
        <w:separator/>
      </w:r>
    </w:p>
  </w:footnote>
  <w:footnote w:type="continuationSeparator" w:id="1">
    <w:p w:rsidR="00B039BC" w:rsidRDefault="00B039BC" w:rsidP="001E29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29C4"/>
    <w:rsid w:val="00032D18"/>
    <w:rsid w:val="001D7983"/>
    <w:rsid w:val="001E29C4"/>
    <w:rsid w:val="00557396"/>
    <w:rsid w:val="00767E83"/>
    <w:rsid w:val="00841A51"/>
    <w:rsid w:val="00B039BC"/>
    <w:rsid w:val="00B13F42"/>
    <w:rsid w:val="00B5319F"/>
    <w:rsid w:val="00C30C0D"/>
    <w:rsid w:val="00EA21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A5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C30C0D"/>
    <w:pPr>
      <w:tabs>
        <w:tab w:val="center" w:pos="4153"/>
        <w:tab w:val="right" w:pos="8306"/>
      </w:tabs>
      <w:snapToGrid w:val="0"/>
      <w:jc w:val="left"/>
    </w:pPr>
    <w:rPr>
      <w:sz w:val="18"/>
      <w:szCs w:val="18"/>
    </w:rPr>
  </w:style>
  <w:style w:type="character" w:customStyle="1" w:styleId="Char">
    <w:name w:val="页脚 Char"/>
    <w:basedOn w:val="a0"/>
    <w:link w:val="a3"/>
    <w:uiPriority w:val="99"/>
    <w:rsid w:val="00C30C0D"/>
    <w:rPr>
      <w:rFonts w:ascii="Times New Roman" w:eastAsia="宋体" w:hAnsi="Times New Roman" w:cs="Times New Roman"/>
      <w:sz w:val="18"/>
      <w:szCs w:val="18"/>
    </w:rPr>
  </w:style>
  <w:style w:type="paragraph" w:styleId="a4">
    <w:name w:val="Balloon Text"/>
    <w:basedOn w:val="a"/>
    <w:link w:val="Char0"/>
    <w:uiPriority w:val="99"/>
    <w:semiHidden/>
    <w:unhideWhenUsed/>
    <w:rsid w:val="001E29C4"/>
    <w:rPr>
      <w:sz w:val="18"/>
      <w:szCs w:val="18"/>
    </w:rPr>
  </w:style>
  <w:style w:type="character" w:customStyle="1" w:styleId="Char0">
    <w:name w:val="批注框文本 Char"/>
    <w:basedOn w:val="a0"/>
    <w:link w:val="a4"/>
    <w:uiPriority w:val="99"/>
    <w:semiHidden/>
    <w:rsid w:val="001E29C4"/>
    <w:rPr>
      <w:rFonts w:ascii="Times New Roman" w:eastAsia="宋体" w:hAnsi="Times New Roman" w:cs="Times New Roman"/>
      <w:sz w:val="18"/>
      <w:szCs w:val="18"/>
    </w:rPr>
  </w:style>
  <w:style w:type="paragraph" w:styleId="a5">
    <w:name w:val="header"/>
    <w:basedOn w:val="a"/>
    <w:link w:val="Char1"/>
    <w:uiPriority w:val="99"/>
    <w:semiHidden/>
    <w:unhideWhenUsed/>
    <w:rsid w:val="001E29C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1E29C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484</Words>
  <Characters>2764</Characters>
  <Application>Microsoft Office Word</Application>
  <DocSecurity>0</DocSecurity>
  <Lines>23</Lines>
  <Paragraphs>6</Paragraphs>
  <ScaleCrop>false</ScaleCrop>
  <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cp:lastPrinted>2024-09-29T01:59:00Z</cp:lastPrinted>
  <dcterms:created xsi:type="dcterms:W3CDTF">2024-09-29T01:59:00Z</dcterms:created>
  <dcterms:modified xsi:type="dcterms:W3CDTF">2024-09-29T02:32:00Z</dcterms:modified>
</cp:coreProperties>
</file>