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2FB" w:rsidRDefault="008E1CEA" w:rsidP="008442FB">
      <w:pPr>
        <w:adjustRightInd w:val="0"/>
        <w:snapToGrid w:val="0"/>
        <w:spacing w:line="640" w:lineRule="exact"/>
        <w:jc w:val="center"/>
        <w:rPr>
          <w:rFonts w:ascii="方正小标宋_GBK" w:eastAsia="方正小标宋_GBK"/>
          <w:sz w:val="44"/>
          <w:szCs w:val="32"/>
        </w:rPr>
      </w:pPr>
      <w:r>
        <w:rPr>
          <w:rFonts w:ascii="方正小标宋_GBK" w:eastAsia="方正小标宋_GBK" w:hint="eastAsia"/>
          <w:sz w:val="44"/>
          <w:szCs w:val="44"/>
        </w:rPr>
        <w:t>外来入侵物种</w:t>
      </w:r>
      <w:r w:rsidR="008442FB">
        <w:rPr>
          <w:rFonts w:ascii="方正小标宋_GBK" w:eastAsia="方正小标宋_GBK" w:hint="eastAsia"/>
          <w:sz w:val="44"/>
          <w:szCs w:val="32"/>
        </w:rPr>
        <w:t>豚草防控技术指导意见</w:t>
      </w:r>
    </w:p>
    <w:p w:rsidR="008442FB" w:rsidRDefault="008442FB" w:rsidP="008442FB">
      <w:pPr>
        <w:adjustRightInd w:val="0"/>
        <w:snapToGrid w:val="0"/>
        <w:spacing w:line="580" w:lineRule="exact"/>
        <w:rPr>
          <w:rFonts w:eastAsia="仿宋_GB2312"/>
          <w:sz w:val="32"/>
          <w:szCs w:val="32"/>
        </w:rPr>
      </w:pPr>
    </w:p>
    <w:p w:rsidR="008442FB" w:rsidRDefault="008442FB" w:rsidP="008442FB">
      <w:pPr>
        <w:adjustRightInd w:val="0"/>
        <w:snapToGrid w:val="0"/>
        <w:spacing w:line="580" w:lineRule="exact"/>
        <w:jc w:val="center"/>
        <w:rPr>
          <w:rFonts w:eastAsia="仿宋_GB2312"/>
          <w:sz w:val="32"/>
          <w:szCs w:val="32"/>
        </w:rPr>
      </w:pPr>
      <w:r w:rsidRPr="00482FEE">
        <w:rPr>
          <w:rFonts w:eastAsia="仿宋_GB2312" w:hint="eastAsia"/>
          <w:sz w:val="32"/>
          <w:szCs w:val="32"/>
        </w:rPr>
        <w:t>来源：农业农村部农业生态总站</w:t>
      </w:r>
    </w:p>
    <w:p w:rsidR="008442FB" w:rsidRPr="00D01FAA" w:rsidRDefault="008442FB" w:rsidP="008442FB">
      <w:pPr>
        <w:adjustRightInd w:val="0"/>
        <w:snapToGrid w:val="0"/>
        <w:spacing w:line="580" w:lineRule="exact"/>
        <w:jc w:val="center"/>
        <w:rPr>
          <w:rFonts w:eastAsia="仿宋_GB2312"/>
          <w:sz w:val="32"/>
          <w:szCs w:val="32"/>
        </w:rPr>
      </w:pPr>
    </w:p>
    <w:p w:rsidR="008442FB" w:rsidRDefault="008442FB" w:rsidP="008442FB">
      <w:pPr>
        <w:adjustRightInd w:val="0"/>
        <w:snapToGrid w:val="0"/>
        <w:spacing w:line="580" w:lineRule="exact"/>
        <w:ind w:firstLineChars="200" w:firstLine="640"/>
        <w:rPr>
          <w:rFonts w:eastAsia="仿宋_GB2312"/>
          <w:sz w:val="32"/>
          <w:szCs w:val="32"/>
        </w:rPr>
      </w:pPr>
      <w:r>
        <w:rPr>
          <w:rFonts w:eastAsia="仿宋_GB2312"/>
          <w:sz w:val="32"/>
          <w:szCs w:val="32"/>
        </w:rPr>
        <w:t>豚草（</w:t>
      </w:r>
      <w:r>
        <w:rPr>
          <w:rFonts w:eastAsia="仿宋_GB2312"/>
          <w:sz w:val="32"/>
          <w:szCs w:val="32"/>
        </w:rPr>
        <w:t>Ambrosia artemisiifolia L.</w:t>
      </w:r>
      <w:r>
        <w:rPr>
          <w:rFonts w:eastAsia="仿宋_GB2312"/>
          <w:sz w:val="32"/>
          <w:szCs w:val="32"/>
        </w:rPr>
        <w:t>）隶属于菊科（</w:t>
      </w:r>
      <w:r>
        <w:rPr>
          <w:rFonts w:eastAsia="仿宋_GB2312"/>
          <w:sz w:val="32"/>
          <w:szCs w:val="32"/>
        </w:rPr>
        <w:t>Asteraceae</w:t>
      </w:r>
      <w:r>
        <w:rPr>
          <w:rFonts w:eastAsia="仿宋_GB2312"/>
          <w:sz w:val="32"/>
          <w:szCs w:val="32"/>
        </w:rPr>
        <w:t>）豚草属（</w:t>
      </w:r>
      <w:r>
        <w:rPr>
          <w:rFonts w:eastAsia="仿宋_GB2312"/>
          <w:sz w:val="32"/>
          <w:szCs w:val="32"/>
        </w:rPr>
        <w:t>Ambrosia</w:t>
      </w:r>
      <w:r>
        <w:rPr>
          <w:rFonts w:eastAsia="仿宋_GB2312"/>
          <w:sz w:val="32"/>
          <w:szCs w:val="32"/>
        </w:rPr>
        <w:t>），又名普通豚草、美洲艾、艾叶破布草，原产于美国和加拿大南部，是全球恶性入侵杂草。最早于</w:t>
      </w:r>
      <w:r>
        <w:rPr>
          <w:rFonts w:eastAsia="仿宋_GB2312"/>
          <w:sz w:val="32"/>
          <w:szCs w:val="32"/>
        </w:rPr>
        <w:t>20</w:t>
      </w:r>
      <w:r>
        <w:rPr>
          <w:rFonts w:eastAsia="仿宋_GB2312"/>
          <w:sz w:val="32"/>
          <w:szCs w:val="32"/>
        </w:rPr>
        <w:t>世纪</w:t>
      </w:r>
      <w:r>
        <w:rPr>
          <w:rFonts w:eastAsia="仿宋_GB2312"/>
          <w:sz w:val="32"/>
          <w:szCs w:val="32"/>
        </w:rPr>
        <w:t>30</w:t>
      </w:r>
      <w:r>
        <w:rPr>
          <w:rFonts w:eastAsia="仿宋_GB2312"/>
          <w:sz w:val="32"/>
          <w:szCs w:val="32"/>
        </w:rPr>
        <w:t>年代入侵我国，目前在北京、河北、辽宁、吉林、黑龙江、上海、浙江、江苏、安徽、山东、湖北、湖南、江西、广西、广东、贵州、新疆等省份有分布。豚草具有适应性广、可塑性和竞争力强等特性，在我国的潜在分布区广。豚草已对我国的农业生产、生物多样和人类健康造成了极大危害，被列入</w:t>
      </w:r>
      <w:r>
        <w:rPr>
          <w:rFonts w:eastAsia="仿宋_GB2312"/>
          <w:sz w:val="32"/>
          <w:szCs w:val="32"/>
        </w:rPr>
        <w:t xml:space="preserve"> 2023 </w:t>
      </w:r>
      <w:r>
        <w:rPr>
          <w:rFonts w:eastAsia="仿宋_GB2312"/>
          <w:sz w:val="32"/>
          <w:szCs w:val="32"/>
        </w:rPr>
        <w:t>年</w:t>
      </w:r>
      <w:r>
        <w:rPr>
          <w:rFonts w:eastAsia="仿宋_GB2312"/>
          <w:sz w:val="32"/>
          <w:szCs w:val="32"/>
        </w:rPr>
        <w:t xml:space="preserve">1 </w:t>
      </w:r>
      <w:r>
        <w:rPr>
          <w:rFonts w:eastAsia="仿宋_GB2312"/>
          <w:sz w:val="32"/>
          <w:szCs w:val="32"/>
        </w:rPr>
        <w:t>月</w:t>
      </w:r>
      <w:r>
        <w:rPr>
          <w:rFonts w:eastAsia="仿宋_GB2312"/>
          <w:sz w:val="32"/>
          <w:szCs w:val="32"/>
        </w:rPr>
        <w:t xml:space="preserve"> 1 </w:t>
      </w:r>
      <w:r>
        <w:rPr>
          <w:rFonts w:eastAsia="仿宋_GB2312"/>
          <w:sz w:val="32"/>
          <w:szCs w:val="32"/>
        </w:rPr>
        <w:t>日正式生效的《重点管理外来入侵物种名录》之中，是我国重点管理的重大农林外来入侵物种。近年来，豚草在我国仍呈扩散蔓延趋势，为有效防范其侵害，做好防控工作，制定本防控技术指导意见。</w:t>
      </w:r>
    </w:p>
    <w:p w:rsidR="008442FB" w:rsidRDefault="008442FB" w:rsidP="008442FB">
      <w:pPr>
        <w:adjustRightInd w:val="0"/>
        <w:snapToGrid w:val="0"/>
        <w:spacing w:line="580" w:lineRule="exact"/>
        <w:ind w:firstLineChars="200" w:firstLine="640"/>
        <w:rPr>
          <w:rFonts w:ascii="黑体" w:eastAsia="黑体" w:hAnsi="黑体"/>
          <w:sz w:val="32"/>
          <w:szCs w:val="32"/>
        </w:rPr>
      </w:pPr>
      <w:r>
        <w:rPr>
          <w:rFonts w:ascii="黑体" w:eastAsia="黑体" w:hAnsi="黑体"/>
          <w:sz w:val="32"/>
          <w:szCs w:val="32"/>
        </w:rPr>
        <w:t>一、主要特征</w:t>
      </w:r>
    </w:p>
    <w:p w:rsidR="008442FB" w:rsidRDefault="008442FB" w:rsidP="008442FB">
      <w:pPr>
        <w:adjustRightInd w:val="0"/>
        <w:snapToGrid w:val="0"/>
        <w:spacing w:line="580" w:lineRule="exact"/>
        <w:ind w:firstLineChars="200" w:firstLine="640"/>
        <w:rPr>
          <w:rFonts w:eastAsia="仿宋_GB2312"/>
          <w:sz w:val="32"/>
          <w:szCs w:val="32"/>
        </w:rPr>
      </w:pPr>
      <w:r>
        <w:rPr>
          <w:rFonts w:eastAsia="仿宋_GB2312"/>
          <w:sz w:val="32"/>
          <w:szCs w:val="32"/>
        </w:rPr>
        <w:t>（一）生物特征。一年生草本，高</w:t>
      </w:r>
      <w:r>
        <w:rPr>
          <w:rFonts w:eastAsia="仿宋_GB2312"/>
          <w:sz w:val="32"/>
          <w:szCs w:val="32"/>
        </w:rPr>
        <w:t>20~150cm</w:t>
      </w:r>
      <w:r>
        <w:rPr>
          <w:rFonts w:eastAsia="仿宋_GB2312"/>
          <w:sz w:val="32"/>
          <w:szCs w:val="32"/>
        </w:rPr>
        <w:t>。茎直立，上部有圆锥状分枝，有棱，被疏生密糙毛。下部叶对生，具短叶柄，一至二回羽状深裂，裂片狭小，长圆形至倒披针形，全缘，有明显的中脉，上面深绿色，被细短伏毛或近无毛，背面灰绿色，被密短糙毛；上部叶互生，无柄，羽状分裂。雄头状花序半球形或</w:t>
      </w:r>
      <w:r>
        <w:rPr>
          <w:rFonts w:eastAsia="仿宋_GB2312"/>
          <w:sz w:val="32"/>
          <w:szCs w:val="32"/>
        </w:rPr>
        <w:lastRenderedPageBreak/>
        <w:t>卵形，径</w:t>
      </w:r>
      <w:r>
        <w:rPr>
          <w:rFonts w:eastAsia="仿宋_GB2312"/>
          <w:sz w:val="32"/>
          <w:szCs w:val="32"/>
        </w:rPr>
        <w:t>4~5mm</w:t>
      </w:r>
      <w:r>
        <w:rPr>
          <w:rFonts w:eastAsia="仿宋_GB2312"/>
          <w:sz w:val="32"/>
          <w:szCs w:val="32"/>
        </w:rPr>
        <w:t>，具短梗，下垂，在枝端密集成总状花序；总苞宽半球形或碟形，总苞片全部结合，无肋，边缘具波状圆齿，稍被糙伏毛；花托具刚毛状托片；每个头状花序有</w:t>
      </w:r>
      <w:r>
        <w:rPr>
          <w:rFonts w:eastAsia="仿宋_GB2312"/>
          <w:sz w:val="32"/>
          <w:szCs w:val="32"/>
        </w:rPr>
        <w:t xml:space="preserve"> 10~ 16</w:t>
      </w:r>
      <w:r>
        <w:rPr>
          <w:rFonts w:eastAsia="仿宋_GB2312"/>
          <w:sz w:val="32"/>
          <w:szCs w:val="32"/>
        </w:rPr>
        <w:t>朵管状花，花冠淡黄色，长约</w:t>
      </w:r>
      <w:r>
        <w:rPr>
          <w:rFonts w:eastAsia="仿宋_GB2312"/>
          <w:sz w:val="32"/>
          <w:szCs w:val="32"/>
        </w:rPr>
        <w:t>2mm</w:t>
      </w:r>
      <w:r>
        <w:rPr>
          <w:rFonts w:eastAsia="仿宋_GB2312"/>
          <w:sz w:val="32"/>
          <w:szCs w:val="32"/>
        </w:rPr>
        <w:t>，有短管部，上部钟状，有宽裂片；花药卵圆形；雌头状花序无花序梗，在雄头花序下面或在下部叶腋单生，或</w:t>
      </w:r>
      <w:r>
        <w:rPr>
          <w:rFonts w:eastAsia="仿宋_GB2312"/>
          <w:sz w:val="32"/>
          <w:szCs w:val="32"/>
        </w:rPr>
        <w:t>2~3</w:t>
      </w:r>
      <w:r>
        <w:rPr>
          <w:rFonts w:eastAsia="仿宋_GB2312"/>
          <w:sz w:val="32"/>
          <w:szCs w:val="32"/>
        </w:rPr>
        <w:t>个密集成团伞状，有</w:t>
      </w:r>
      <w:r>
        <w:rPr>
          <w:rFonts w:eastAsia="仿宋_GB2312"/>
          <w:sz w:val="32"/>
          <w:szCs w:val="32"/>
        </w:rPr>
        <w:t>1</w:t>
      </w:r>
      <w:r>
        <w:rPr>
          <w:rFonts w:eastAsia="仿宋_GB2312"/>
          <w:sz w:val="32"/>
          <w:szCs w:val="32"/>
        </w:rPr>
        <w:t>个无被可育的雌花，被闭合总苞包裹，总苞片结合，倒卵形或卵状长圆形，长</w:t>
      </w:r>
      <w:r>
        <w:rPr>
          <w:rFonts w:eastAsia="仿宋_GB2312"/>
          <w:sz w:val="32"/>
          <w:szCs w:val="32"/>
        </w:rPr>
        <w:t>4~5</w:t>
      </w:r>
      <w:r>
        <w:rPr>
          <w:rFonts w:eastAsia="仿宋_GB2312"/>
          <w:sz w:val="32"/>
          <w:szCs w:val="32"/>
        </w:rPr>
        <w:t>毫米，宽约</w:t>
      </w:r>
      <w:r>
        <w:rPr>
          <w:rFonts w:eastAsia="仿宋_GB2312"/>
          <w:sz w:val="32"/>
          <w:szCs w:val="32"/>
        </w:rPr>
        <w:t>2</w:t>
      </w:r>
      <w:r>
        <w:rPr>
          <w:rFonts w:eastAsia="仿宋_GB2312"/>
          <w:sz w:val="32"/>
          <w:szCs w:val="32"/>
        </w:rPr>
        <w:t>毫米，顶端有围裹花柱的圆锥状嘴部，稍被糙毛，花柱</w:t>
      </w:r>
      <w:r>
        <w:rPr>
          <w:rFonts w:eastAsia="仿宋_GB2312"/>
          <w:sz w:val="32"/>
          <w:szCs w:val="32"/>
        </w:rPr>
        <w:t>2</w:t>
      </w:r>
      <w:r>
        <w:rPr>
          <w:rFonts w:eastAsia="仿宋_GB2312"/>
          <w:sz w:val="32"/>
          <w:szCs w:val="32"/>
        </w:rPr>
        <w:t>深裂，丝状。瘦果倒卵形，无毛，藏于坚硬的总苞中形成带刺的瘦果，倒卵形或卵状长圆形，长</w:t>
      </w:r>
      <w:r>
        <w:rPr>
          <w:rFonts w:eastAsia="仿宋_GB2312"/>
          <w:sz w:val="32"/>
          <w:szCs w:val="32"/>
        </w:rPr>
        <w:t>4~5mm</w:t>
      </w:r>
      <w:r>
        <w:rPr>
          <w:rFonts w:eastAsia="仿宋_GB2312"/>
          <w:sz w:val="32"/>
          <w:szCs w:val="32"/>
        </w:rPr>
        <w:t>，宽约</w:t>
      </w:r>
      <w:r>
        <w:rPr>
          <w:rFonts w:eastAsia="仿宋_GB2312"/>
          <w:sz w:val="32"/>
          <w:szCs w:val="32"/>
        </w:rPr>
        <w:t>2mm</w:t>
      </w:r>
      <w:r>
        <w:rPr>
          <w:rFonts w:eastAsia="仿宋_GB2312"/>
          <w:sz w:val="32"/>
          <w:szCs w:val="32"/>
        </w:rPr>
        <w:t>，顶端为总苞顶端形成的圆锥状喙部，在顶部以下有</w:t>
      </w:r>
      <w:r>
        <w:rPr>
          <w:rFonts w:eastAsia="仿宋_GB2312"/>
          <w:sz w:val="32"/>
          <w:szCs w:val="32"/>
        </w:rPr>
        <w:t>4~6</w:t>
      </w:r>
      <w:r>
        <w:rPr>
          <w:rFonts w:eastAsia="仿宋_GB2312"/>
          <w:sz w:val="32"/>
          <w:szCs w:val="32"/>
        </w:rPr>
        <w:t>个尖刺。花期</w:t>
      </w:r>
      <w:r>
        <w:rPr>
          <w:rFonts w:eastAsia="仿宋_GB2312"/>
          <w:sz w:val="32"/>
          <w:szCs w:val="32"/>
        </w:rPr>
        <w:t>8—9</w:t>
      </w:r>
      <w:r>
        <w:rPr>
          <w:rFonts w:eastAsia="仿宋_GB2312"/>
          <w:sz w:val="32"/>
          <w:szCs w:val="32"/>
        </w:rPr>
        <w:t>月，果期</w:t>
      </w:r>
      <w:r>
        <w:rPr>
          <w:rFonts w:eastAsia="仿宋_GB2312"/>
          <w:sz w:val="32"/>
          <w:szCs w:val="32"/>
        </w:rPr>
        <w:t>9—10</w:t>
      </w:r>
      <w:r>
        <w:rPr>
          <w:rFonts w:eastAsia="仿宋_GB2312"/>
          <w:sz w:val="32"/>
          <w:szCs w:val="32"/>
        </w:rPr>
        <w:t>月。</w:t>
      </w:r>
    </w:p>
    <w:p w:rsidR="008442FB" w:rsidRDefault="008442FB" w:rsidP="008442FB">
      <w:pPr>
        <w:adjustRightInd w:val="0"/>
        <w:snapToGrid w:val="0"/>
        <w:spacing w:line="580" w:lineRule="exact"/>
        <w:ind w:firstLineChars="200" w:firstLine="640"/>
        <w:rPr>
          <w:rFonts w:eastAsia="仿宋_GB2312"/>
          <w:sz w:val="32"/>
          <w:szCs w:val="32"/>
        </w:rPr>
      </w:pPr>
      <w:r>
        <w:rPr>
          <w:rFonts w:eastAsia="仿宋_GB2312"/>
          <w:sz w:val="32"/>
          <w:szCs w:val="32"/>
        </w:rPr>
        <w:t>（二）主要危害。豚草是旱田、草地、果园常见杂草。多危害玉米、大豆、向日葵、洋麻等中耕作物和禾谷类作物以及果树，导致减产，甚至绝收。与本地植物竞争空间、营养、光和水分，降低入侵地植物多样性。豚草花粉是人类</w:t>
      </w:r>
      <w:r>
        <w:rPr>
          <w:rFonts w:eastAsia="仿宋_GB2312"/>
          <w:sz w:val="32"/>
          <w:szCs w:val="32"/>
        </w:rPr>
        <w:t>“</w:t>
      </w:r>
      <w:r>
        <w:rPr>
          <w:rFonts w:eastAsia="仿宋_GB2312"/>
          <w:sz w:val="32"/>
          <w:szCs w:val="32"/>
        </w:rPr>
        <w:t>枯草热</w:t>
      </w:r>
      <w:r>
        <w:rPr>
          <w:rFonts w:eastAsia="仿宋_GB2312"/>
          <w:sz w:val="32"/>
          <w:szCs w:val="32"/>
        </w:rPr>
        <w:t>”</w:t>
      </w:r>
      <w:r>
        <w:rPr>
          <w:rFonts w:eastAsia="仿宋_GB2312"/>
          <w:sz w:val="32"/>
          <w:szCs w:val="32"/>
        </w:rPr>
        <w:t>主要病源，引发过敏性鼻炎和支气管哮喘等变态反应症。</w:t>
      </w:r>
    </w:p>
    <w:p w:rsidR="008442FB" w:rsidRDefault="008442FB" w:rsidP="008442FB">
      <w:pPr>
        <w:adjustRightInd w:val="0"/>
        <w:snapToGrid w:val="0"/>
        <w:spacing w:line="580" w:lineRule="exact"/>
        <w:ind w:firstLineChars="200" w:firstLine="640"/>
        <w:rPr>
          <w:rFonts w:eastAsia="仿宋_GB2312"/>
          <w:sz w:val="32"/>
          <w:szCs w:val="32"/>
        </w:rPr>
      </w:pPr>
      <w:r>
        <w:rPr>
          <w:rFonts w:eastAsia="仿宋_GB2312"/>
          <w:sz w:val="32"/>
          <w:szCs w:val="32"/>
        </w:rPr>
        <w:t>（三）发生生境。喜湿怕旱，常分布于荒地、路边、水沟旁、田块周围或农田中。</w:t>
      </w:r>
    </w:p>
    <w:p w:rsidR="008442FB" w:rsidRPr="00675F7B" w:rsidRDefault="008442FB" w:rsidP="008442FB">
      <w:pPr>
        <w:adjustRightInd w:val="0"/>
        <w:snapToGrid w:val="0"/>
        <w:spacing w:line="580" w:lineRule="exact"/>
        <w:ind w:firstLineChars="200" w:firstLine="640"/>
        <w:rPr>
          <w:rFonts w:ascii="黑体" w:eastAsia="黑体" w:hAnsi="黑体"/>
          <w:sz w:val="32"/>
          <w:szCs w:val="32"/>
        </w:rPr>
      </w:pPr>
      <w:r w:rsidRPr="00675F7B">
        <w:rPr>
          <w:rFonts w:ascii="黑体" w:eastAsia="黑体" w:hAnsi="黑体" w:hint="eastAsia"/>
          <w:sz w:val="32"/>
          <w:szCs w:val="32"/>
        </w:rPr>
        <w:t>二</w:t>
      </w:r>
      <w:r w:rsidRPr="00675F7B">
        <w:rPr>
          <w:rFonts w:ascii="黑体" w:eastAsia="黑体" w:hAnsi="黑体"/>
          <w:sz w:val="32"/>
          <w:szCs w:val="32"/>
        </w:rPr>
        <w:t>、防控策略</w:t>
      </w:r>
    </w:p>
    <w:p w:rsidR="008442FB" w:rsidRDefault="008442FB" w:rsidP="008442FB">
      <w:pPr>
        <w:adjustRightInd w:val="0"/>
        <w:snapToGrid w:val="0"/>
        <w:spacing w:line="580" w:lineRule="exact"/>
        <w:ind w:firstLineChars="200" w:firstLine="640"/>
        <w:rPr>
          <w:rFonts w:eastAsia="仿宋_GB2312"/>
          <w:sz w:val="32"/>
          <w:szCs w:val="32"/>
        </w:rPr>
      </w:pPr>
      <w:r>
        <w:rPr>
          <w:rFonts w:eastAsia="仿宋_GB2312"/>
          <w:sz w:val="32"/>
          <w:szCs w:val="32"/>
        </w:rPr>
        <w:t>在摸清本地豚草发生和危害现状的基础上，根据发生生境和危害程度，在适当的物候期，因地制宜，开展针对性的监测预警</w:t>
      </w:r>
      <w:r>
        <w:rPr>
          <w:rFonts w:eastAsia="仿宋_GB2312"/>
          <w:sz w:val="32"/>
          <w:szCs w:val="32"/>
        </w:rPr>
        <w:lastRenderedPageBreak/>
        <w:t>和治理。在连片的重点发生区域，强化发生情况监测，及时采取物理、化学、生物防治等减灾降害处理；在零星发生的扩散前沿区域和新入侵的前哨点，加强监测和预警，及时采用物理、化学等方法进行防除。豚草的最适宜防治时期为营养生长期。</w:t>
      </w:r>
    </w:p>
    <w:p w:rsidR="008442FB" w:rsidRDefault="008442FB" w:rsidP="008442FB">
      <w:pPr>
        <w:adjustRightInd w:val="0"/>
        <w:snapToGrid w:val="0"/>
        <w:jc w:val="center"/>
        <w:rPr>
          <w:rFonts w:eastAsia="仿宋_GB2312"/>
          <w:sz w:val="32"/>
          <w:szCs w:val="32"/>
        </w:rPr>
      </w:pPr>
      <w:r>
        <w:rPr>
          <w:rFonts w:eastAsia="仿宋_GB2312"/>
          <w:noProof/>
          <w:sz w:val="32"/>
          <w:szCs w:val="32"/>
        </w:rPr>
        <w:drawing>
          <wp:inline distT="0" distB="0" distL="0" distR="0">
            <wp:extent cx="4893667" cy="5943600"/>
            <wp:effectExtent l="19050" t="0" r="2183" b="0"/>
            <wp:docPr id="17" name="图片 17" descr="http://www.reea.agri.cn/stzybh/202307/W020230707616439209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www.reea.agri.cn/stzybh/202307/W020230707616439209546.png"/>
                    <pic:cNvPicPr>
                      <a:picLocks noChangeAspect="1" noChangeArrowheads="1"/>
                    </pic:cNvPicPr>
                  </pic:nvPicPr>
                  <pic:blipFill>
                    <a:blip r:embed="rId6"/>
                    <a:srcRect/>
                    <a:stretch>
                      <a:fillRect/>
                    </a:stretch>
                  </pic:blipFill>
                  <pic:spPr>
                    <a:xfrm>
                      <a:off x="0" y="0"/>
                      <a:ext cx="4895529" cy="5945862"/>
                    </a:xfrm>
                    <a:prstGeom prst="rect">
                      <a:avLst/>
                    </a:prstGeom>
                    <a:noFill/>
                    <a:ln w="9525">
                      <a:noFill/>
                      <a:miter lim="800000"/>
                      <a:headEnd/>
                      <a:tailEnd/>
                    </a:ln>
                  </pic:spPr>
                </pic:pic>
              </a:graphicData>
            </a:graphic>
          </wp:inline>
        </w:drawing>
      </w:r>
    </w:p>
    <w:p w:rsidR="008442FB" w:rsidRDefault="008442FB" w:rsidP="008442FB">
      <w:pPr>
        <w:adjustRightInd w:val="0"/>
        <w:snapToGrid w:val="0"/>
        <w:spacing w:line="580" w:lineRule="exact"/>
        <w:jc w:val="center"/>
        <w:rPr>
          <w:rFonts w:eastAsia="仿宋_GB2312"/>
          <w:sz w:val="32"/>
          <w:szCs w:val="32"/>
        </w:rPr>
      </w:pPr>
      <w:r>
        <w:rPr>
          <w:rFonts w:eastAsia="仿宋_GB2312"/>
          <w:sz w:val="32"/>
          <w:szCs w:val="32"/>
        </w:rPr>
        <w:t>豚草主要生物学特征</w:t>
      </w:r>
    </w:p>
    <w:p w:rsidR="008442FB" w:rsidRDefault="008442FB" w:rsidP="008442FB">
      <w:pPr>
        <w:adjustRightInd w:val="0"/>
        <w:snapToGrid w:val="0"/>
        <w:spacing w:line="580" w:lineRule="exact"/>
        <w:jc w:val="center"/>
        <w:rPr>
          <w:rFonts w:eastAsia="仿宋_GB2312"/>
          <w:sz w:val="32"/>
          <w:szCs w:val="32"/>
        </w:rPr>
      </w:pPr>
      <w:r>
        <w:rPr>
          <w:rFonts w:eastAsia="仿宋_GB2312"/>
          <w:sz w:val="32"/>
          <w:szCs w:val="32"/>
        </w:rPr>
        <w:t>a,</w:t>
      </w:r>
      <w:r>
        <w:rPr>
          <w:rFonts w:eastAsia="仿宋_GB2312"/>
          <w:sz w:val="32"/>
          <w:szCs w:val="32"/>
        </w:rPr>
        <w:t>景观、</w:t>
      </w:r>
      <w:r>
        <w:rPr>
          <w:rFonts w:eastAsia="仿宋_GB2312"/>
          <w:sz w:val="32"/>
          <w:szCs w:val="32"/>
        </w:rPr>
        <w:t>b,</w:t>
      </w:r>
      <w:r>
        <w:rPr>
          <w:rFonts w:eastAsia="仿宋_GB2312"/>
          <w:sz w:val="32"/>
          <w:szCs w:val="32"/>
        </w:rPr>
        <w:t>单株、</w:t>
      </w:r>
      <w:r>
        <w:rPr>
          <w:rFonts w:eastAsia="仿宋_GB2312"/>
          <w:sz w:val="32"/>
          <w:szCs w:val="32"/>
        </w:rPr>
        <w:t>c,</w:t>
      </w:r>
      <w:r>
        <w:rPr>
          <w:rFonts w:eastAsia="仿宋_GB2312"/>
          <w:sz w:val="32"/>
          <w:szCs w:val="32"/>
        </w:rPr>
        <w:t>幼苗、</w:t>
      </w:r>
      <w:r>
        <w:rPr>
          <w:rFonts w:eastAsia="仿宋_GB2312"/>
          <w:sz w:val="32"/>
          <w:szCs w:val="32"/>
        </w:rPr>
        <w:t>d,</w:t>
      </w:r>
      <w:r>
        <w:rPr>
          <w:rFonts w:eastAsia="仿宋_GB2312"/>
          <w:sz w:val="32"/>
          <w:szCs w:val="32"/>
        </w:rPr>
        <w:t>叶、</w:t>
      </w:r>
      <w:r>
        <w:rPr>
          <w:rFonts w:eastAsia="仿宋_GB2312"/>
          <w:sz w:val="32"/>
          <w:szCs w:val="32"/>
        </w:rPr>
        <w:t>e,</w:t>
      </w:r>
      <w:r>
        <w:rPr>
          <w:rFonts w:eastAsia="仿宋_GB2312"/>
          <w:sz w:val="32"/>
          <w:szCs w:val="32"/>
        </w:rPr>
        <w:t>花、</w:t>
      </w:r>
      <w:r>
        <w:rPr>
          <w:rFonts w:eastAsia="仿宋_GB2312"/>
          <w:sz w:val="32"/>
          <w:szCs w:val="32"/>
        </w:rPr>
        <w:t>f,</w:t>
      </w:r>
      <w:r>
        <w:rPr>
          <w:rFonts w:eastAsia="仿宋_GB2312"/>
          <w:sz w:val="32"/>
          <w:szCs w:val="32"/>
        </w:rPr>
        <w:t>果实</w:t>
      </w:r>
    </w:p>
    <w:p w:rsidR="008442FB" w:rsidRDefault="008442FB" w:rsidP="008442FB">
      <w:pPr>
        <w:adjustRightInd w:val="0"/>
        <w:snapToGrid w:val="0"/>
        <w:spacing w:line="580" w:lineRule="exact"/>
        <w:rPr>
          <w:rFonts w:ascii="黑体" w:eastAsia="黑体" w:hAnsi="黑体"/>
          <w:sz w:val="32"/>
          <w:szCs w:val="32"/>
        </w:rPr>
      </w:pPr>
      <w:r>
        <w:rPr>
          <w:rFonts w:ascii="黑体" w:eastAsia="黑体" w:hAnsi="黑体"/>
          <w:sz w:val="32"/>
          <w:szCs w:val="32"/>
        </w:rPr>
        <w:lastRenderedPageBreak/>
        <w:t xml:space="preserve">　　三、防控措施</w:t>
      </w:r>
    </w:p>
    <w:p w:rsidR="008442FB" w:rsidRDefault="008442FB" w:rsidP="008442FB">
      <w:pPr>
        <w:adjustRightInd w:val="0"/>
        <w:snapToGrid w:val="0"/>
        <w:spacing w:line="580" w:lineRule="exact"/>
        <w:rPr>
          <w:rFonts w:eastAsia="仿宋_GB2312"/>
          <w:sz w:val="32"/>
          <w:szCs w:val="32"/>
        </w:rPr>
      </w:pPr>
      <w:r>
        <w:rPr>
          <w:rFonts w:eastAsia="仿宋_GB2312"/>
          <w:sz w:val="32"/>
          <w:szCs w:val="32"/>
        </w:rPr>
        <w:t xml:space="preserve">　　（一）监测预警</w:t>
      </w:r>
    </w:p>
    <w:p w:rsidR="008442FB" w:rsidRDefault="008442FB" w:rsidP="008442FB">
      <w:pPr>
        <w:adjustRightInd w:val="0"/>
        <w:snapToGrid w:val="0"/>
        <w:spacing w:line="580" w:lineRule="exact"/>
        <w:rPr>
          <w:rFonts w:eastAsia="仿宋_GB2312"/>
          <w:sz w:val="32"/>
          <w:szCs w:val="32"/>
        </w:rPr>
      </w:pPr>
      <w:r>
        <w:rPr>
          <w:rFonts w:eastAsia="仿宋_GB2312"/>
          <w:sz w:val="32"/>
          <w:szCs w:val="32"/>
        </w:rPr>
        <w:t xml:space="preserve">　　在营养生长期尤其是花果期定期开展监测调查，查明豚草在扩散前沿带、前哨点和潜在入侵地的发生动态，绘制高精度分布图，一旦发现新的入侵要及早根除。</w:t>
      </w:r>
    </w:p>
    <w:p w:rsidR="008442FB" w:rsidRDefault="008442FB" w:rsidP="008442FB">
      <w:pPr>
        <w:adjustRightInd w:val="0"/>
        <w:snapToGrid w:val="0"/>
        <w:spacing w:line="580" w:lineRule="exact"/>
        <w:rPr>
          <w:rFonts w:eastAsia="仿宋_GB2312"/>
          <w:sz w:val="32"/>
          <w:szCs w:val="32"/>
        </w:rPr>
      </w:pPr>
      <w:r>
        <w:rPr>
          <w:rFonts w:eastAsia="仿宋_GB2312"/>
          <w:sz w:val="32"/>
          <w:szCs w:val="32"/>
        </w:rPr>
        <w:t xml:space="preserve">　　（二）人工拔除和机械防除</w:t>
      </w:r>
    </w:p>
    <w:p w:rsidR="008442FB" w:rsidRDefault="008442FB" w:rsidP="008442FB">
      <w:pPr>
        <w:adjustRightInd w:val="0"/>
        <w:snapToGrid w:val="0"/>
        <w:spacing w:line="580" w:lineRule="exact"/>
        <w:rPr>
          <w:rFonts w:eastAsia="仿宋_GB2312"/>
          <w:sz w:val="32"/>
          <w:szCs w:val="32"/>
        </w:rPr>
      </w:pPr>
      <w:r>
        <w:rPr>
          <w:rFonts w:eastAsia="仿宋_GB2312"/>
          <w:sz w:val="32"/>
          <w:szCs w:val="32"/>
        </w:rPr>
        <w:t xml:space="preserve">　　在豚草的零星发生区。主要采用人工拔除的方法进行防治，防治后要进行持续监测，如果发现还有发生，要持续进行拔除，也可辅助使用除草剂提升防效，直至</w:t>
      </w:r>
      <w:r>
        <w:rPr>
          <w:rFonts w:eastAsia="仿宋_GB2312"/>
          <w:sz w:val="32"/>
          <w:szCs w:val="32"/>
        </w:rPr>
        <w:t>3</w:t>
      </w:r>
      <w:r>
        <w:rPr>
          <w:rFonts w:eastAsia="仿宋_GB2312"/>
          <w:sz w:val="32"/>
          <w:szCs w:val="32"/>
        </w:rPr>
        <w:t>年内不再发现为止。</w:t>
      </w:r>
    </w:p>
    <w:p w:rsidR="008442FB" w:rsidRDefault="008442FB" w:rsidP="008442FB">
      <w:pPr>
        <w:adjustRightInd w:val="0"/>
        <w:snapToGrid w:val="0"/>
        <w:spacing w:line="580" w:lineRule="exact"/>
        <w:rPr>
          <w:rFonts w:eastAsia="仿宋_GB2312"/>
          <w:sz w:val="32"/>
          <w:szCs w:val="32"/>
        </w:rPr>
      </w:pPr>
      <w:r>
        <w:rPr>
          <w:rFonts w:eastAsia="仿宋_GB2312"/>
          <w:sz w:val="32"/>
          <w:szCs w:val="32"/>
        </w:rPr>
        <w:t xml:space="preserve">　　在豚草的连片发生区。春夏季营养生长期（开花前）可采用机械防除、化学防治等方法进行防除；在秋冬季结籽期，主要采用人工或机械拔除方式进行防除，以防止新产生的种子进入土壤成为新的入侵源，尤其是要对拔除后的带有种子的地上部分进行严格的处理确保种子不会进入土壤成为新的入侵源与再次扩散。</w:t>
      </w:r>
    </w:p>
    <w:p w:rsidR="008442FB" w:rsidRDefault="008442FB" w:rsidP="008442FB">
      <w:pPr>
        <w:adjustRightInd w:val="0"/>
        <w:snapToGrid w:val="0"/>
        <w:spacing w:line="580" w:lineRule="exact"/>
        <w:rPr>
          <w:rFonts w:eastAsia="仿宋_GB2312"/>
          <w:sz w:val="32"/>
          <w:szCs w:val="32"/>
        </w:rPr>
      </w:pPr>
      <w:r>
        <w:rPr>
          <w:rFonts w:eastAsia="仿宋_GB2312"/>
          <w:sz w:val="32"/>
          <w:szCs w:val="32"/>
        </w:rPr>
        <w:t xml:space="preserve">　　（</w:t>
      </w:r>
      <w:r>
        <w:rPr>
          <w:rFonts w:eastAsia="仿宋_GB2312"/>
          <w:sz w:val="32"/>
          <w:szCs w:val="32"/>
        </w:rPr>
        <w:t>1</w:t>
      </w:r>
      <w:r>
        <w:rPr>
          <w:rFonts w:eastAsia="仿宋_GB2312"/>
          <w:sz w:val="32"/>
          <w:szCs w:val="32"/>
        </w:rPr>
        <w:t>）机械防除豚草的最佳时间节点。一是在豚草幼苗长到</w:t>
      </w:r>
      <w:r>
        <w:rPr>
          <w:rFonts w:eastAsia="仿宋_GB2312"/>
          <w:sz w:val="32"/>
          <w:szCs w:val="32"/>
        </w:rPr>
        <w:t>10~15cm</w:t>
      </w:r>
      <w:r>
        <w:rPr>
          <w:rFonts w:eastAsia="仿宋_GB2312"/>
          <w:sz w:val="32"/>
          <w:szCs w:val="32"/>
        </w:rPr>
        <w:t>左右（新疆伊犁大概为</w:t>
      </w:r>
      <w:r>
        <w:rPr>
          <w:rFonts w:eastAsia="仿宋_GB2312"/>
          <w:sz w:val="32"/>
          <w:szCs w:val="32"/>
        </w:rPr>
        <w:t>5</w:t>
      </w:r>
      <w:r>
        <w:rPr>
          <w:rFonts w:eastAsia="仿宋_GB2312"/>
          <w:sz w:val="32"/>
          <w:szCs w:val="32"/>
        </w:rPr>
        <w:t>月上、中旬），二是在植株花期和结实初期（在新疆伊犁大概为</w:t>
      </w:r>
      <w:r>
        <w:rPr>
          <w:rFonts w:eastAsia="仿宋_GB2312"/>
          <w:sz w:val="32"/>
          <w:szCs w:val="32"/>
        </w:rPr>
        <w:t>8</w:t>
      </w:r>
      <w:r>
        <w:rPr>
          <w:rFonts w:eastAsia="仿宋_GB2312"/>
          <w:sz w:val="32"/>
          <w:szCs w:val="32"/>
        </w:rPr>
        <w:t>月中、下旬）。</w:t>
      </w:r>
    </w:p>
    <w:p w:rsidR="008442FB" w:rsidRDefault="008442FB" w:rsidP="008442FB">
      <w:pPr>
        <w:adjustRightInd w:val="0"/>
        <w:snapToGrid w:val="0"/>
        <w:spacing w:line="580" w:lineRule="exact"/>
        <w:rPr>
          <w:rFonts w:eastAsia="仿宋_GB2312"/>
          <w:sz w:val="32"/>
          <w:szCs w:val="32"/>
        </w:rPr>
      </w:pPr>
      <w:r>
        <w:rPr>
          <w:rFonts w:eastAsia="仿宋_GB2312"/>
          <w:sz w:val="32"/>
          <w:szCs w:val="32"/>
        </w:rPr>
        <w:t xml:space="preserve">　　（</w:t>
      </w:r>
      <w:r>
        <w:rPr>
          <w:rFonts w:eastAsia="仿宋_GB2312"/>
          <w:sz w:val="32"/>
          <w:szCs w:val="32"/>
        </w:rPr>
        <w:t>2</w:t>
      </w:r>
      <w:r>
        <w:rPr>
          <w:rFonts w:eastAsia="仿宋_GB2312"/>
          <w:sz w:val="32"/>
          <w:szCs w:val="32"/>
        </w:rPr>
        <w:t>）机械防除豚草的割除位置。幼苗割除高度为离地面</w:t>
      </w:r>
      <w:r>
        <w:rPr>
          <w:rFonts w:eastAsia="仿宋_GB2312"/>
          <w:sz w:val="32"/>
          <w:szCs w:val="32"/>
        </w:rPr>
        <w:t>0~5cm</w:t>
      </w:r>
      <w:r>
        <w:rPr>
          <w:rFonts w:eastAsia="仿宋_GB2312"/>
          <w:sz w:val="32"/>
          <w:szCs w:val="32"/>
        </w:rPr>
        <w:t>，花期和种子结实初期的割除高度为离地面</w:t>
      </w:r>
      <w:r>
        <w:rPr>
          <w:rFonts w:eastAsia="仿宋_GB2312"/>
          <w:sz w:val="32"/>
          <w:szCs w:val="32"/>
        </w:rPr>
        <w:t>0~5cm</w:t>
      </w:r>
      <w:r>
        <w:rPr>
          <w:rFonts w:eastAsia="仿宋_GB2312"/>
          <w:sz w:val="32"/>
          <w:szCs w:val="32"/>
        </w:rPr>
        <w:t>以内，越低越好。</w:t>
      </w:r>
    </w:p>
    <w:p w:rsidR="008442FB" w:rsidRDefault="008442FB" w:rsidP="008442FB">
      <w:pPr>
        <w:adjustRightInd w:val="0"/>
        <w:snapToGrid w:val="0"/>
        <w:spacing w:line="580" w:lineRule="exact"/>
        <w:rPr>
          <w:rFonts w:eastAsia="仿宋_GB2312"/>
          <w:sz w:val="32"/>
          <w:szCs w:val="32"/>
        </w:rPr>
      </w:pPr>
      <w:r>
        <w:rPr>
          <w:rFonts w:eastAsia="仿宋_GB2312"/>
          <w:sz w:val="32"/>
          <w:szCs w:val="32"/>
        </w:rPr>
        <w:t xml:space="preserve">　　（二）化学防治</w:t>
      </w:r>
    </w:p>
    <w:p w:rsidR="008442FB" w:rsidRDefault="008442FB" w:rsidP="008442FB">
      <w:pPr>
        <w:adjustRightInd w:val="0"/>
        <w:snapToGrid w:val="0"/>
        <w:spacing w:line="580" w:lineRule="exact"/>
        <w:rPr>
          <w:rFonts w:eastAsia="仿宋_GB2312"/>
          <w:sz w:val="32"/>
          <w:szCs w:val="32"/>
        </w:rPr>
      </w:pPr>
      <w:r>
        <w:rPr>
          <w:rFonts w:eastAsia="仿宋_GB2312"/>
          <w:sz w:val="32"/>
          <w:szCs w:val="32"/>
        </w:rPr>
        <w:t xml:space="preserve">　　在豚草的苗期和花期可采化学防治方法进行防除。化学防除时应根据生境和除草剂作用机理等特点，科学地选用除草剂种类</w:t>
      </w:r>
      <w:r>
        <w:rPr>
          <w:rFonts w:eastAsia="仿宋_GB2312"/>
          <w:sz w:val="32"/>
          <w:szCs w:val="32"/>
        </w:rPr>
        <w:lastRenderedPageBreak/>
        <w:t>和喷施方法。在豚草的营养生长期（即苗期后至开花前），每亩可使用</w:t>
      </w:r>
      <w:r>
        <w:rPr>
          <w:rFonts w:eastAsia="仿宋_GB2312"/>
          <w:sz w:val="32"/>
          <w:szCs w:val="32"/>
        </w:rPr>
        <w:t>21%</w:t>
      </w:r>
      <w:r>
        <w:rPr>
          <w:rFonts w:eastAsia="仿宋_GB2312"/>
          <w:sz w:val="32"/>
          <w:szCs w:val="32"/>
        </w:rPr>
        <w:t>氯氨吡啶酸水剂</w:t>
      </w:r>
      <w:r>
        <w:rPr>
          <w:rFonts w:eastAsia="仿宋_GB2312"/>
          <w:sz w:val="32"/>
          <w:szCs w:val="32"/>
        </w:rPr>
        <w:t>10mL~25mL</w:t>
      </w:r>
      <w:r>
        <w:rPr>
          <w:rFonts w:eastAsia="仿宋_GB2312"/>
          <w:sz w:val="32"/>
          <w:szCs w:val="32"/>
        </w:rPr>
        <w:t>，根据苗龄从小到大，用药量由低限到高限；人工或无人机喷雾；用水量按照说明书规定。此外，还可以选择草甘膦、氯氟吡氧乙酸、</w:t>
      </w:r>
      <w:r>
        <w:rPr>
          <w:rFonts w:eastAsia="仿宋_GB2312"/>
          <w:sz w:val="32"/>
          <w:szCs w:val="32"/>
        </w:rPr>
        <w:t>2</w:t>
      </w:r>
      <w:r>
        <w:rPr>
          <w:rFonts w:eastAsia="仿宋_GB2312"/>
          <w:sz w:val="32"/>
          <w:szCs w:val="32"/>
        </w:rPr>
        <w:t>甲</w:t>
      </w:r>
      <w:r>
        <w:rPr>
          <w:rFonts w:eastAsia="仿宋_GB2312"/>
          <w:sz w:val="32"/>
          <w:szCs w:val="32"/>
        </w:rPr>
        <w:t>4</w:t>
      </w:r>
      <w:r>
        <w:rPr>
          <w:rFonts w:eastAsia="仿宋_GB2312"/>
          <w:sz w:val="32"/>
          <w:szCs w:val="32"/>
        </w:rPr>
        <w:t>氯、麦草畏、咪唑烟酸、甲嘧磺隆等除草剂，参考除草剂标签推荐剂量及其使用方法，在营养生长期施药。</w:t>
      </w:r>
    </w:p>
    <w:p w:rsidR="008442FB" w:rsidRDefault="008442FB" w:rsidP="008442FB">
      <w:pPr>
        <w:adjustRightInd w:val="0"/>
        <w:snapToGrid w:val="0"/>
        <w:spacing w:line="580" w:lineRule="exact"/>
        <w:rPr>
          <w:rFonts w:eastAsia="仿宋_GB2312"/>
          <w:sz w:val="32"/>
          <w:szCs w:val="32"/>
        </w:rPr>
      </w:pPr>
      <w:r>
        <w:rPr>
          <w:rFonts w:eastAsia="仿宋_GB2312"/>
          <w:sz w:val="32"/>
          <w:szCs w:val="32"/>
        </w:rPr>
        <w:t xml:space="preserve">　　喷雾时要选择静风，避免喷施的药剂飘移到邻近敏感植物上。在河沟边或农田边喷施化学除草剂时，要避免药剂随雨水进入农田而造成药害。施药区应插上明显的警示牌，避免造成人、畜中毒或其他意外。</w:t>
      </w:r>
    </w:p>
    <w:p w:rsidR="008442FB" w:rsidRDefault="008442FB" w:rsidP="008442FB">
      <w:pPr>
        <w:adjustRightInd w:val="0"/>
        <w:snapToGrid w:val="0"/>
        <w:spacing w:line="580" w:lineRule="exact"/>
        <w:rPr>
          <w:rFonts w:eastAsia="仿宋_GB2312"/>
          <w:sz w:val="32"/>
          <w:szCs w:val="32"/>
        </w:rPr>
      </w:pPr>
      <w:r>
        <w:rPr>
          <w:rFonts w:eastAsia="仿宋_GB2312"/>
          <w:sz w:val="32"/>
          <w:szCs w:val="32"/>
        </w:rPr>
        <w:t xml:space="preserve">　　（三）生物防治</w:t>
      </w:r>
    </w:p>
    <w:p w:rsidR="008442FB" w:rsidRDefault="008442FB" w:rsidP="008442FB">
      <w:pPr>
        <w:adjustRightInd w:val="0"/>
        <w:snapToGrid w:val="0"/>
        <w:spacing w:line="580" w:lineRule="exact"/>
        <w:rPr>
          <w:rFonts w:eastAsia="仿宋_GB2312"/>
          <w:sz w:val="32"/>
          <w:szCs w:val="32"/>
        </w:rPr>
      </w:pPr>
      <w:r>
        <w:rPr>
          <w:rFonts w:eastAsia="仿宋_GB2312"/>
          <w:sz w:val="32"/>
          <w:szCs w:val="32"/>
        </w:rPr>
        <w:t xml:space="preserve">　　天敌防控。在华东、华中、西南等豚草大面积危害区域，可在</w:t>
      </w:r>
      <w:r>
        <w:rPr>
          <w:rFonts w:eastAsia="仿宋_GB2312"/>
          <w:sz w:val="32"/>
          <w:szCs w:val="32"/>
        </w:rPr>
        <w:t>5</w:t>
      </w:r>
      <w:r>
        <w:rPr>
          <w:rFonts w:eastAsia="仿宋_GB2312"/>
          <w:sz w:val="32"/>
          <w:szCs w:val="32"/>
        </w:rPr>
        <w:t>月上中下旬或</w:t>
      </w:r>
      <w:r>
        <w:rPr>
          <w:rFonts w:eastAsia="仿宋_GB2312"/>
          <w:sz w:val="32"/>
          <w:szCs w:val="32"/>
        </w:rPr>
        <w:t>6</w:t>
      </w:r>
      <w:r>
        <w:rPr>
          <w:rFonts w:eastAsia="仿宋_GB2312"/>
          <w:sz w:val="32"/>
          <w:szCs w:val="32"/>
        </w:rPr>
        <w:t>月上中旬天气晴好、无风或微风条件下，按照每百株豚草释放</w:t>
      </w:r>
      <w:r>
        <w:rPr>
          <w:rFonts w:eastAsia="仿宋_GB2312"/>
          <w:sz w:val="32"/>
          <w:szCs w:val="32"/>
        </w:rPr>
        <w:t>1</w:t>
      </w:r>
      <w:r>
        <w:rPr>
          <w:rFonts w:eastAsia="仿宋_GB2312"/>
          <w:sz w:val="32"/>
          <w:szCs w:val="32"/>
        </w:rPr>
        <w:t>头广聚萤叶甲成虫和（或）</w:t>
      </w:r>
      <w:r>
        <w:rPr>
          <w:rFonts w:eastAsia="仿宋_GB2312"/>
          <w:sz w:val="32"/>
          <w:szCs w:val="32"/>
        </w:rPr>
        <w:t>1</w:t>
      </w:r>
      <w:r>
        <w:rPr>
          <w:rFonts w:eastAsia="仿宋_GB2312"/>
          <w:sz w:val="32"/>
          <w:szCs w:val="32"/>
        </w:rPr>
        <w:t>头豚草卷蛾，通过释放的天敌自然取食，有效控制豚草生长。</w:t>
      </w:r>
    </w:p>
    <w:p w:rsidR="008442FB" w:rsidRDefault="008442FB" w:rsidP="008442FB">
      <w:pPr>
        <w:adjustRightInd w:val="0"/>
        <w:snapToGrid w:val="0"/>
        <w:spacing w:line="580" w:lineRule="exact"/>
        <w:rPr>
          <w:rFonts w:eastAsia="仿宋_GB2312"/>
          <w:sz w:val="32"/>
          <w:szCs w:val="32"/>
        </w:rPr>
      </w:pPr>
      <w:r>
        <w:rPr>
          <w:rFonts w:eastAsia="仿宋_GB2312"/>
          <w:sz w:val="32"/>
          <w:szCs w:val="32"/>
        </w:rPr>
        <w:t xml:space="preserve">　　替代控制。可根据豚草发生的生境，选择紫穗槐、沙棘、草地早熟禾等管理粗放、生态经济效益较好的植物进行替代种植，通过地面覆盖、竞争养分等方式控制豚草生长。</w:t>
      </w:r>
    </w:p>
    <w:p w:rsidR="008442FB" w:rsidRDefault="008442FB" w:rsidP="008442FB">
      <w:pPr>
        <w:adjustRightInd w:val="0"/>
        <w:snapToGrid w:val="0"/>
        <w:spacing w:line="580" w:lineRule="exact"/>
        <w:rPr>
          <w:rFonts w:ascii="黑体" w:eastAsia="黑体" w:hAnsi="黑体"/>
          <w:sz w:val="32"/>
          <w:szCs w:val="32"/>
        </w:rPr>
      </w:pPr>
      <w:r>
        <w:rPr>
          <w:rFonts w:ascii="黑体" w:eastAsia="黑体" w:hAnsi="黑体"/>
          <w:sz w:val="32"/>
          <w:szCs w:val="32"/>
        </w:rPr>
        <w:t xml:space="preserve">　　四、加强部门间的协调与科普宣传和培训</w:t>
      </w:r>
    </w:p>
    <w:p w:rsidR="008442FB" w:rsidRDefault="008442FB" w:rsidP="008442FB">
      <w:pPr>
        <w:adjustRightInd w:val="0"/>
        <w:snapToGrid w:val="0"/>
        <w:spacing w:line="580" w:lineRule="exact"/>
        <w:rPr>
          <w:rFonts w:eastAsia="仿宋_GB2312"/>
          <w:sz w:val="32"/>
          <w:szCs w:val="32"/>
        </w:rPr>
      </w:pPr>
      <w:r>
        <w:rPr>
          <w:rFonts w:eastAsia="仿宋_GB2312"/>
          <w:sz w:val="32"/>
          <w:szCs w:val="32"/>
        </w:rPr>
        <w:t xml:space="preserve">　　加强豚草入侵地（如县级行政区）间的联防联控，同一入侵地不同管理部门（如农业、林草、生态环境、水利、交通等）间的协同管理，避免出现管理盲区和遗漏等，提升防控效率。</w:t>
      </w:r>
    </w:p>
    <w:p w:rsidR="00032D18" w:rsidRPr="008442FB" w:rsidRDefault="008442FB" w:rsidP="008442FB">
      <w:pPr>
        <w:adjustRightInd w:val="0"/>
        <w:snapToGrid w:val="0"/>
        <w:spacing w:line="580" w:lineRule="exact"/>
      </w:pPr>
      <w:r>
        <w:rPr>
          <w:rFonts w:eastAsia="仿宋_GB2312"/>
          <w:sz w:val="32"/>
          <w:szCs w:val="32"/>
        </w:rPr>
        <w:lastRenderedPageBreak/>
        <w:t xml:space="preserve">　　充分运用电视广播、网络媒体、宣传图册等媒体开展多种形式科普宣传和培训，普及豚草的识别要点和防控技术，广泛动员社会力量积极加入到豚草的防控队伍中来，全面提升豚草的综合防控效果。</w:t>
      </w:r>
    </w:p>
    <w:sectPr w:rsidR="00032D18" w:rsidRPr="008442FB" w:rsidSect="001E29C4">
      <w:footerReference w:type="default" r:id="rId7"/>
      <w:pgSz w:w="11906" w:h="16838"/>
      <w:pgMar w:top="2041" w:right="1361" w:bottom="141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0A7F" w:rsidRDefault="00320A7F" w:rsidP="001E29C4">
      <w:r>
        <w:separator/>
      </w:r>
    </w:p>
  </w:endnote>
  <w:endnote w:type="continuationSeparator" w:id="1">
    <w:p w:rsidR="00320A7F" w:rsidRDefault="00320A7F" w:rsidP="001E29C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0051"/>
      <w:docPartObj>
        <w:docPartGallery w:val="Page Numbers (Bottom of Page)"/>
        <w:docPartUnique/>
      </w:docPartObj>
    </w:sdtPr>
    <w:sdtEndPr>
      <w:rPr>
        <w:rFonts w:asciiTheme="minorEastAsia" w:eastAsiaTheme="minorEastAsia" w:hAnsiTheme="minorEastAsia"/>
        <w:sz w:val="28"/>
        <w:szCs w:val="28"/>
      </w:rPr>
    </w:sdtEndPr>
    <w:sdtContent>
      <w:p w:rsidR="001E29C4" w:rsidRPr="001E29C4" w:rsidRDefault="001E29C4">
        <w:pPr>
          <w:pStyle w:val="a3"/>
          <w:jc w:val="right"/>
          <w:rPr>
            <w:rFonts w:asciiTheme="minorEastAsia" w:eastAsiaTheme="minorEastAsia" w:hAnsiTheme="minorEastAsia"/>
            <w:sz w:val="28"/>
            <w:szCs w:val="28"/>
          </w:rPr>
        </w:pPr>
        <w:r w:rsidRPr="001E29C4">
          <w:rPr>
            <w:rFonts w:asciiTheme="minorEastAsia" w:eastAsiaTheme="minorEastAsia" w:hAnsiTheme="minorEastAsia" w:hint="eastAsia"/>
            <w:sz w:val="28"/>
            <w:szCs w:val="28"/>
          </w:rPr>
          <w:t xml:space="preserve">— </w:t>
        </w:r>
        <w:r w:rsidR="004302EB" w:rsidRPr="001E29C4">
          <w:rPr>
            <w:rFonts w:asciiTheme="minorEastAsia" w:eastAsiaTheme="minorEastAsia" w:hAnsiTheme="minorEastAsia"/>
            <w:sz w:val="28"/>
            <w:szCs w:val="28"/>
          </w:rPr>
          <w:fldChar w:fldCharType="begin"/>
        </w:r>
        <w:r w:rsidRPr="001E29C4">
          <w:rPr>
            <w:rFonts w:asciiTheme="minorEastAsia" w:eastAsiaTheme="minorEastAsia" w:hAnsiTheme="minorEastAsia"/>
            <w:sz w:val="28"/>
            <w:szCs w:val="28"/>
          </w:rPr>
          <w:instrText xml:space="preserve"> PAGE   \* MERGEFORMAT </w:instrText>
        </w:r>
        <w:r w:rsidR="004302EB" w:rsidRPr="001E29C4">
          <w:rPr>
            <w:rFonts w:asciiTheme="minorEastAsia" w:eastAsiaTheme="minorEastAsia" w:hAnsiTheme="minorEastAsia"/>
            <w:sz w:val="28"/>
            <w:szCs w:val="28"/>
          </w:rPr>
          <w:fldChar w:fldCharType="separate"/>
        </w:r>
        <w:r w:rsidR="008E1CEA" w:rsidRPr="008E1CEA">
          <w:rPr>
            <w:rFonts w:asciiTheme="minorEastAsia" w:eastAsiaTheme="minorEastAsia" w:hAnsiTheme="minorEastAsia"/>
            <w:noProof/>
            <w:sz w:val="28"/>
            <w:szCs w:val="28"/>
            <w:lang w:val="zh-CN"/>
          </w:rPr>
          <w:t>1</w:t>
        </w:r>
        <w:r w:rsidR="004302EB" w:rsidRPr="001E29C4">
          <w:rPr>
            <w:rFonts w:asciiTheme="minorEastAsia" w:eastAsiaTheme="minorEastAsia" w:hAnsiTheme="minorEastAsia"/>
            <w:sz w:val="28"/>
            <w:szCs w:val="28"/>
          </w:rPr>
          <w:fldChar w:fldCharType="end"/>
        </w:r>
        <w:r w:rsidRPr="001E29C4">
          <w:rPr>
            <w:rFonts w:asciiTheme="minorEastAsia" w:eastAsiaTheme="minorEastAsia" w:hAnsiTheme="minorEastAsia" w:hint="eastAsia"/>
            <w:sz w:val="28"/>
            <w:szCs w:val="28"/>
          </w:rPr>
          <w:t xml:space="preserve"> —</w:t>
        </w:r>
      </w:p>
    </w:sdtContent>
  </w:sdt>
  <w:p w:rsidR="001E29C4" w:rsidRDefault="001E29C4">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0A7F" w:rsidRDefault="00320A7F" w:rsidP="001E29C4">
      <w:r>
        <w:separator/>
      </w:r>
    </w:p>
  </w:footnote>
  <w:footnote w:type="continuationSeparator" w:id="1">
    <w:p w:rsidR="00320A7F" w:rsidRDefault="00320A7F" w:rsidP="001E29C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E29C4"/>
    <w:rsid w:val="00032D18"/>
    <w:rsid w:val="001D7983"/>
    <w:rsid w:val="001E29C4"/>
    <w:rsid w:val="00302F7B"/>
    <w:rsid w:val="00320A7F"/>
    <w:rsid w:val="004302EB"/>
    <w:rsid w:val="00537188"/>
    <w:rsid w:val="00767E83"/>
    <w:rsid w:val="00841A51"/>
    <w:rsid w:val="008442FB"/>
    <w:rsid w:val="008E1CEA"/>
    <w:rsid w:val="00B13F42"/>
    <w:rsid w:val="00C253BC"/>
    <w:rsid w:val="00C30C0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2FB"/>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C30C0D"/>
    <w:pPr>
      <w:tabs>
        <w:tab w:val="center" w:pos="4153"/>
        <w:tab w:val="right" w:pos="8306"/>
      </w:tabs>
      <w:snapToGrid w:val="0"/>
      <w:jc w:val="left"/>
    </w:pPr>
    <w:rPr>
      <w:sz w:val="18"/>
      <w:szCs w:val="18"/>
    </w:rPr>
  </w:style>
  <w:style w:type="character" w:customStyle="1" w:styleId="Char">
    <w:name w:val="页脚 Char"/>
    <w:basedOn w:val="a0"/>
    <w:link w:val="a3"/>
    <w:uiPriority w:val="99"/>
    <w:rsid w:val="00C30C0D"/>
    <w:rPr>
      <w:rFonts w:ascii="Times New Roman" w:eastAsia="宋体" w:hAnsi="Times New Roman" w:cs="Times New Roman"/>
      <w:sz w:val="18"/>
      <w:szCs w:val="18"/>
    </w:rPr>
  </w:style>
  <w:style w:type="paragraph" w:styleId="a4">
    <w:name w:val="Balloon Text"/>
    <w:basedOn w:val="a"/>
    <w:link w:val="Char0"/>
    <w:uiPriority w:val="99"/>
    <w:semiHidden/>
    <w:unhideWhenUsed/>
    <w:rsid w:val="001E29C4"/>
    <w:rPr>
      <w:sz w:val="18"/>
      <w:szCs w:val="18"/>
    </w:rPr>
  </w:style>
  <w:style w:type="character" w:customStyle="1" w:styleId="Char0">
    <w:name w:val="批注框文本 Char"/>
    <w:basedOn w:val="a0"/>
    <w:link w:val="a4"/>
    <w:uiPriority w:val="99"/>
    <w:semiHidden/>
    <w:rsid w:val="001E29C4"/>
    <w:rPr>
      <w:rFonts w:ascii="Times New Roman" w:eastAsia="宋体" w:hAnsi="Times New Roman" w:cs="Times New Roman"/>
      <w:sz w:val="18"/>
      <w:szCs w:val="18"/>
    </w:rPr>
  </w:style>
  <w:style w:type="paragraph" w:styleId="a5">
    <w:name w:val="header"/>
    <w:basedOn w:val="a"/>
    <w:link w:val="Char1"/>
    <w:uiPriority w:val="99"/>
    <w:semiHidden/>
    <w:unhideWhenUsed/>
    <w:rsid w:val="001E29C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rsid w:val="001E29C4"/>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361</Words>
  <Characters>2062</Characters>
  <Application>Microsoft Office Word</Application>
  <DocSecurity>0</DocSecurity>
  <Lines>17</Lines>
  <Paragraphs>4</Paragraphs>
  <ScaleCrop>false</ScaleCrop>
  <Company/>
  <LinksUpToDate>false</LinksUpToDate>
  <CharactersWithSpaces>2419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3</cp:revision>
  <cp:lastPrinted>2024-09-29T02:02:00Z</cp:lastPrinted>
  <dcterms:created xsi:type="dcterms:W3CDTF">2024-09-29T02:26:00Z</dcterms:created>
  <dcterms:modified xsi:type="dcterms:W3CDTF">2024-09-29T02:35:00Z</dcterms:modified>
</cp:coreProperties>
</file>