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F7B" w:rsidRDefault="00771E33" w:rsidP="00302F7B">
      <w:pPr>
        <w:adjustRightInd w:val="0"/>
        <w:snapToGrid w:val="0"/>
        <w:spacing w:line="640" w:lineRule="exact"/>
        <w:jc w:val="center"/>
        <w:rPr>
          <w:rFonts w:ascii="方正小标宋_GBK" w:eastAsia="方正小标宋_GBK"/>
          <w:sz w:val="44"/>
          <w:szCs w:val="32"/>
        </w:rPr>
      </w:pPr>
      <w:r>
        <w:rPr>
          <w:rFonts w:ascii="方正小标宋_GBK" w:eastAsia="方正小标宋_GBK" w:hint="eastAsia"/>
          <w:sz w:val="44"/>
          <w:szCs w:val="44"/>
        </w:rPr>
        <w:t>外来入侵物种</w:t>
      </w:r>
      <w:r w:rsidR="00302F7B">
        <w:rPr>
          <w:rFonts w:ascii="方正小标宋_GBK" w:eastAsia="方正小标宋_GBK" w:hint="eastAsia"/>
          <w:sz w:val="44"/>
          <w:szCs w:val="32"/>
        </w:rPr>
        <w:t>黄花刺茄防控技术指导意见</w:t>
      </w:r>
    </w:p>
    <w:p w:rsidR="00302F7B" w:rsidRDefault="00302F7B" w:rsidP="00302F7B">
      <w:pPr>
        <w:adjustRightInd w:val="0"/>
        <w:snapToGrid w:val="0"/>
        <w:spacing w:line="580" w:lineRule="exact"/>
        <w:rPr>
          <w:rFonts w:eastAsia="仿宋_GB2312" w:hint="eastAsia"/>
          <w:sz w:val="32"/>
          <w:szCs w:val="32"/>
        </w:rPr>
      </w:pPr>
    </w:p>
    <w:p w:rsidR="00291EAA" w:rsidRDefault="00291EAA" w:rsidP="00291EAA">
      <w:pPr>
        <w:adjustRightInd w:val="0"/>
        <w:snapToGrid w:val="0"/>
        <w:spacing w:line="580" w:lineRule="exact"/>
        <w:jc w:val="center"/>
        <w:rPr>
          <w:rFonts w:eastAsia="仿宋_GB2312"/>
          <w:sz w:val="32"/>
          <w:szCs w:val="32"/>
        </w:rPr>
      </w:pPr>
      <w:r w:rsidRPr="00482FEE">
        <w:rPr>
          <w:rFonts w:eastAsia="仿宋_GB2312" w:hint="eastAsia"/>
          <w:sz w:val="32"/>
          <w:szCs w:val="32"/>
        </w:rPr>
        <w:t>来源：农业农村部农业生态总站</w:t>
      </w:r>
    </w:p>
    <w:p w:rsidR="00291EAA" w:rsidRPr="00291EAA" w:rsidRDefault="00291EAA" w:rsidP="00302F7B">
      <w:pPr>
        <w:adjustRightInd w:val="0"/>
        <w:snapToGrid w:val="0"/>
        <w:spacing w:line="580" w:lineRule="exact"/>
        <w:rPr>
          <w:rFonts w:eastAsia="仿宋_GB2312"/>
          <w:sz w:val="32"/>
          <w:szCs w:val="32"/>
        </w:rPr>
      </w:pP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黄花刺茄（</w:t>
      </w:r>
      <w:r>
        <w:rPr>
          <w:rFonts w:eastAsia="仿宋_GB2312"/>
          <w:sz w:val="32"/>
          <w:szCs w:val="32"/>
        </w:rPr>
        <w:t>Solanum rostratum Dunal</w:t>
      </w:r>
      <w:r>
        <w:rPr>
          <w:rFonts w:eastAsia="仿宋_GB2312"/>
          <w:sz w:val="32"/>
          <w:szCs w:val="32"/>
        </w:rPr>
        <w:t>）隶属于茄科（</w:t>
      </w:r>
      <w:r>
        <w:rPr>
          <w:rFonts w:eastAsia="仿宋_GB2312"/>
          <w:sz w:val="32"/>
          <w:szCs w:val="32"/>
        </w:rPr>
        <w:t>Solanaceae</w:t>
      </w:r>
      <w:r>
        <w:rPr>
          <w:rFonts w:eastAsia="仿宋_GB2312"/>
          <w:sz w:val="32"/>
          <w:szCs w:val="32"/>
        </w:rPr>
        <w:t>）茄属（</w:t>
      </w:r>
      <w:r>
        <w:rPr>
          <w:rFonts w:eastAsia="仿宋_GB2312"/>
          <w:sz w:val="32"/>
          <w:szCs w:val="32"/>
        </w:rPr>
        <w:t>Solanum</w:t>
      </w:r>
      <w:r>
        <w:rPr>
          <w:rFonts w:eastAsia="仿宋_GB2312"/>
          <w:sz w:val="32"/>
          <w:szCs w:val="32"/>
        </w:rPr>
        <w:t>），又名刺萼龙葵。黄花刺茄原产于墨西哥及美国西部，最早于</w:t>
      </w:r>
      <w:r>
        <w:rPr>
          <w:rFonts w:eastAsia="仿宋_GB2312"/>
          <w:sz w:val="32"/>
          <w:szCs w:val="32"/>
        </w:rPr>
        <w:t>20</w:t>
      </w:r>
      <w:r>
        <w:rPr>
          <w:rFonts w:eastAsia="仿宋_GB2312"/>
          <w:sz w:val="32"/>
          <w:szCs w:val="32"/>
        </w:rPr>
        <w:t>世纪</w:t>
      </w:r>
      <w:r>
        <w:rPr>
          <w:rFonts w:eastAsia="仿宋_GB2312"/>
          <w:sz w:val="32"/>
          <w:szCs w:val="32"/>
        </w:rPr>
        <w:t>80</w:t>
      </w:r>
      <w:r>
        <w:rPr>
          <w:rFonts w:eastAsia="仿宋_GB2312"/>
          <w:sz w:val="32"/>
          <w:szCs w:val="32"/>
        </w:rPr>
        <w:t>年代入侵我国辽宁省，目前内蒙古、新疆、山西和北京等省份有分布。黄花刺茄常入侵草地和农田，危害牧草和作物，已对我国北方草地和农牧交错带的生态环境和农牧业生产造成严重危害。黄花刺茄已被列入</w:t>
      </w:r>
      <w:r>
        <w:rPr>
          <w:rFonts w:eastAsia="仿宋_GB2312"/>
          <w:sz w:val="32"/>
          <w:szCs w:val="32"/>
        </w:rPr>
        <w:t xml:space="preserve"> 2023 </w:t>
      </w:r>
      <w:r>
        <w:rPr>
          <w:rFonts w:eastAsia="仿宋_GB2312"/>
          <w:sz w:val="32"/>
          <w:szCs w:val="32"/>
        </w:rPr>
        <w:t>年</w:t>
      </w:r>
      <w:r>
        <w:rPr>
          <w:rFonts w:eastAsia="仿宋_GB2312"/>
          <w:sz w:val="32"/>
          <w:szCs w:val="32"/>
        </w:rPr>
        <w:t xml:space="preserve">1 </w:t>
      </w:r>
      <w:r>
        <w:rPr>
          <w:rFonts w:eastAsia="仿宋_GB2312"/>
          <w:sz w:val="32"/>
          <w:szCs w:val="32"/>
        </w:rPr>
        <w:t>月</w:t>
      </w:r>
      <w:r>
        <w:rPr>
          <w:rFonts w:eastAsia="仿宋_GB2312"/>
          <w:sz w:val="32"/>
          <w:szCs w:val="32"/>
        </w:rPr>
        <w:t xml:space="preserve"> 1 </w:t>
      </w:r>
      <w:r>
        <w:rPr>
          <w:rFonts w:eastAsia="仿宋_GB2312"/>
          <w:sz w:val="32"/>
          <w:szCs w:val="32"/>
        </w:rPr>
        <w:t>日正式生效的《重点管理外来入侵物种名录》之中，是我国重点管理的重大农林入侵物种。当前，黄花刺茄还在不断地传入和扩散蔓延，为做好防控工作，制定本防控技术指导意见。</w:t>
      </w:r>
    </w:p>
    <w:p w:rsidR="00302F7B" w:rsidRDefault="00302F7B" w:rsidP="00302F7B">
      <w:pPr>
        <w:adjustRightInd w:val="0"/>
        <w:snapToGrid w:val="0"/>
        <w:spacing w:line="580" w:lineRule="exact"/>
        <w:rPr>
          <w:rFonts w:ascii="黑体" w:eastAsia="黑体" w:hAnsi="黑体"/>
          <w:sz w:val="32"/>
          <w:szCs w:val="32"/>
        </w:rPr>
      </w:pPr>
      <w:r>
        <w:rPr>
          <w:rFonts w:ascii="黑体" w:eastAsia="黑体" w:hAnsi="黑体"/>
          <w:sz w:val="32"/>
          <w:szCs w:val="32"/>
        </w:rPr>
        <w:t xml:space="preserve">　　一、主要特征</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（一）生物特征。一年生草本，基部近木质。株高可达</w:t>
      </w:r>
      <w:r>
        <w:rPr>
          <w:rFonts w:eastAsia="仿宋_GB2312"/>
          <w:sz w:val="32"/>
          <w:szCs w:val="32"/>
        </w:rPr>
        <w:t>80cm</w:t>
      </w:r>
      <w:r>
        <w:rPr>
          <w:rFonts w:eastAsia="仿宋_GB2312"/>
          <w:sz w:val="32"/>
          <w:szCs w:val="32"/>
        </w:rPr>
        <w:t>以上。全株生有密集粗而硬的黄色锥形刺。茎直立，多分枝。叶互生，叶片卵形或椭圆形，长</w:t>
      </w:r>
      <w:r>
        <w:rPr>
          <w:rFonts w:eastAsia="仿宋_GB2312"/>
          <w:sz w:val="32"/>
          <w:szCs w:val="32"/>
        </w:rPr>
        <w:t>5~18cm</w:t>
      </w:r>
      <w:r>
        <w:rPr>
          <w:rFonts w:eastAsia="仿宋_GB2312"/>
          <w:sz w:val="32"/>
          <w:szCs w:val="32"/>
        </w:rPr>
        <w:t>，宽</w:t>
      </w:r>
      <w:r>
        <w:rPr>
          <w:rFonts w:eastAsia="仿宋_GB2312"/>
          <w:sz w:val="32"/>
          <w:szCs w:val="32"/>
        </w:rPr>
        <w:t>4~9cm</w:t>
      </w:r>
      <w:r>
        <w:rPr>
          <w:rFonts w:eastAsia="仿宋_GB2312"/>
          <w:sz w:val="32"/>
          <w:szCs w:val="32"/>
        </w:rPr>
        <w:t>，羽状分裂，裂片不规则，部分裂片又羽状半裂；叶脉和叶柄上均生有黄色刺；叶柄长</w:t>
      </w:r>
      <w:r>
        <w:rPr>
          <w:rFonts w:eastAsia="仿宋_GB2312"/>
          <w:sz w:val="32"/>
          <w:szCs w:val="32"/>
        </w:rPr>
        <w:t xml:space="preserve"> 0.5~5cm</w:t>
      </w:r>
      <w:r>
        <w:rPr>
          <w:rFonts w:eastAsia="仿宋_GB2312"/>
          <w:sz w:val="32"/>
          <w:szCs w:val="32"/>
        </w:rPr>
        <w:t>。蝎尾状聚伞花序腋外生，花期花序轴延伸变成疏散形的总状花序，每个花序具花</w:t>
      </w:r>
      <w:r>
        <w:rPr>
          <w:rFonts w:eastAsia="仿宋_GB2312"/>
          <w:sz w:val="32"/>
          <w:szCs w:val="32"/>
        </w:rPr>
        <w:t xml:space="preserve"> 10~20</w:t>
      </w:r>
      <w:r>
        <w:rPr>
          <w:rFonts w:eastAsia="仿宋_GB2312"/>
          <w:sz w:val="32"/>
          <w:szCs w:val="32"/>
        </w:rPr>
        <w:t>余朵；花萼密生长刺及星状毛；花冠黄色，直径</w:t>
      </w:r>
      <w:r>
        <w:rPr>
          <w:rFonts w:eastAsia="仿宋_GB2312"/>
          <w:sz w:val="32"/>
          <w:szCs w:val="32"/>
        </w:rPr>
        <w:t>2~3.5 cm</w:t>
      </w:r>
      <w:r>
        <w:rPr>
          <w:rFonts w:eastAsia="仿宋_GB2312"/>
          <w:sz w:val="32"/>
          <w:szCs w:val="32"/>
        </w:rPr>
        <w:t>，</w:t>
      </w:r>
      <w:r>
        <w:rPr>
          <w:rFonts w:eastAsia="仿宋_GB2312"/>
          <w:sz w:val="32"/>
          <w:szCs w:val="32"/>
        </w:rPr>
        <w:t>5</w:t>
      </w:r>
      <w:r>
        <w:rPr>
          <w:rFonts w:eastAsia="仿宋_GB2312"/>
          <w:sz w:val="32"/>
          <w:szCs w:val="32"/>
        </w:rPr>
        <w:t>裂，外面密生星状毛；雄蕊</w:t>
      </w:r>
      <w:r>
        <w:rPr>
          <w:rFonts w:eastAsia="仿宋_GB2312"/>
          <w:sz w:val="32"/>
          <w:szCs w:val="32"/>
        </w:rPr>
        <w:t xml:space="preserve"> 5</w:t>
      </w:r>
      <w:r>
        <w:rPr>
          <w:rFonts w:eastAsia="仿宋_GB2312"/>
          <w:sz w:val="32"/>
          <w:szCs w:val="32"/>
        </w:rPr>
        <w:t>，下面</w:t>
      </w:r>
      <w:r>
        <w:rPr>
          <w:rFonts w:eastAsia="仿宋_GB2312"/>
          <w:sz w:val="32"/>
          <w:szCs w:val="32"/>
        </w:rPr>
        <w:t>1</w:t>
      </w:r>
      <w:r>
        <w:rPr>
          <w:rFonts w:eastAsia="仿宋_GB2312"/>
          <w:sz w:val="32"/>
          <w:szCs w:val="32"/>
        </w:rPr>
        <w:t>枚较大，花药靠合；雌蕊</w:t>
      </w:r>
      <w:r>
        <w:rPr>
          <w:rFonts w:eastAsia="仿宋_GB2312"/>
          <w:sz w:val="32"/>
          <w:szCs w:val="32"/>
        </w:rPr>
        <w:t>1</w:t>
      </w:r>
      <w:r>
        <w:rPr>
          <w:rFonts w:eastAsia="仿宋_GB2312"/>
          <w:sz w:val="32"/>
          <w:szCs w:val="32"/>
        </w:rPr>
        <w:t>，子房球形，</w:t>
      </w:r>
      <w:r>
        <w:rPr>
          <w:rFonts w:eastAsia="仿宋_GB2312"/>
          <w:sz w:val="32"/>
          <w:szCs w:val="32"/>
        </w:rPr>
        <w:t>2</w:t>
      </w:r>
      <w:r>
        <w:rPr>
          <w:rFonts w:eastAsia="仿宋_GB2312"/>
          <w:sz w:val="32"/>
          <w:szCs w:val="32"/>
        </w:rPr>
        <w:t>室，内</w:t>
      </w:r>
      <w:r>
        <w:rPr>
          <w:rFonts w:eastAsia="仿宋_GB2312"/>
          <w:sz w:val="32"/>
          <w:szCs w:val="32"/>
        </w:rPr>
        <w:lastRenderedPageBreak/>
        <w:t>含多数胚珠。浆果，球形，绿色，直径约</w:t>
      </w:r>
      <w:r>
        <w:rPr>
          <w:rFonts w:eastAsia="仿宋_GB2312"/>
          <w:sz w:val="32"/>
          <w:szCs w:val="32"/>
        </w:rPr>
        <w:t>lcm</w:t>
      </w:r>
      <w:r>
        <w:rPr>
          <w:rFonts w:eastAsia="仿宋_GB2312"/>
          <w:sz w:val="32"/>
          <w:szCs w:val="32"/>
        </w:rPr>
        <w:t>，外面为多刺的萼片所包裹，果实内含种子多数。种子黑褐色，直径</w:t>
      </w:r>
      <w:r>
        <w:rPr>
          <w:rFonts w:eastAsia="仿宋_GB2312"/>
          <w:sz w:val="32"/>
          <w:szCs w:val="32"/>
        </w:rPr>
        <w:t>2.5~3 mm</w:t>
      </w:r>
      <w:r>
        <w:rPr>
          <w:rFonts w:eastAsia="仿宋_GB2312"/>
          <w:sz w:val="32"/>
          <w:szCs w:val="32"/>
        </w:rPr>
        <w:t>，表面具蜂窝状凹坑。花期</w:t>
      </w:r>
      <w:r>
        <w:rPr>
          <w:rFonts w:eastAsia="仿宋_GB2312"/>
          <w:sz w:val="32"/>
          <w:szCs w:val="32"/>
        </w:rPr>
        <w:t>6~9</w:t>
      </w:r>
      <w:r>
        <w:rPr>
          <w:rFonts w:eastAsia="仿宋_GB2312"/>
          <w:sz w:val="32"/>
          <w:szCs w:val="32"/>
        </w:rPr>
        <w:t>月，果期</w:t>
      </w:r>
      <w:r>
        <w:rPr>
          <w:rFonts w:eastAsia="仿宋_GB2312"/>
          <w:sz w:val="32"/>
          <w:szCs w:val="32"/>
        </w:rPr>
        <w:t>7~10</w:t>
      </w:r>
      <w:r>
        <w:rPr>
          <w:rFonts w:eastAsia="仿宋_GB2312"/>
          <w:sz w:val="32"/>
          <w:szCs w:val="32"/>
        </w:rPr>
        <w:t>月。</w:t>
      </w:r>
    </w:p>
    <w:p w:rsidR="00302F7B" w:rsidRDefault="00302F7B" w:rsidP="00302F7B">
      <w:pPr>
        <w:adjustRightInd w:val="0"/>
        <w:snapToGrid w:val="0"/>
        <w:jc w:val="center"/>
        <w:rPr>
          <w:rFonts w:eastAsia="仿宋_GB2312"/>
          <w:sz w:val="32"/>
          <w:szCs w:val="32"/>
        </w:rPr>
      </w:pPr>
      <w:r>
        <w:rPr>
          <w:rFonts w:eastAsia="仿宋_GB2312"/>
          <w:noProof/>
          <w:sz w:val="32"/>
          <w:szCs w:val="32"/>
        </w:rPr>
        <w:drawing>
          <wp:inline distT="0" distB="0" distL="0" distR="0">
            <wp:extent cx="5399405" cy="3884930"/>
            <wp:effectExtent l="19050" t="0" r="0" b="0"/>
            <wp:docPr id="15" name="图片 15" descr="http://www.reea.agri.cn/stzybh/202307/W020230707621215346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reea.agri.cn/stzybh/202307/W020230707621215346684.png"/>
                    <pic:cNvPicPr>
                      <a:picLocks noChangeAspect="1" noChangeArrowheads="1"/>
                    </pic:cNvPicPr>
                  </pic:nvPicPr>
                  <pic:blipFill>
                    <a:blip r:embed="rId6"/>
                    <a:srcRect/>
                    <a:stretch>
                      <a:fillRect/>
                    </a:stretch>
                  </pic:blipFill>
                  <pic:spPr>
                    <a:xfrm>
                      <a:off x="0" y="0"/>
                      <a:ext cx="5400000" cy="3885466"/>
                    </a:xfrm>
                    <a:prstGeom prst="rect">
                      <a:avLst/>
                    </a:prstGeom>
                    <a:noFill/>
                    <a:ln w="9525">
                      <a:noFill/>
                      <a:miter lim="800000"/>
                      <a:headEnd/>
                      <a:tailEnd/>
                    </a:ln>
                  </pic:spPr>
                </pic:pic>
              </a:graphicData>
            </a:graphic>
          </wp:inline>
        </w:drawing>
      </w:r>
    </w:p>
    <w:p w:rsidR="00302F7B" w:rsidRDefault="00302F7B" w:rsidP="00302F7B">
      <w:pPr>
        <w:adjustRightInd w:val="0"/>
        <w:snapToGrid w:val="0"/>
        <w:spacing w:line="580" w:lineRule="exact"/>
        <w:jc w:val="center"/>
        <w:rPr>
          <w:rFonts w:eastAsia="仿宋_GB2312"/>
          <w:sz w:val="32"/>
          <w:szCs w:val="32"/>
        </w:rPr>
      </w:pPr>
      <w:r>
        <w:rPr>
          <w:rFonts w:eastAsia="仿宋_GB2312"/>
          <w:sz w:val="32"/>
          <w:szCs w:val="32"/>
        </w:rPr>
        <w:t>黄花刺茄主要特征</w:t>
      </w:r>
    </w:p>
    <w:p w:rsidR="00302F7B" w:rsidRDefault="00302F7B" w:rsidP="00302F7B">
      <w:pPr>
        <w:adjustRightInd w:val="0"/>
        <w:snapToGrid w:val="0"/>
        <w:spacing w:line="580" w:lineRule="exact"/>
        <w:jc w:val="center"/>
        <w:rPr>
          <w:rFonts w:eastAsia="仿宋_GB2312"/>
          <w:sz w:val="32"/>
          <w:szCs w:val="32"/>
        </w:rPr>
      </w:pPr>
      <w:r>
        <w:rPr>
          <w:rFonts w:eastAsia="仿宋_GB2312"/>
          <w:sz w:val="32"/>
          <w:szCs w:val="32"/>
        </w:rPr>
        <w:t>a,</w:t>
      </w:r>
      <w:r>
        <w:rPr>
          <w:rFonts w:eastAsia="仿宋_GB2312"/>
          <w:sz w:val="32"/>
          <w:szCs w:val="32"/>
        </w:rPr>
        <w:t>景观、</w:t>
      </w:r>
      <w:r>
        <w:rPr>
          <w:rFonts w:eastAsia="仿宋_GB2312"/>
          <w:sz w:val="32"/>
          <w:szCs w:val="32"/>
        </w:rPr>
        <w:t>b,</w:t>
      </w:r>
      <w:r>
        <w:rPr>
          <w:rFonts w:eastAsia="仿宋_GB2312"/>
          <w:sz w:val="32"/>
          <w:szCs w:val="32"/>
        </w:rPr>
        <w:t>单株、</w:t>
      </w:r>
      <w:r>
        <w:rPr>
          <w:rFonts w:eastAsia="仿宋_GB2312"/>
          <w:sz w:val="32"/>
          <w:szCs w:val="32"/>
        </w:rPr>
        <w:t>c,</w:t>
      </w:r>
      <w:r>
        <w:rPr>
          <w:rFonts w:eastAsia="仿宋_GB2312"/>
          <w:sz w:val="32"/>
          <w:szCs w:val="32"/>
        </w:rPr>
        <w:t>幼苗、</w:t>
      </w:r>
      <w:r>
        <w:rPr>
          <w:rFonts w:eastAsia="仿宋_GB2312"/>
          <w:sz w:val="32"/>
          <w:szCs w:val="32"/>
        </w:rPr>
        <w:t>d,</w:t>
      </w:r>
      <w:r>
        <w:rPr>
          <w:rFonts w:eastAsia="仿宋_GB2312"/>
          <w:sz w:val="32"/>
          <w:szCs w:val="32"/>
        </w:rPr>
        <w:t>根、</w:t>
      </w:r>
      <w:r>
        <w:rPr>
          <w:rFonts w:eastAsia="仿宋_GB2312"/>
          <w:sz w:val="32"/>
          <w:szCs w:val="32"/>
        </w:rPr>
        <w:t>e,</w:t>
      </w:r>
      <w:r>
        <w:rPr>
          <w:rFonts w:eastAsia="仿宋_GB2312"/>
          <w:sz w:val="32"/>
          <w:szCs w:val="32"/>
        </w:rPr>
        <w:t>花、</w:t>
      </w:r>
      <w:r>
        <w:rPr>
          <w:rFonts w:eastAsia="仿宋_GB2312"/>
          <w:sz w:val="32"/>
          <w:szCs w:val="32"/>
        </w:rPr>
        <w:t>f,</w:t>
      </w:r>
      <w:r>
        <w:rPr>
          <w:rFonts w:eastAsia="仿宋_GB2312"/>
          <w:sz w:val="32"/>
          <w:szCs w:val="32"/>
        </w:rPr>
        <w:t>果实</w:t>
      </w:r>
    </w:p>
    <w:p w:rsidR="00302F7B" w:rsidRDefault="00302F7B" w:rsidP="00302F7B">
      <w:pPr>
        <w:adjustRightInd w:val="0"/>
        <w:snapToGrid w:val="0"/>
        <w:spacing w:line="580" w:lineRule="exact"/>
        <w:jc w:val="center"/>
        <w:rPr>
          <w:rFonts w:eastAsia="仿宋_GB2312"/>
          <w:sz w:val="32"/>
          <w:szCs w:val="32"/>
        </w:rPr>
      </w:pP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二）主要危害。黄花刺茄在我国主要危害草场和农田。入侵农田，生长速度快，通过争夺水分、养分、光照和生长空间，严重抑制农作物生长，影响农作物产量；入侵草场则降低草场质量，伤害牲畜，影响放牧和人类活动。黄花刺茄能产生一种茄碱，对家畜有毒，中毒症状为呼吸困难，虚弱和颤抖等。黄花刺茄带刺果实对羊毛的产量和质量具有破坏性的影响。</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lastRenderedPageBreak/>
        <w:t xml:space="preserve">　　（三）发生生境。主要生长在开阔的、受干扰的生境，如荒地、河岸、庭院、谷仓前、畜栏、过度放牧的草地、路边、垃圾场等，极耐干旱。</w:t>
      </w:r>
    </w:p>
    <w:p w:rsidR="00302F7B" w:rsidRDefault="00302F7B" w:rsidP="00302F7B">
      <w:pPr>
        <w:adjustRightInd w:val="0"/>
        <w:snapToGrid w:val="0"/>
        <w:spacing w:line="580" w:lineRule="exact"/>
        <w:rPr>
          <w:rFonts w:ascii="黑体" w:eastAsia="黑体" w:hAnsi="黑体"/>
          <w:sz w:val="32"/>
          <w:szCs w:val="32"/>
        </w:rPr>
      </w:pPr>
      <w:r>
        <w:rPr>
          <w:rFonts w:ascii="黑体" w:eastAsia="黑体" w:hAnsi="黑体"/>
          <w:sz w:val="32"/>
          <w:szCs w:val="32"/>
        </w:rPr>
        <w:t xml:space="preserve">　　二、防控策略</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在摸清黄花刺茄本地分布和发生危害现状的基础上，根据发生面积和物候期，在适当的物候期开展针对性的监测和治理。在连片的重点发生区，强化发生危害监测，及时采取物理、化学防治、生物替代防治等减灾降害处理；在零星发生的扩散前沿区域和潜在的入侵地点，科学布设监测网点，加强监测和预警，及时采用物理、化学等方法进行防除。黄花刺茄的最佳防控时期是营养生长期。</w:t>
      </w:r>
    </w:p>
    <w:p w:rsidR="00302F7B" w:rsidRDefault="00302F7B" w:rsidP="00302F7B">
      <w:pPr>
        <w:adjustRightInd w:val="0"/>
        <w:snapToGrid w:val="0"/>
        <w:spacing w:line="580" w:lineRule="exact"/>
        <w:rPr>
          <w:rFonts w:ascii="黑体" w:eastAsia="黑体" w:hAnsi="黑体"/>
          <w:sz w:val="32"/>
          <w:szCs w:val="32"/>
        </w:rPr>
      </w:pPr>
      <w:r>
        <w:rPr>
          <w:rFonts w:ascii="黑体" w:eastAsia="黑体" w:hAnsi="黑体"/>
          <w:sz w:val="32"/>
          <w:szCs w:val="32"/>
        </w:rPr>
        <w:t xml:space="preserve">　　三、防控措施</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（一）监测预警</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对从有黄花刺茄分布国家进口和国内发生区调运的粮食作物的种子、苗木、牧草、秸秆和种畜等加强检疫，防止黄花刺茄的种子和植株传入本地，对潜在的传入和扩散地加强监测、及时发现并处置。</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（二）人工拔除和机械铲除</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为了保护天然草地的人畜安全和物种多样性，考虑到化学除草剂对生态和环境的危害性，在天然草地宜采取人工拔除和机械铲除的方式进行防除，根据黄花刺茄的发生面积采取不同的防除方式。</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lastRenderedPageBreak/>
        <w:t xml:space="preserve">　　在黄花刺茄零星发生区。主要采用人工拔除方法进行防除，并要进行持续调查监测，只要生长出苗就立即拔除，直至</w:t>
      </w:r>
      <w:r>
        <w:rPr>
          <w:rFonts w:eastAsia="仿宋_GB2312"/>
          <w:sz w:val="32"/>
          <w:szCs w:val="32"/>
        </w:rPr>
        <w:t>3</w:t>
      </w:r>
      <w:r>
        <w:rPr>
          <w:rFonts w:eastAsia="仿宋_GB2312"/>
          <w:sz w:val="32"/>
          <w:szCs w:val="32"/>
        </w:rPr>
        <w:t>年内不再出现黄花刺茄。</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在黄花刺茄连片发生区。主要采用人工或机械拔除方式进行防除，黄花刺茄在</w:t>
      </w:r>
      <w:r>
        <w:rPr>
          <w:rFonts w:eastAsia="仿宋_GB2312"/>
          <w:sz w:val="32"/>
          <w:szCs w:val="32"/>
        </w:rPr>
        <w:t>4</w:t>
      </w:r>
      <w:r>
        <w:rPr>
          <w:rFonts w:eastAsia="仿宋_GB2312"/>
          <w:sz w:val="32"/>
          <w:szCs w:val="32"/>
        </w:rPr>
        <w:t>片真叶前的幼苗期生长缓慢，适宜进行人工或机械铲除。植株旺盛生长的</w:t>
      </w:r>
      <w:r>
        <w:rPr>
          <w:rFonts w:eastAsia="仿宋_GB2312"/>
          <w:sz w:val="32"/>
          <w:szCs w:val="32"/>
        </w:rPr>
        <w:t>7</w:t>
      </w:r>
      <w:r>
        <w:rPr>
          <w:rFonts w:eastAsia="仿宋_GB2312"/>
          <w:sz w:val="32"/>
          <w:szCs w:val="32"/>
        </w:rPr>
        <w:t>月份可再次对其清除，铲除后的植株要通过焚烧、深埋等方式进行灭活处理，以提高防治效率。</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采用人工拔除或机械防除一般应在种子成熟之前进行。如果错过了最佳时机或者有遗漏，还需在植株枯萎前进行一次铲除，如发现防治时黄花刺茄种子已经成熟，需要枝剪剪除花序部分，装袋并进行灭活处理，以免种子飘落造成扩散危害。</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（三）化学防治</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在黄花刺茄的苗期和花蕾期可采用化学防治方法进行防除。化学防除时应根据黄花刺茄的生境和除草剂的持效期等特点，谨慎地选用除草剂和喷施方法。喷雾时要选择晴天无风时，避免喷施的药剂飘移到邻近敏感植物上。在河沟边或农田边使用化学除草剂时，要选择晴天喷施，避免药剂随雨水进入田间而造成药害。施药区应插上明显的警示牌，避免造成人、畜中毒或其他意外。</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1.</w:t>
      </w:r>
      <w:r>
        <w:rPr>
          <w:rFonts w:eastAsia="仿宋_GB2312"/>
          <w:sz w:val="32"/>
          <w:szCs w:val="32"/>
        </w:rPr>
        <w:t>草地。草地黄花刺茄要以物理机械防除和生物防控为主，化学防治为辅的综合治理模式。不建议在纯天然草地使用除草剂等防治黄花刺茄。在退化草地、人工草地、废弃地、牧户居住地等生境，可在营养生长早期（</w:t>
      </w:r>
      <w:r>
        <w:rPr>
          <w:rFonts w:eastAsia="仿宋_GB2312"/>
          <w:sz w:val="32"/>
          <w:szCs w:val="32"/>
        </w:rPr>
        <w:t>3~5</w:t>
      </w:r>
      <w:r>
        <w:rPr>
          <w:rFonts w:eastAsia="仿宋_GB2312"/>
          <w:sz w:val="32"/>
          <w:szCs w:val="32"/>
        </w:rPr>
        <w:t>叶期）采用定向喷施方式防治</w:t>
      </w:r>
      <w:r>
        <w:rPr>
          <w:rFonts w:eastAsia="仿宋_GB2312"/>
          <w:sz w:val="32"/>
          <w:szCs w:val="32"/>
        </w:rPr>
        <w:lastRenderedPageBreak/>
        <w:t>黄花刺茄。防治时尽量选用</w:t>
      </w:r>
      <w:r>
        <w:rPr>
          <w:rFonts w:eastAsia="仿宋_GB2312"/>
          <w:sz w:val="32"/>
          <w:szCs w:val="32"/>
        </w:rPr>
        <w:t>24%</w:t>
      </w:r>
      <w:r>
        <w:rPr>
          <w:rFonts w:eastAsia="仿宋_GB2312"/>
          <w:sz w:val="32"/>
          <w:szCs w:val="32"/>
        </w:rPr>
        <w:t>氯氨吡啶酸等环境污染小、家畜危害低的除草剂，采用低浓度喷洒（每亩</w:t>
      </w:r>
      <w:r>
        <w:rPr>
          <w:rFonts w:eastAsia="仿宋_GB2312"/>
          <w:sz w:val="32"/>
          <w:szCs w:val="32"/>
        </w:rPr>
        <w:t>10-20mL24%</w:t>
      </w:r>
      <w:r>
        <w:rPr>
          <w:rFonts w:eastAsia="仿宋_GB2312"/>
          <w:sz w:val="32"/>
          <w:szCs w:val="32"/>
        </w:rPr>
        <w:t>氯氨吡啶酸），降低对草地的危害。</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2.</w:t>
      </w:r>
      <w:r>
        <w:rPr>
          <w:rFonts w:eastAsia="仿宋_GB2312"/>
          <w:sz w:val="32"/>
          <w:szCs w:val="32"/>
        </w:rPr>
        <w:t>荒地。在黄花刺茄幼苗</w:t>
      </w:r>
      <w:r>
        <w:rPr>
          <w:rFonts w:eastAsia="仿宋_GB2312"/>
          <w:sz w:val="32"/>
          <w:szCs w:val="32"/>
        </w:rPr>
        <w:t>3~5</w:t>
      </w:r>
      <w:r>
        <w:rPr>
          <w:rFonts w:eastAsia="仿宋_GB2312"/>
          <w:sz w:val="32"/>
          <w:szCs w:val="32"/>
        </w:rPr>
        <w:t>叶期，可用</w:t>
      </w:r>
      <w:r>
        <w:rPr>
          <w:rFonts w:eastAsia="仿宋_GB2312"/>
          <w:sz w:val="32"/>
          <w:szCs w:val="32"/>
        </w:rPr>
        <w:t>72%</w:t>
      </w:r>
      <w:r>
        <w:rPr>
          <w:rFonts w:eastAsia="仿宋_GB2312"/>
          <w:sz w:val="32"/>
          <w:szCs w:val="32"/>
        </w:rPr>
        <w:t>的</w:t>
      </w:r>
      <w:r>
        <w:rPr>
          <w:rFonts w:eastAsia="仿宋_GB2312"/>
          <w:sz w:val="32"/>
          <w:szCs w:val="32"/>
        </w:rPr>
        <w:t>2</w:t>
      </w:r>
      <w:r>
        <w:rPr>
          <w:rFonts w:eastAsia="仿宋_GB2312"/>
          <w:sz w:val="32"/>
          <w:szCs w:val="32"/>
        </w:rPr>
        <w:t>，</w:t>
      </w:r>
      <w:r>
        <w:rPr>
          <w:rFonts w:eastAsia="仿宋_GB2312"/>
          <w:sz w:val="32"/>
          <w:szCs w:val="32"/>
        </w:rPr>
        <w:t>4-D</w:t>
      </w:r>
      <w:r>
        <w:rPr>
          <w:rFonts w:eastAsia="仿宋_GB2312"/>
          <w:sz w:val="32"/>
          <w:szCs w:val="32"/>
        </w:rPr>
        <w:t>丁酯乳油（二氯苯氧基乙酸）</w:t>
      </w:r>
      <w:r>
        <w:rPr>
          <w:rFonts w:eastAsia="仿宋_GB2312"/>
          <w:sz w:val="32"/>
          <w:szCs w:val="32"/>
        </w:rPr>
        <w:t>35~60 mL/</w:t>
      </w:r>
      <w:r>
        <w:rPr>
          <w:rFonts w:eastAsia="仿宋_GB2312"/>
          <w:sz w:val="32"/>
          <w:szCs w:val="32"/>
        </w:rPr>
        <w:t>亩；在</w:t>
      </w:r>
      <w:r>
        <w:rPr>
          <w:rFonts w:eastAsia="仿宋_GB2312"/>
          <w:sz w:val="32"/>
          <w:szCs w:val="32"/>
        </w:rPr>
        <w:t>3~9</w:t>
      </w:r>
      <w:r>
        <w:rPr>
          <w:rFonts w:eastAsia="仿宋_GB2312"/>
          <w:sz w:val="32"/>
          <w:szCs w:val="32"/>
        </w:rPr>
        <w:t>叶期还可以使用</w:t>
      </w:r>
      <w:r>
        <w:rPr>
          <w:rFonts w:eastAsia="仿宋_GB2312"/>
          <w:sz w:val="32"/>
          <w:szCs w:val="32"/>
        </w:rPr>
        <w:t>48%</w:t>
      </w:r>
      <w:r>
        <w:rPr>
          <w:rFonts w:eastAsia="仿宋_GB2312"/>
          <w:sz w:val="32"/>
          <w:szCs w:val="32"/>
        </w:rPr>
        <w:t>麦草畏（</w:t>
      </w:r>
      <w:r>
        <w:rPr>
          <w:rFonts w:eastAsia="仿宋_GB2312"/>
          <w:sz w:val="32"/>
          <w:szCs w:val="32"/>
        </w:rPr>
        <w:t>3,6-</w:t>
      </w:r>
      <w:r>
        <w:rPr>
          <w:rFonts w:eastAsia="仿宋_GB2312"/>
          <w:sz w:val="32"/>
          <w:szCs w:val="32"/>
        </w:rPr>
        <w:t>二氯</w:t>
      </w:r>
      <w:r>
        <w:rPr>
          <w:rFonts w:eastAsia="仿宋_GB2312"/>
          <w:sz w:val="32"/>
          <w:szCs w:val="32"/>
        </w:rPr>
        <w:t>-2-</w:t>
      </w:r>
      <w:r>
        <w:rPr>
          <w:rFonts w:eastAsia="仿宋_GB2312"/>
          <w:sz w:val="32"/>
          <w:szCs w:val="32"/>
        </w:rPr>
        <w:t>甲氧基苯甲酸）水剂</w:t>
      </w:r>
      <w:r>
        <w:rPr>
          <w:rFonts w:eastAsia="仿宋_GB2312"/>
          <w:sz w:val="32"/>
          <w:szCs w:val="32"/>
        </w:rPr>
        <w:t>60~80mL/</w:t>
      </w:r>
      <w:r>
        <w:rPr>
          <w:rFonts w:eastAsia="仿宋_GB2312"/>
          <w:sz w:val="32"/>
          <w:szCs w:val="32"/>
        </w:rPr>
        <w:t>亩，或</w:t>
      </w:r>
      <w:r>
        <w:rPr>
          <w:rFonts w:eastAsia="仿宋_GB2312"/>
          <w:sz w:val="32"/>
          <w:szCs w:val="32"/>
        </w:rPr>
        <w:t>41%</w:t>
      </w:r>
      <w:r>
        <w:rPr>
          <w:rFonts w:eastAsia="仿宋_GB2312"/>
          <w:sz w:val="32"/>
          <w:szCs w:val="32"/>
        </w:rPr>
        <w:t>草甘膦水剂</w:t>
      </w:r>
      <w:r>
        <w:rPr>
          <w:rFonts w:eastAsia="仿宋_GB2312"/>
          <w:sz w:val="32"/>
          <w:szCs w:val="32"/>
        </w:rPr>
        <w:t>100~150 mL/</w:t>
      </w:r>
      <w:r>
        <w:rPr>
          <w:rFonts w:eastAsia="仿宋_GB2312"/>
          <w:sz w:val="32"/>
          <w:szCs w:val="32"/>
        </w:rPr>
        <w:t>亩，</w:t>
      </w:r>
      <w:r>
        <w:rPr>
          <w:rFonts w:eastAsia="仿宋_GB2312"/>
          <w:sz w:val="32"/>
          <w:szCs w:val="32"/>
        </w:rPr>
        <w:t>24%</w:t>
      </w:r>
      <w:r>
        <w:rPr>
          <w:rFonts w:eastAsia="仿宋_GB2312"/>
          <w:sz w:val="32"/>
          <w:szCs w:val="32"/>
        </w:rPr>
        <w:t>氨氯吡啶酸水剂水剂</w:t>
      </w:r>
      <w:r>
        <w:rPr>
          <w:rFonts w:eastAsia="仿宋_GB2312"/>
          <w:sz w:val="32"/>
          <w:szCs w:val="32"/>
        </w:rPr>
        <w:t>15~25 mL /</w:t>
      </w:r>
      <w:r>
        <w:rPr>
          <w:rFonts w:eastAsia="仿宋_GB2312"/>
          <w:sz w:val="32"/>
          <w:szCs w:val="32"/>
        </w:rPr>
        <w:t>亩，</w:t>
      </w:r>
      <w:r>
        <w:rPr>
          <w:rFonts w:eastAsia="仿宋_GB2312"/>
          <w:sz w:val="32"/>
          <w:szCs w:val="32"/>
        </w:rPr>
        <w:t>48%</w:t>
      </w:r>
      <w:r>
        <w:rPr>
          <w:rFonts w:eastAsia="仿宋_GB2312"/>
          <w:sz w:val="32"/>
          <w:szCs w:val="32"/>
        </w:rPr>
        <w:t>三氯吡氧乙酸乳油</w:t>
      </w:r>
      <w:r>
        <w:rPr>
          <w:rFonts w:eastAsia="仿宋_GB2312"/>
          <w:sz w:val="32"/>
          <w:szCs w:val="32"/>
        </w:rPr>
        <w:t>20~35 mL /</w:t>
      </w:r>
      <w:r>
        <w:rPr>
          <w:rFonts w:eastAsia="仿宋_GB2312"/>
          <w:sz w:val="32"/>
          <w:szCs w:val="32"/>
        </w:rPr>
        <w:t>亩，</w:t>
      </w:r>
      <w:r>
        <w:rPr>
          <w:rFonts w:eastAsia="仿宋_GB2312"/>
          <w:sz w:val="32"/>
          <w:szCs w:val="32"/>
        </w:rPr>
        <w:t>20%</w:t>
      </w:r>
      <w:r>
        <w:rPr>
          <w:rFonts w:eastAsia="仿宋_GB2312"/>
          <w:sz w:val="32"/>
          <w:szCs w:val="32"/>
        </w:rPr>
        <w:t>氯氟吡氧乙酸乳油</w:t>
      </w:r>
      <w:r>
        <w:rPr>
          <w:rFonts w:eastAsia="仿宋_GB2312"/>
          <w:sz w:val="32"/>
          <w:szCs w:val="32"/>
        </w:rPr>
        <w:t>40~65 mL /</w:t>
      </w:r>
      <w:r>
        <w:rPr>
          <w:rFonts w:eastAsia="仿宋_GB2312"/>
          <w:sz w:val="32"/>
          <w:szCs w:val="32"/>
        </w:rPr>
        <w:t>亩，</w:t>
      </w:r>
      <w:r>
        <w:rPr>
          <w:rFonts w:eastAsia="仿宋_GB2312"/>
          <w:sz w:val="32"/>
          <w:szCs w:val="32"/>
        </w:rPr>
        <w:t>25%</w:t>
      </w:r>
      <w:r>
        <w:rPr>
          <w:rFonts w:eastAsia="仿宋_GB2312"/>
          <w:sz w:val="32"/>
          <w:szCs w:val="32"/>
        </w:rPr>
        <w:t>辛酰溴苯腈乳油</w:t>
      </w:r>
      <w:r>
        <w:rPr>
          <w:rFonts w:eastAsia="仿宋_GB2312"/>
          <w:sz w:val="32"/>
          <w:szCs w:val="32"/>
        </w:rPr>
        <w:t>100~150mL/</w:t>
      </w:r>
      <w:r>
        <w:rPr>
          <w:rFonts w:eastAsia="仿宋_GB2312"/>
          <w:sz w:val="32"/>
          <w:szCs w:val="32"/>
        </w:rPr>
        <w:t>亩，兑水</w:t>
      </w:r>
      <w:r>
        <w:rPr>
          <w:rFonts w:eastAsia="仿宋_GB2312"/>
          <w:sz w:val="32"/>
          <w:szCs w:val="32"/>
        </w:rPr>
        <w:t>40~50kg</w:t>
      </w:r>
      <w:r>
        <w:rPr>
          <w:rFonts w:eastAsia="仿宋_GB2312"/>
          <w:sz w:val="32"/>
          <w:szCs w:val="32"/>
        </w:rPr>
        <w:t>，均匀喷雾进行防治。</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3.</w:t>
      </w:r>
      <w:r>
        <w:rPr>
          <w:rFonts w:eastAsia="仿宋_GB2312"/>
          <w:sz w:val="32"/>
          <w:szCs w:val="32"/>
        </w:rPr>
        <w:t>农田。禾本科作物田（小麦田、玉米田），黄花刺茄</w:t>
      </w:r>
      <w:r>
        <w:rPr>
          <w:rFonts w:eastAsia="仿宋_GB2312"/>
          <w:sz w:val="32"/>
          <w:szCs w:val="32"/>
        </w:rPr>
        <w:t>3~5</w:t>
      </w:r>
      <w:r>
        <w:rPr>
          <w:rFonts w:eastAsia="仿宋_GB2312"/>
          <w:sz w:val="32"/>
          <w:szCs w:val="32"/>
        </w:rPr>
        <w:t>叶期，可使用</w:t>
      </w:r>
      <w:r>
        <w:rPr>
          <w:rFonts w:eastAsia="仿宋_GB2312"/>
          <w:sz w:val="32"/>
          <w:szCs w:val="32"/>
        </w:rPr>
        <w:t>24%</w:t>
      </w:r>
      <w:r>
        <w:rPr>
          <w:rFonts w:eastAsia="仿宋_GB2312"/>
          <w:sz w:val="32"/>
          <w:szCs w:val="32"/>
        </w:rPr>
        <w:t>氨氯吡啶酸水剂</w:t>
      </w:r>
      <w:r>
        <w:rPr>
          <w:rFonts w:eastAsia="仿宋_GB2312"/>
          <w:sz w:val="32"/>
          <w:szCs w:val="32"/>
        </w:rPr>
        <w:t>15~25mL/</w:t>
      </w:r>
      <w:r>
        <w:rPr>
          <w:rFonts w:eastAsia="仿宋_GB2312"/>
          <w:sz w:val="32"/>
          <w:szCs w:val="32"/>
        </w:rPr>
        <w:t>亩，</w:t>
      </w:r>
      <w:r>
        <w:rPr>
          <w:rFonts w:eastAsia="仿宋_GB2312"/>
          <w:sz w:val="32"/>
          <w:szCs w:val="32"/>
        </w:rPr>
        <w:t>48%</w:t>
      </w:r>
      <w:r>
        <w:rPr>
          <w:rFonts w:eastAsia="仿宋_GB2312"/>
          <w:sz w:val="32"/>
          <w:szCs w:val="32"/>
        </w:rPr>
        <w:t>三氯吡氧乙酸乳油</w:t>
      </w:r>
      <w:r>
        <w:rPr>
          <w:rFonts w:eastAsia="仿宋_GB2312"/>
          <w:sz w:val="32"/>
          <w:szCs w:val="32"/>
        </w:rPr>
        <w:t>20~35mL/</w:t>
      </w:r>
      <w:r>
        <w:rPr>
          <w:rFonts w:eastAsia="仿宋_GB2312"/>
          <w:sz w:val="32"/>
          <w:szCs w:val="32"/>
        </w:rPr>
        <w:t>亩，</w:t>
      </w:r>
      <w:r>
        <w:rPr>
          <w:rFonts w:eastAsia="仿宋_GB2312"/>
          <w:sz w:val="32"/>
          <w:szCs w:val="32"/>
        </w:rPr>
        <w:t>20%</w:t>
      </w:r>
      <w:r>
        <w:rPr>
          <w:rFonts w:eastAsia="仿宋_GB2312"/>
          <w:sz w:val="32"/>
          <w:szCs w:val="32"/>
        </w:rPr>
        <w:t>氯氟吡氧乙酸乳油</w:t>
      </w:r>
      <w:r>
        <w:rPr>
          <w:rFonts w:eastAsia="仿宋_GB2312"/>
          <w:sz w:val="32"/>
          <w:szCs w:val="32"/>
        </w:rPr>
        <w:t>35~60 mL /</w:t>
      </w:r>
      <w:r>
        <w:rPr>
          <w:rFonts w:eastAsia="仿宋_GB2312"/>
          <w:sz w:val="32"/>
          <w:szCs w:val="32"/>
        </w:rPr>
        <w:t>亩，</w:t>
      </w:r>
      <w:r>
        <w:rPr>
          <w:rFonts w:eastAsia="仿宋_GB2312"/>
          <w:sz w:val="32"/>
          <w:szCs w:val="32"/>
        </w:rPr>
        <w:t>25%</w:t>
      </w:r>
      <w:r>
        <w:rPr>
          <w:rFonts w:eastAsia="仿宋_GB2312"/>
          <w:sz w:val="32"/>
          <w:szCs w:val="32"/>
        </w:rPr>
        <w:t>辛酰溴苯腈乳油</w:t>
      </w:r>
      <w:r>
        <w:rPr>
          <w:rFonts w:eastAsia="仿宋_GB2312"/>
          <w:sz w:val="32"/>
          <w:szCs w:val="32"/>
        </w:rPr>
        <w:t>100~150m L/</w:t>
      </w:r>
      <w:r>
        <w:rPr>
          <w:rFonts w:eastAsia="仿宋_GB2312"/>
          <w:sz w:val="32"/>
          <w:szCs w:val="32"/>
        </w:rPr>
        <w:t>亩等进行防除，均匀喷雾进行防治。大豆田，在黄花刺茄</w:t>
      </w:r>
      <w:r>
        <w:rPr>
          <w:rFonts w:eastAsia="仿宋_GB2312"/>
          <w:sz w:val="32"/>
          <w:szCs w:val="32"/>
        </w:rPr>
        <w:t>3~5</w:t>
      </w:r>
      <w:r>
        <w:rPr>
          <w:rFonts w:eastAsia="仿宋_GB2312"/>
          <w:sz w:val="32"/>
          <w:szCs w:val="32"/>
        </w:rPr>
        <w:t>叶期，用乳氟禾草灵</w:t>
      </w:r>
      <w:r>
        <w:rPr>
          <w:rFonts w:eastAsia="仿宋_GB2312"/>
          <w:sz w:val="32"/>
          <w:szCs w:val="32"/>
        </w:rPr>
        <w:t>6g/</w:t>
      </w:r>
      <w:r>
        <w:rPr>
          <w:rFonts w:eastAsia="仿宋_GB2312"/>
          <w:sz w:val="32"/>
          <w:szCs w:val="32"/>
        </w:rPr>
        <w:t>亩或氟磺胺草醚</w:t>
      </w:r>
      <w:r>
        <w:rPr>
          <w:rFonts w:eastAsia="仿宋_GB2312"/>
          <w:sz w:val="32"/>
          <w:szCs w:val="32"/>
        </w:rPr>
        <w:t>17g/</w:t>
      </w:r>
      <w:r>
        <w:rPr>
          <w:rFonts w:eastAsia="仿宋_GB2312"/>
          <w:sz w:val="32"/>
          <w:szCs w:val="32"/>
        </w:rPr>
        <w:t>亩，兑水</w:t>
      </w:r>
      <w:r>
        <w:rPr>
          <w:rFonts w:eastAsia="仿宋_GB2312"/>
          <w:sz w:val="32"/>
          <w:szCs w:val="32"/>
        </w:rPr>
        <w:t>30~40kg</w:t>
      </w:r>
      <w:r>
        <w:rPr>
          <w:rFonts w:eastAsia="仿宋_GB2312"/>
          <w:sz w:val="32"/>
          <w:szCs w:val="32"/>
        </w:rPr>
        <w:t>，茎叶均匀喷雾进行防治。</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4.</w:t>
      </w:r>
      <w:r>
        <w:rPr>
          <w:rFonts w:eastAsia="仿宋_GB2312"/>
          <w:sz w:val="32"/>
          <w:szCs w:val="32"/>
        </w:rPr>
        <w:t>林地、果园。在黄花刺茄</w:t>
      </w:r>
      <w:r>
        <w:rPr>
          <w:rFonts w:eastAsia="仿宋_GB2312"/>
          <w:sz w:val="32"/>
          <w:szCs w:val="32"/>
        </w:rPr>
        <w:t>3~9</w:t>
      </w:r>
      <w:r>
        <w:rPr>
          <w:rFonts w:eastAsia="仿宋_GB2312"/>
          <w:sz w:val="32"/>
          <w:szCs w:val="32"/>
        </w:rPr>
        <w:t>叶期，</w:t>
      </w:r>
      <w:r>
        <w:rPr>
          <w:rFonts w:eastAsia="仿宋_GB2312"/>
          <w:sz w:val="32"/>
          <w:szCs w:val="32"/>
        </w:rPr>
        <w:t>24%</w:t>
      </w:r>
      <w:r>
        <w:rPr>
          <w:rFonts w:eastAsia="仿宋_GB2312"/>
          <w:sz w:val="32"/>
          <w:szCs w:val="32"/>
        </w:rPr>
        <w:t>氨氯吡啶酸水剂</w:t>
      </w:r>
      <w:r>
        <w:rPr>
          <w:rFonts w:eastAsia="仿宋_GB2312"/>
          <w:sz w:val="32"/>
          <w:szCs w:val="32"/>
        </w:rPr>
        <w:t>20~35mL/</w:t>
      </w:r>
      <w:r>
        <w:rPr>
          <w:rFonts w:eastAsia="仿宋_GB2312"/>
          <w:sz w:val="32"/>
          <w:szCs w:val="32"/>
        </w:rPr>
        <w:t>亩，</w:t>
      </w:r>
      <w:r>
        <w:rPr>
          <w:rFonts w:eastAsia="仿宋_GB2312"/>
          <w:sz w:val="32"/>
          <w:szCs w:val="32"/>
        </w:rPr>
        <w:t>48%</w:t>
      </w:r>
      <w:r>
        <w:rPr>
          <w:rFonts w:eastAsia="仿宋_GB2312"/>
          <w:sz w:val="32"/>
          <w:szCs w:val="32"/>
        </w:rPr>
        <w:t>三氯吡氧乙酸乳油</w:t>
      </w:r>
      <w:r>
        <w:rPr>
          <w:rFonts w:eastAsia="仿宋_GB2312"/>
          <w:sz w:val="32"/>
          <w:szCs w:val="32"/>
        </w:rPr>
        <w:t>30~45mL/</w:t>
      </w:r>
      <w:r>
        <w:rPr>
          <w:rFonts w:eastAsia="仿宋_GB2312"/>
          <w:sz w:val="32"/>
          <w:szCs w:val="32"/>
        </w:rPr>
        <w:t>亩，</w:t>
      </w:r>
      <w:r>
        <w:rPr>
          <w:rFonts w:eastAsia="仿宋_GB2312"/>
          <w:sz w:val="32"/>
          <w:szCs w:val="32"/>
        </w:rPr>
        <w:t>20%</w:t>
      </w:r>
      <w:r>
        <w:rPr>
          <w:rFonts w:eastAsia="仿宋_GB2312"/>
          <w:sz w:val="32"/>
          <w:szCs w:val="32"/>
        </w:rPr>
        <w:t>氯氟吡氧乙酸乳油</w:t>
      </w:r>
      <w:r>
        <w:rPr>
          <w:rFonts w:eastAsia="仿宋_GB2312"/>
          <w:sz w:val="32"/>
          <w:szCs w:val="32"/>
        </w:rPr>
        <w:t>35~60 mL/</w:t>
      </w:r>
      <w:r>
        <w:rPr>
          <w:rFonts w:eastAsia="仿宋_GB2312"/>
          <w:sz w:val="32"/>
          <w:szCs w:val="32"/>
        </w:rPr>
        <w:t>亩，</w:t>
      </w:r>
      <w:r>
        <w:rPr>
          <w:rFonts w:eastAsia="仿宋_GB2312"/>
          <w:sz w:val="32"/>
          <w:szCs w:val="32"/>
        </w:rPr>
        <w:t>25%</w:t>
      </w:r>
      <w:r>
        <w:rPr>
          <w:rFonts w:eastAsia="仿宋_GB2312"/>
          <w:sz w:val="32"/>
          <w:szCs w:val="32"/>
        </w:rPr>
        <w:t>辛酰溴苯腈乳油</w:t>
      </w:r>
      <w:r>
        <w:rPr>
          <w:rFonts w:eastAsia="仿宋_GB2312"/>
          <w:sz w:val="32"/>
          <w:szCs w:val="32"/>
        </w:rPr>
        <w:t>100~150mL/</w:t>
      </w:r>
      <w:r>
        <w:rPr>
          <w:rFonts w:eastAsia="仿宋_GB2312"/>
          <w:sz w:val="32"/>
          <w:szCs w:val="32"/>
        </w:rPr>
        <w:t>亩，兑水</w:t>
      </w:r>
      <w:r>
        <w:rPr>
          <w:rFonts w:eastAsia="仿宋_GB2312"/>
          <w:sz w:val="32"/>
          <w:szCs w:val="32"/>
        </w:rPr>
        <w:t>40~50kg</w:t>
      </w:r>
      <w:r>
        <w:rPr>
          <w:rFonts w:eastAsia="仿宋_GB2312"/>
          <w:sz w:val="32"/>
          <w:szCs w:val="32"/>
        </w:rPr>
        <w:t>，定向茎叶喷雾；或</w:t>
      </w:r>
      <w:r>
        <w:rPr>
          <w:rFonts w:eastAsia="仿宋_GB2312"/>
          <w:sz w:val="32"/>
          <w:szCs w:val="32"/>
        </w:rPr>
        <w:t>41%</w:t>
      </w:r>
      <w:r>
        <w:rPr>
          <w:rFonts w:eastAsia="仿宋_GB2312"/>
          <w:sz w:val="32"/>
          <w:szCs w:val="32"/>
        </w:rPr>
        <w:t>草甘膦水剂</w:t>
      </w:r>
      <w:r>
        <w:rPr>
          <w:rFonts w:eastAsia="仿宋_GB2312"/>
          <w:sz w:val="32"/>
          <w:szCs w:val="32"/>
        </w:rPr>
        <w:t>100~150mL/</w:t>
      </w:r>
      <w:r>
        <w:rPr>
          <w:rFonts w:eastAsia="仿宋_GB2312"/>
          <w:sz w:val="32"/>
          <w:szCs w:val="32"/>
        </w:rPr>
        <w:t>亩，兑水</w:t>
      </w:r>
      <w:r>
        <w:rPr>
          <w:rFonts w:eastAsia="仿宋_GB2312"/>
          <w:sz w:val="32"/>
          <w:szCs w:val="32"/>
        </w:rPr>
        <w:t>30~40kg</w:t>
      </w:r>
      <w:r>
        <w:rPr>
          <w:rFonts w:eastAsia="仿宋_GB2312"/>
          <w:sz w:val="32"/>
          <w:szCs w:val="32"/>
        </w:rPr>
        <w:t>，定向茎叶喷雾。</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5.</w:t>
      </w:r>
      <w:r>
        <w:rPr>
          <w:rFonts w:eastAsia="仿宋_GB2312"/>
          <w:sz w:val="32"/>
          <w:szCs w:val="32"/>
        </w:rPr>
        <w:t>路边。在黄花刺茄</w:t>
      </w:r>
      <w:r>
        <w:rPr>
          <w:rFonts w:eastAsia="仿宋_GB2312"/>
          <w:sz w:val="32"/>
          <w:szCs w:val="32"/>
        </w:rPr>
        <w:t>3~9</w:t>
      </w:r>
      <w:r>
        <w:rPr>
          <w:rFonts w:eastAsia="仿宋_GB2312"/>
          <w:sz w:val="32"/>
          <w:szCs w:val="32"/>
        </w:rPr>
        <w:t>叶期，</w:t>
      </w:r>
      <w:r>
        <w:rPr>
          <w:rFonts w:eastAsia="仿宋_GB2312"/>
          <w:sz w:val="32"/>
          <w:szCs w:val="32"/>
        </w:rPr>
        <w:t>24%</w:t>
      </w:r>
      <w:r>
        <w:rPr>
          <w:rFonts w:eastAsia="仿宋_GB2312"/>
          <w:sz w:val="32"/>
          <w:szCs w:val="32"/>
        </w:rPr>
        <w:t>氨氯吡啶酸水剂</w:t>
      </w:r>
      <w:r>
        <w:rPr>
          <w:rFonts w:eastAsia="仿宋_GB2312"/>
          <w:sz w:val="32"/>
          <w:szCs w:val="32"/>
        </w:rPr>
        <w:t>30~40mL/</w:t>
      </w:r>
      <w:r>
        <w:rPr>
          <w:rFonts w:eastAsia="仿宋_GB2312"/>
          <w:sz w:val="32"/>
          <w:szCs w:val="32"/>
        </w:rPr>
        <w:lastRenderedPageBreak/>
        <w:t>亩，</w:t>
      </w:r>
      <w:r>
        <w:rPr>
          <w:rFonts w:eastAsia="仿宋_GB2312"/>
          <w:sz w:val="32"/>
          <w:szCs w:val="32"/>
        </w:rPr>
        <w:t>48%</w:t>
      </w:r>
      <w:r>
        <w:rPr>
          <w:rFonts w:eastAsia="仿宋_GB2312"/>
          <w:sz w:val="32"/>
          <w:szCs w:val="32"/>
        </w:rPr>
        <w:t>三氯吡氧乙酸乳油</w:t>
      </w:r>
      <w:r>
        <w:rPr>
          <w:rFonts w:eastAsia="仿宋_GB2312"/>
          <w:sz w:val="32"/>
          <w:szCs w:val="32"/>
        </w:rPr>
        <w:t>35~45mL/</w:t>
      </w:r>
      <w:r>
        <w:rPr>
          <w:rFonts w:eastAsia="仿宋_GB2312"/>
          <w:sz w:val="32"/>
          <w:szCs w:val="32"/>
        </w:rPr>
        <w:t>亩，</w:t>
      </w:r>
      <w:r>
        <w:rPr>
          <w:rFonts w:eastAsia="仿宋_GB2312"/>
          <w:sz w:val="32"/>
          <w:szCs w:val="32"/>
        </w:rPr>
        <w:t>20%</w:t>
      </w:r>
      <w:r>
        <w:rPr>
          <w:rFonts w:eastAsia="仿宋_GB2312"/>
          <w:sz w:val="32"/>
          <w:szCs w:val="32"/>
        </w:rPr>
        <w:t>氯氟吡氧乙酸乳油</w:t>
      </w:r>
      <w:r>
        <w:rPr>
          <w:rFonts w:eastAsia="仿宋_GB2312"/>
          <w:sz w:val="32"/>
          <w:szCs w:val="32"/>
        </w:rPr>
        <w:t>35~60 mL/</w:t>
      </w:r>
      <w:r>
        <w:rPr>
          <w:rFonts w:eastAsia="仿宋_GB2312"/>
          <w:sz w:val="32"/>
          <w:szCs w:val="32"/>
        </w:rPr>
        <w:t>亩，</w:t>
      </w:r>
      <w:r>
        <w:rPr>
          <w:rFonts w:eastAsia="仿宋_GB2312"/>
          <w:sz w:val="32"/>
          <w:szCs w:val="32"/>
        </w:rPr>
        <w:t>25%</w:t>
      </w:r>
      <w:r>
        <w:rPr>
          <w:rFonts w:eastAsia="仿宋_GB2312"/>
          <w:sz w:val="32"/>
          <w:szCs w:val="32"/>
        </w:rPr>
        <w:t>辛酰溴苯腈乳油</w:t>
      </w:r>
      <w:r>
        <w:rPr>
          <w:rFonts w:eastAsia="仿宋_GB2312"/>
          <w:sz w:val="32"/>
          <w:szCs w:val="32"/>
        </w:rPr>
        <w:t>100~150mL/</w:t>
      </w:r>
      <w:r>
        <w:rPr>
          <w:rFonts w:eastAsia="仿宋_GB2312"/>
          <w:sz w:val="32"/>
          <w:szCs w:val="32"/>
        </w:rPr>
        <w:t>亩，兑水</w:t>
      </w:r>
      <w:r>
        <w:rPr>
          <w:rFonts w:eastAsia="仿宋_GB2312"/>
          <w:sz w:val="32"/>
          <w:szCs w:val="32"/>
        </w:rPr>
        <w:t>40~50kg</w:t>
      </w:r>
      <w:r>
        <w:rPr>
          <w:rFonts w:eastAsia="仿宋_GB2312"/>
          <w:sz w:val="32"/>
          <w:szCs w:val="32"/>
        </w:rPr>
        <w:t>，定向茎叶喷雾；或</w:t>
      </w:r>
      <w:r>
        <w:rPr>
          <w:rFonts w:eastAsia="仿宋_GB2312"/>
          <w:sz w:val="32"/>
          <w:szCs w:val="32"/>
        </w:rPr>
        <w:t>41%</w:t>
      </w:r>
      <w:r>
        <w:rPr>
          <w:rFonts w:eastAsia="仿宋_GB2312"/>
          <w:sz w:val="32"/>
          <w:szCs w:val="32"/>
        </w:rPr>
        <w:t>草甘膦水剂</w:t>
      </w:r>
      <w:r>
        <w:rPr>
          <w:rFonts w:eastAsia="仿宋_GB2312"/>
          <w:sz w:val="32"/>
          <w:szCs w:val="32"/>
        </w:rPr>
        <w:t>100~150mL/</w:t>
      </w:r>
      <w:r>
        <w:rPr>
          <w:rFonts w:eastAsia="仿宋_GB2312"/>
          <w:sz w:val="32"/>
          <w:szCs w:val="32"/>
        </w:rPr>
        <w:t>亩，兑水</w:t>
      </w:r>
      <w:r>
        <w:rPr>
          <w:rFonts w:eastAsia="仿宋_GB2312"/>
          <w:sz w:val="32"/>
          <w:szCs w:val="32"/>
        </w:rPr>
        <w:t>30~40kg</w:t>
      </w:r>
      <w:r>
        <w:rPr>
          <w:rFonts w:eastAsia="仿宋_GB2312"/>
          <w:sz w:val="32"/>
          <w:szCs w:val="32"/>
        </w:rPr>
        <w:t>，定向茎叶喷雾。</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在上述不同生境进行除草剂防治时，尽量选择推荐药剂，如防控效果不显著，可在此基础上剂量翻倍。如选用其它除草剂，建议参考推荐剂量喷施。由于黄花刺茄在生长期内存在持续出苗的现象，需要根据本地黄花刺茄的出苗情况进行补施。</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（四）替代控制</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在黄花刺茄的发生区种植紫穗槐、沙棘、紫花苜蓿向日葵、沙打旺、高丹草、黑麦草等，可降低黄花刺茄的生物量，抑制黄花刺茄的生长。在不同生境可选择不同的替代植物。</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1.</w:t>
      </w:r>
      <w:r>
        <w:rPr>
          <w:rFonts w:eastAsia="仿宋_GB2312"/>
          <w:sz w:val="32"/>
          <w:szCs w:val="32"/>
        </w:rPr>
        <w:t>草地。在黄花刺茄集中发生区，春季墒情较好的时候，翻耕后，不需要施肥和浇水，撒播沙打旺、羊草、冰草、披碱草和苇状羊茅等种子，长期维护替代区域，可降低黄花刺茄的生物量。</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2.</w:t>
      </w:r>
      <w:r>
        <w:rPr>
          <w:rFonts w:eastAsia="仿宋_GB2312"/>
          <w:sz w:val="32"/>
          <w:szCs w:val="32"/>
        </w:rPr>
        <w:t>荒地和路边。春季翻耕后，直接播种紫穗槐、沙棘、紫花苜蓿等植物，不需要施肥和浇水，替代植物连续生长</w:t>
      </w:r>
      <w:r>
        <w:rPr>
          <w:rFonts w:eastAsia="仿宋_GB2312"/>
          <w:sz w:val="32"/>
          <w:szCs w:val="32"/>
        </w:rPr>
        <w:t>2</w:t>
      </w:r>
      <w:r>
        <w:rPr>
          <w:rFonts w:eastAsia="仿宋_GB2312"/>
          <w:sz w:val="32"/>
          <w:szCs w:val="32"/>
        </w:rPr>
        <w:t>年，可显著降低黄花刺茄的种群数量。</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3.</w:t>
      </w:r>
      <w:r>
        <w:rPr>
          <w:rFonts w:eastAsia="仿宋_GB2312"/>
          <w:sz w:val="32"/>
          <w:szCs w:val="32"/>
        </w:rPr>
        <w:t>农田。春季翻耕后，可轮作向日葵、苏丹草等植株高大的农作物和牧草，连续轮作</w:t>
      </w:r>
      <w:r>
        <w:rPr>
          <w:rFonts w:eastAsia="仿宋_GB2312"/>
          <w:sz w:val="32"/>
          <w:szCs w:val="32"/>
        </w:rPr>
        <w:t>2</w:t>
      </w:r>
      <w:r>
        <w:rPr>
          <w:rFonts w:eastAsia="仿宋_GB2312"/>
          <w:sz w:val="32"/>
          <w:szCs w:val="32"/>
        </w:rPr>
        <w:t>年后，可显著抑制黄花刺茄的生长。</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4.</w:t>
      </w:r>
      <w:r>
        <w:rPr>
          <w:rFonts w:eastAsia="仿宋_GB2312"/>
          <w:sz w:val="32"/>
          <w:szCs w:val="32"/>
        </w:rPr>
        <w:t>林地和果园。春季翻耕后，撒播沙打旺、紫花苜蓿、黑麦草、羊草等多年生牧草，可显著制约黄花刺茄的生长，降低其生</w:t>
      </w:r>
      <w:r>
        <w:rPr>
          <w:rFonts w:eastAsia="仿宋_GB2312"/>
          <w:sz w:val="32"/>
          <w:szCs w:val="32"/>
        </w:rPr>
        <w:lastRenderedPageBreak/>
        <w:t>物量。</w:t>
      </w:r>
    </w:p>
    <w:p w:rsidR="00302F7B" w:rsidRDefault="00302F7B" w:rsidP="00302F7B">
      <w:pPr>
        <w:adjustRightInd w:val="0"/>
        <w:snapToGrid w:val="0"/>
        <w:spacing w:line="580" w:lineRule="exact"/>
        <w:rPr>
          <w:rFonts w:ascii="黑体" w:eastAsia="黑体" w:hAnsi="黑体"/>
          <w:sz w:val="32"/>
          <w:szCs w:val="32"/>
        </w:rPr>
      </w:pPr>
      <w:r>
        <w:rPr>
          <w:rFonts w:ascii="黑体" w:eastAsia="黑体" w:hAnsi="黑体"/>
          <w:sz w:val="32"/>
          <w:szCs w:val="32"/>
        </w:rPr>
        <w:t xml:space="preserve">　　四、加强部门间的协调和提升民众防控意识</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加强黄花刺茄入侵地（如旗县）间的联防联控，同一入侵地部门（如农业、林草、生态环境、水利、交通等）间的协同管理，避免出现管理盲区和遗漏等，提升防控效率。</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t xml:space="preserve">　　充分运用电视广播、网络媒体、宣传图册等媒体开展多种形式的科普宣传和技术培训，普及黄花刺茄的识别要点和防控知识，广泛动员社会力量积极加入到黄花刺茄的防控队伍中，提高全社会对黄花刺茄的防控意识。</w:t>
      </w:r>
    </w:p>
    <w:p w:rsidR="00302F7B" w:rsidRDefault="00302F7B" w:rsidP="00302F7B">
      <w:pPr>
        <w:adjustRightInd w:val="0"/>
        <w:snapToGrid w:val="0"/>
        <w:spacing w:line="580" w:lineRule="exact"/>
        <w:rPr>
          <w:rFonts w:eastAsia="仿宋_GB2312"/>
          <w:sz w:val="32"/>
          <w:szCs w:val="32"/>
        </w:rPr>
      </w:pPr>
      <w:r>
        <w:rPr>
          <w:rFonts w:eastAsia="仿宋_GB2312"/>
          <w:sz w:val="32"/>
          <w:szCs w:val="32"/>
        </w:rPr>
        <w:br w:type="page"/>
      </w:r>
    </w:p>
    <w:p w:rsidR="00032D18" w:rsidRPr="00302F7B" w:rsidRDefault="00032D18" w:rsidP="00302F7B"/>
    <w:sectPr w:rsidR="00032D18" w:rsidRPr="00302F7B" w:rsidSect="001E29C4">
      <w:footerReference w:type="default" r:id="rId7"/>
      <w:pgSz w:w="11906" w:h="16838"/>
      <w:pgMar w:top="2041" w:right="1361" w:bottom="141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EBB" w:rsidRDefault="00403EBB" w:rsidP="001E29C4">
      <w:r>
        <w:separator/>
      </w:r>
    </w:p>
  </w:endnote>
  <w:endnote w:type="continuationSeparator" w:id="1">
    <w:p w:rsidR="00403EBB" w:rsidRDefault="00403EBB" w:rsidP="001E29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051"/>
      <w:docPartObj>
        <w:docPartGallery w:val="Page Numbers (Bottom of Page)"/>
        <w:docPartUnique/>
      </w:docPartObj>
    </w:sdtPr>
    <w:sdtEndPr>
      <w:rPr>
        <w:rFonts w:asciiTheme="minorEastAsia" w:eastAsiaTheme="minorEastAsia" w:hAnsiTheme="minorEastAsia"/>
        <w:sz w:val="28"/>
        <w:szCs w:val="28"/>
      </w:rPr>
    </w:sdtEndPr>
    <w:sdtContent>
      <w:p w:rsidR="001E29C4" w:rsidRPr="001E29C4" w:rsidRDefault="001E29C4">
        <w:pPr>
          <w:pStyle w:val="a3"/>
          <w:jc w:val="right"/>
          <w:rPr>
            <w:rFonts w:asciiTheme="minorEastAsia" w:eastAsiaTheme="minorEastAsia" w:hAnsiTheme="minorEastAsia"/>
            <w:sz w:val="28"/>
            <w:szCs w:val="28"/>
          </w:rPr>
        </w:pPr>
        <w:r w:rsidRPr="001E29C4">
          <w:rPr>
            <w:rFonts w:asciiTheme="minorEastAsia" w:eastAsiaTheme="minorEastAsia" w:hAnsiTheme="minorEastAsia" w:hint="eastAsia"/>
            <w:sz w:val="28"/>
            <w:szCs w:val="28"/>
          </w:rPr>
          <w:t xml:space="preserve">— </w:t>
        </w:r>
        <w:r w:rsidR="000C7A46" w:rsidRPr="001E29C4">
          <w:rPr>
            <w:rFonts w:asciiTheme="minorEastAsia" w:eastAsiaTheme="minorEastAsia" w:hAnsiTheme="minorEastAsia"/>
            <w:sz w:val="28"/>
            <w:szCs w:val="28"/>
          </w:rPr>
          <w:fldChar w:fldCharType="begin"/>
        </w:r>
        <w:r w:rsidRPr="001E29C4">
          <w:rPr>
            <w:rFonts w:asciiTheme="minorEastAsia" w:eastAsiaTheme="minorEastAsia" w:hAnsiTheme="minorEastAsia"/>
            <w:sz w:val="28"/>
            <w:szCs w:val="28"/>
          </w:rPr>
          <w:instrText xml:space="preserve"> PAGE   \* MERGEFORMAT </w:instrText>
        </w:r>
        <w:r w:rsidR="000C7A46" w:rsidRPr="001E29C4">
          <w:rPr>
            <w:rFonts w:asciiTheme="minorEastAsia" w:eastAsiaTheme="minorEastAsia" w:hAnsiTheme="minorEastAsia"/>
            <w:sz w:val="28"/>
            <w:szCs w:val="28"/>
          </w:rPr>
          <w:fldChar w:fldCharType="separate"/>
        </w:r>
        <w:r w:rsidR="00291EAA" w:rsidRPr="00291EAA">
          <w:rPr>
            <w:rFonts w:asciiTheme="minorEastAsia" w:eastAsiaTheme="minorEastAsia" w:hAnsiTheme="minorEastAsia"/>
            <w:noProof/>
            <w:sz w:val="28"/>
            <w:szCs w:val="28"/>
            <w:lang w:val="zh-CN"/>
          </w:rPr>
          <w:t>7</w:t>
        </w:r>
        <w:r w:rsidR="000C7A46" w:rsidRPr="001E29C4">
          <w:rPr>
            <w:rFonts w:asciiTheme="minorEastAsia" w:eastAsiaTheme="minorEastAsia" w:hAnsiTheme="minorEastAsia"/>
            <w:sz w:val="28"/>
            <w:szCs w:val="28"/>
          </w:rPr>
          <w:fldChar w:fldCharType="end"/>
        </w:r>
        <w:r w:rsidRPr="001E29C4">
          <w:rPr>
            <w:rFonts w:asciiTheme="minorEastAsia" w:eastAsiaTheme="minorEastAsia" w:hAnsiTheme="minorEastAsia" w:hint="eastAsia"/>
            <w:sz w:val="28"/>
            <w:szCs w:val="28"/>
          </w:rPr>
          <w:t xml:space="preserve"> —</w:t>
        </w:r>
      </w:p>
    </w:sdtContent>
  </w:sdt>
  <w:p w:rsidR="001E29C4" w:rsidRDefault="001E29C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EBB" w:rsidRDefault="00403EBB" w:rsidP="001E29C4">
      <w:r>
        <w:separator/>
      </w:r>
    </w:p>
  </w:footnote>
  <w:footnote w:type="continuationSeparator" w:id="1">
    <w:p w:rsidR="00403EBB" w:rsidRDefault="00403EBB" w:rsidP="001E29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29C4"/>
    <w:rsid w:val="00032D18"/>
    <w:rsid w:val="000C7A46"/>
    <w:rsid w:val="001D7983"/>
    <w:rsid w:val="001E29C4"/>
    <w:rsid w:val="00291EAA"/>
    <w:rsid w:val="00302F7B"/>
    <w:rsid w:val="00403EBB"/>
    <w:rsid w:val="00767E83"/>
    <w:rsid w:val="00771E33"/>
    <w:rsid w:val="00841A51"/>
    <w:rsid w:val="00B13F42"/>
    <w:rsid w:val="00C30C0D"/>
    <w:rsid w:val="00F237AE"/>
    <w:rsid w:val="00F727E8"/>
    <w:rsid w:val="00FA07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F7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C30C0D"/>
    <w:pPr>
      <w:tabs>
        <w:tab w:val="center" w:pos="4153"/>
        <w:tab w:val="right" w:pos="8306"/>
      </w:tabs>
      <w:snapToGrid w:val="0"/>
      <w:jc w:val="left"/>
    </w:pPr>
    <w:rPr>
      <w:sz w:val="18"/>
      <w:szCs w:val="18"/>
    </w:rPr>
  </w:style>
  <w:style w:type="character" w:customStyle="1" w:styleId="Char">
    <w:name w:val="页脚 Char"/>
    <w:basedOn w:val="a0"/>
    <w:link w:val="a3"/>
    <w:uiPriority w:val="99"/>
    <w:rsid w:val="00C30C0D"/>
    <w:rPr>
      <w:rFonts w:ascii="Times New Roman" w:eastAsia="宋体" w:hAnsi="Times New Roman" w:cs="Times New Roman"/>
      <w:sz w:val="18"/>
      <w:szCs w:val="18"/>
    </w:rPr>
  </w:style>
  <w:style w:type="paragraph" w:styleId="a4">
    <w:name w:val="Balloon Text"/>
    <w:basedOn w:val="a"/>
    <w:link w:val="Char0"/>
    <w:uiPriority w:val="99"/>
    <w:semiHidden/>
    <w:unhideWhenUsed/>
    <w:rsid w:val="001E29C4"/>
    <w:rPr>
      <w:sz w:val="18"/>
      <w:szCs w:val="18"/>
    </w:rPr>
  </w:style>
  <w:style w:type="character" w:customStyle="1" w:styleId="Char0">
    <w:name w:val="批注框文本 Char"/>
    <w:basedOn w:val="a0"/>
    <w:link w:val="a4"/>
    <w:uiPriority w:val="99"/>
    <w:semiHidden/>
    <w:rsid w:val="001E29C4"/>
    <w:rPr>
      <w:rFonts w:ascii="Times New Roman" w:eastAsia="宋体" w:hAnsi="Times New Roman" w:cs="Times New Roman"/>
      <w:sz w:val="18"/>
      <w:szCs w:val="18"/>
    </w:rPr>
  </w:style>
  <w:style w:type="paragraph" w:styleId="a5">
    <w:name w:val="header"/>
    <w:basedOn w:val="a"/>
    <w:link w:val="Char1"/>
    <w:uiPriority w:val="99"/>
    <w:semiHidden/>
    <w:unhideWhenUsed/>
    <w:rsid w:val="001E29C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1E29C4"/>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1602</Words>
  <Characters>1796</Characters>
  <Application>Microsoft Office Word</Application>
  <DocSecurity>0</DocSecurity>
  <Lines>74</Lines>
  <Paragraphs>37</Paragraphs>
  <ScaleCrop>false</ScaleCrop>
  <Company/>
  <LinksUpToDate>false</LinksUpToDate>
  <CharactersWithSpaces>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cp:lastPrinted>2024-09-29T02:00:00Z</cp:lastPrinted>
  <dcterms:created xsi:type="dcterms:W3CDTF">2024-09-29T02:01:00Z</dcterms:created>
  <dcterms:modified xsi:type="dcterms:W3CDTF">2024-09-29T02:36:00Z</dcterms:modified>
</cp:coreProperties>
</file>