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distribute"/>
        <w:rPr>
          <w:rFonts w:ascii="黑体" w:hAnsi="华文中宋" w:eastAsia="黑体"/>
          <w:color w:val="FF0000"/>
          <w:sz w:val="64"/>
          <w:szCs w:val="64"/>
        </w:rPr>
      </w:pPr>
      <w:r>
        <w:rPr>
          <w:rFonts w:hint="eastAsia" w:ascii="黑体" w:hAnsi="华文中宋" w:eastAsia="黑体"/>
          <w:color w:val="FF0000"/>
          <w:sz w:val="64"/>
          <w:szCs w:val="64"/>
        </w:rPr>
        <w:t>桂林市住房公</w:t>
      </w:r>
      <w:r>
        <w:rPr>
          <w:rFonts w:hint="eastAsia" w:ascii="黑体" w:hAnsi="宋体" w:eastAsia="黑体" w:cs="宋体"/>
          <w:color w:val="FF0000"/>
          <w:sz w:val="64"/>
          <w:szCs w:val="64"/>
        </w:rPr>
        <w:t>积</w:t>
      </w:r>
      <w:r>
        <w:rPr>
          <w:rFonts w:hint="eastAsia" w:ascii="黑体" w:hAnsi="Dotum" w:eastAsia="黑体" w:cs="Dotum"/>
          <w:color w:val="FF0000"/>
          <w:sz w:val="64"/>
          <w:szCs w:val="64"/>
        </w:rPr>
        <w:t>金管理中心</w:t>
      </w:r>
    </w:p>
    <w:p>
      <w:pPr>
        <w:spacing w:line="480" w:lineRule="auto"/>
        <w:jc w:val="center"/>
        <w:rPr>
          <w:rFonts w:hint="eastAsia" w:ascii="仿宋_GB2312" w:eastAsia="仿宋_GB2312"/>
          <w:sz w:val="32"/>
          <w:szCs w:val="32"/>
        </w:rPr>
      </w:pPr>
      <w:r>
        <w:rPr>
          <w:rFonts w:hint="eastAsia" w:ascii="黑体" w:hAnsi="华文中宋" w:eastAsia="黑体"/>
          <w:color w:val="FF0000"/>
          <w:sz w:val="96"/>
          <w:szCs w:val="96"/>
        </w:rPr>
        <w:t>文      件</w:t>
      </w:r>
    </w:p>
    <w:p>
      <w:pPr>
        <w:pStyle w:val="5"/>
        <w:spacing w:before="0" w:after="0" w:afterAutospacing="0" w:line="560" w:lineRule="exact"/>
        <w:jc w:val="center"/>
        <w:rPr>
          <w:rFonts w:ascii="仿宋_GB2312" w:eastAsia="仿宋_GB2312"/>
          <w:sz w:val="32"/>
          <w:szCs w:val="32"/>
          <w:highlight w:val="none"/>
        </w:rPr>
      </w:pPr>
      <w:r>
        <w:rPr>
          <w:rFonts w:hint="eastAsia" w:ascii="仿宋_GB2312" w:eastAsia="仿宋_GB2312"/>
          <w:sz w:val="32"/>
          <w:szCs w:val="32"/>
          <w:highlight w:val="none"/>
        </w:rPr>
        <w:t>市公积金〔20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p>
    <w:p>
      <w:pPr>
        <w:pStyle w:val="11"/>
        <w:spacing w:line="586" w:lineRule="exact"/>
        <w:rPr>
          <w:rFonts w:hint="eastAsia" w:eastAsia="仿宋_GB2312"/>
          <w:bCs/>
          <w:color w:val="000000"/>
          <w:sz w:val="44"/>
          <w:szCs w:val="44"/>
        </w:rPr>
      </w:pPr>
      <w:r>
        <w:rPr>
          <w:rFonts w:hint="eastAsia" w:eastAsia="仿宋_GB2312"/>
          <w:bCs/>
          <w:color w:val="000000"/>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82550</wp:posOffset>
                </wp:positionV>
                <wp:extent cx="5904230" cy="635"/>
                <wp:effectExtent l="0" t="19050" r="1270" b="37465"/>
                <wp:wrapNone/>
                <wp:docPr id="3" name="直接连接符 3"/>
                <wp:cNvGraphicFramePr/>
                <a:graphic xmlns:a="http://schemas.openxmlformats.org/drawingml/2006/main">
                  <a:graphicData uri="http://schemas.microsoft.com/office/word/2010/wordprocessingShape">
                    <wps:wsp>
                      <wps:cNvCnPr/>
                      <wps:spPr>
                        <a:xfrm>
                          <a:off x="0" y="0"/>
                          <a:ext cx="5904230" cy="635"/>
                        </a:xfrm>
                        <a:prstGeom prst="line">
                          <a:avLst/>
                        </a:prstGeom>
                        <a:noFill/>
                        <a:ln w="38100" cap="flat" cmpd="sng" algn="ctr">
                          <a:solidFill>
                            <a:srgbClr val="FF0000"/>
                          </a:solidFill>
                          <a:prstDash val="solid"/>
                          <a:miter lim="800000"/>
                          <a:headEnd type="none" w="med" len="med"/>
                          <a:tailEnd type="none" w="med" len="med"/>
                        </a:ln>
                        <a:effectLst/>
                      </wps:spPr>
                      <wps:bodyPr upright="1"/>
                    </wps:wsp>
                  </a:graphicData>
                </a:graphic>
              </wp:anchor>
            </w:drawing>
          </mc:Choice>
          <mc:Fallback>
            <w:pict>
              <v:line id="_x0000_s1026" o:spid="_x0000_s1026" o:spt="20" style="position:absolute;left:0pt;margin-left:0pt;margin-top:6.5pt;height:0.05pt;width:464.9pt;z-index:251659264;mso-width-relative:page;mso-height-relative:page;" filled="f" stroked="t" coordsize="21600,21600" o:gfxdata="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G9I4TUAAAABgEAAA8AAAAAAAAAAQAgAAAAIgAAAGRycy9kb3ducmV2LnhtbFBL&#10;AQIUABQAAAAIAIdO4kDd04qH+gEAANQDAAAOAAAAAAAAAAEAIAAAACMBAABkcnMvZTJvRG9jLnht&#10;bFBLBQYAAAAABgAGAFkBAACPBQAAAAA=&#10;">
                <v:fill on="f" focussize="0,0"/>
                <v:stroke weight="3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6" w:lineRule="exact"/>
        <w:ind w:left="0" w:hanging="660" w:hangingChars="15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关于调整2022年度桂林市住房公积金</w:t>
      </w:r>
    </w:p>
    <w:p>
      <w:pPr>
        <w:keepNext w:val="0"/>
        <w:keepLines w:val="0"/>
        <w:pageBreakBefore w:val="0"/>
        <w:widowControl w:val="0"/>
        <w:kinsoku/>
        <w:wordWrap/>
        <w:overflowPunct/>
        <w:topLinePunct w:val="0"/>
        <w:autoSpaceDE/>
        <w:autoSpaceDN/>
        <w:bidi w:val="0"/>
        <w:adjustRightInd/>
        <w:snapToGrid/>
        <w:spacing w:line="586" w:lineRule="exact"/>
        <w:ind w:left="0" w:hanging="660" w:hangingChars="15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缴存基数</w:t>
      </w:r>
      <w:r>
        <w:rPr>
          <w:rFonts w:hint="eastAsia" w:ascii="方正小标宋_GBK" w:hAnsi="方正小标宋_GBK" w:eastAsia="方正小标宋_GBK" w:cs="方正小标宋_GBK"/>
          <w:b w:val="0"/>
          <w:bCs/>
          <w:sz w:val="44"/>
          <w:szCs w:val="44"/>
          <w:lang w:eastAsia="zh-CN"/>
        </w:rPr>
        <w:t>及月缴存额</w:t>
      </w:r>
      <w:r>
        <w:rPr>
          <w:rFonts w:hint="eastAsia" w:ascii="方正小标宋_GBK" w:hAnsi="方正小标宋_GBK" w:eastAsia="方正小标宋_GBK" w:cs="方正小标宋_GBK"/>
          <w:b w:val="0"/>
          <w:bCs/>
          <w:sz w:val="44"/>
          <w:szCs w:val="44"/>
        </w:rPr>
        <w:t>上限和下限的通知</w:t>
      </w:r>
    </w:p>
    <w:p>
      <w:pPr>
        <w:keepNext w:val="0"/>
        <w:keepLines w:val="0"/>
        <w:pageBreakBefore w:val="0"/>
        <w:widowControl w:val="0"/>
        <w:kinsoku/>
        <w:wordWrap/>
        <w:overflowPunct/>
        <w:topLinePunct w:val="0"/>
        <w:autoSpaceDE/>
        <w:autoSpaceDN/>
        <w:bidi w:val="0"/>
        <w:adjustRightInd/>
        <w:snapToGrid/>
        <w:spacing w:line="586" w:lineRule="exact"/>
        <w:ind w:left="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各住房公积金缴存单位、各缴存人：</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根据《住房公积金管理条例》、《桂林市住房公积金管理暂行办法》等有关规定，为规范住房公积金缴存行为，现就调整2022年度桂林市住房公积金缴存基数上限和下限等有关事项通知如下：</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一、缴存基数确定</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rPr>
        <w:t xml:space="preserve">年度住房公积金缴存基数为职工本人2021年度月平均工资。职工工资按国家统计局《关于工资总额组成的规定》（国家统计局1990年第1号令）列入工资总额统计项目计算，包括：计时工资、计件工资、奖金、津贴和补贴、加班加点工资、特殊情况下支付的工资。 </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二、2022年桂林市住房公积金缴存基数</w:t>
      </w:r>
      <w:r>
        <w:rPr>
          <w:rFonts w:hint="eastAsia" w:ascii="黑体" w:hAnsi="黑体" w:eastAsia="黑体" w:cs="黑体"/>
          <w:b w:val="0"/>
          <w:bCs w:val="0"/>
          <w:sz w:val="32"/>
          <w:szCs w:val="32"/>
          <w:lang w:eastAsia="zh-CN"/>
        </w:rPr>
        <w:t>及月缴存额</w:t>
      </w:r>
      <w:r>
        <w:rPr>
          <w:rFonts w:hint="eastAsia" w:ascii="黑体" w:hAnsi="黑体" w:eastAsia="黑体" w:cs="黑体"/>
          <w:b w:val="0"/>
          <w:bCs w:val="0"/>
          <w:sz w:val="32"/>
          <w:szCs w:val="32"/>
        </w:rPr>
        <w:t>上限</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住房公积金缴存基数不得高于统计部门公布的本市上一年度职工月平均工资的3倍。根据广西壮族自治区统计局公布的桂林市2021年城镇非私营单位就业人员年平均工资83542元，确定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rPr>
        <w:t>年度本市住房公积金月缴存基数上限为2088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元。单位和个人的住房公积金缴存比例上限各为12%。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rPr>
        <w:t>年度本市单位和个人住房公积金月缴存额上限各为2506元，合计为5012元。</w:t>
      </w:r>
    </w:p>
    <w:p>
      <w:pPr>
        <w:pStyle w:val="2"/>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三、2022年桂林市住房公积金缴存基数</w:t>
      </w:r>
      <w:r>
        <w:rPr>
          <w:rFonts w:hint="eastAsia" w:ascii="黑体" w:hAnsi="黑体" w:eastAsia="黑体" w:cs="黑体"/>
          <w:b w:val="0"/>
          <w:bCs w:val="0"/>
          <w:sz w:val="32"/>
          <w:szCs w:val="32"/>
          <w:lang w:eastAsia="zh-CN"/>
        </w:rPr>
        <w:t>及月缴存额</w:t>
      </w:r>
      <w:r>
        <w:rPr>
          <w:rFonts w:hint="eastAsia" w:ascii="黑体" w:hAnsi="黑体" w:eastAsia="黑体" w:cs="黑体"/>
          <w:b w:val="0"/>
          <w:bCs/>
          <w:sz w:val="32"/>
          <w:szCs w:val="32"/>
        </w:rPr>
        <w:t>下限</w:t>
      </w:r>
    </w:p>
    <w:p>
      <w:pPr>
        <w:pStyle w:val="2"/>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住房公积金缴存基数不得低于上一年度职工最低工资标准，单位和个人住房公积金缴存比例下限各为5%。根据《广西壮族自治区人民政府关于调整全区最低工资标准的通知》（桂政发〔2020〕1号）规定，202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桂林市城区住房公积金缴存基数下限为1810元，单位和个人住房公积金月缴存额下限各为91元，合计为182元；市辖各县、县级市住房公积金缴存基数下限为1430元，单位和个人住房公积金月缴存额下限各为72元，合计为144元。若最低工资标准调整，住房公积金缴存基数下限随之调整。</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w:t>
      </w:r>
      <w:r>
        <w:rPr>
          <w:rFonts w:hint="eastAsia" w:ascii="黑体" w:hAnsi="黑体" w:eastAsia="黑体" w:cs="黑体"/>
          <w:b w:val="0"/>
          <w:bCs/>
          <w:sz w:val="32"/>
          <w:szCs w:val="32"/>
          <w:u w:val="none"/>
        </w:rPr>
        <w:t>企业</w:t>
      </w:r>
      <w:r>
        <w:rPr>
          <w:rFonts w:hint="eastAsia" w:ascii="黑体" w:hAnsi="黑体" w:eastAsia="黑体" w:cs="黑体"/>
          <w:b w:val="0"/>
          <w:bCs/>
          <w:sz w:val="32"/>
          <w:szCs w:val="32"/>
        </w:rPr>
        <w:t>自主调整住房公积金缴存比例</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为优化营商环境，落实为企业减税降负有关政策，</w:t>
      </w:r>
      <w:r>
        <w:rPr>
          <w:rFonts w:hint="eastAsia" w:ascii="仿宋_GB2312" w:hAnsi="仿宋_GB2312" w:eastAsia="仿宋_GB2312" w:cs="仿宋_GB2312"/>
          <w:sz w:val="32"/>
          <w:szCs w:val="32"/>
        </w:rPr>
        <w:t>单位可结合自身经济效益状况，在5%-12%范围内自主调整确定住房公积金缴存比例。</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五、其他事项</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保证缴存的连续性，已与原单位终止劳动关系，尚未与新单位建立劳动关系的职工，可按照《桂林市个人自愿缴存住房公积金实施办法（试行）》规定，以个人名义申请开设自愿缴存账户继续逐月缴存，与原单位名下个人账户的缴存衔接无中断的，视同连续缴存。</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（二）已办理单位网厅数字证书的单位通过网厅办理基数调整业务。</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（三）请各住房公积金缴存单位严格按照通知要求，及时做好2022年度住房公积金缴存基数调整工作，并将缴存基数调整情况告知职工本人，及时、足额、全员缴存住房公积金，确保职工的合法权益。</w:t>
      </w:r>
    </w:p>
    <w:p>
      <w:pPr>
        <w:pStyle w:val="2"/>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（四）填报的月缴存额应四舍五入取整到元。</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本通知从2022年1月开始执行。</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桂林市住房公积金管理中心</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2022年6月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政府信息公开选项:主动公开</w:t>
      </w:r>
    </w:p>
    <w:tbl>
      <w:tblPr>
        <w:tblStyle w:val="9"/>
        <w:tblpPr w:leftFromText="180" w:rightFromText="180" w:vertAnchor="text" w:horzAnchor="margin" w:tblpY="244"/>
        <w:tblOverlap w:val="never"/>
        <w:tblW w:w="9014" w:type="dxa"/>
        <w:tblInd w:w="0" w:type="dxa"/>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14"/>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fixed"/>
        </w:tblPrEx>
        <w:trPr>
          <w:trHeight w:val="624" w:hRule="atLeast"/>
        </w:trPr>
        <w:tc>
          <w:tcPr>
            <w:tcW w:w="9014" w:type="dxa"/>
            <w:vAlign w:val="top"/>
          </w:tcPr>
          <w:p>
            <w:pPr>
              <w:spacing w:line="440" w:lineRule="exact"/>
              <w:ind w:right="-1"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桂林市住房公积金管理中心               </w:t>
            </w:r>
            <w:r>
              <w:rPr>
                <w:rFonts w:hint="eastAsia" w:ascii="仿宋_GB2312" w:hAnsi="仿宋_GB2312" w:eastAsia="仿宋_GB2312" w:cs="仿宋_GB2312"/>
                <w:sz w:val="28"/>
                <w:szCs w:val="28"/>
                <w:lang w:val="en-US" w:eastAsia="zh-CN"/>
              </w:rPr>
              <w:t>2022年6月17</w:t>
            </w:r>
            <w:bookmarkStart w:id="0" w:name="_GoBack"/>
            <w:bookmarkEnd w:id="0"/>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 xml:space="preserve">印发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firstLine="640" w:firstLineChars="200"/>
        <w:textAlignment w:val="auto"/>
        <w:rPr>
          <w:rFonts w:hint="eastAsia" w:ascii="仿宋_GB2312" w:hAnsi="仿宋_GB2312" w:eastAsia="仿宋_GB2312" w:cs="仿宋_GB2312"/>
          <w:sz w:val="32"/>
          <w:szCs w:val="32"/>
          <w:lang w:val="en-US" w:eastAsia="zh-CN"/>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Dotum">
    <w:altName w:val="Malgun Gothic"/>
    <w:panose1 w:val="020B0600000101010101"/>
    <w:charset w:val="81"/>
    <w:family w:val="swiss"/>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66720"/>
    <w:rsid w:val="01C742D9"/>
    <w:rsid w:val="024E2D1F"/>
    <w:rsid w:val="0C0B0820"/>
    <w:rsid w:val="0CA727F8"/>
    <w:rsid w:val="139949CE"/>
    <w:rsid w:val="14B64EBC"/>
    <w:rsid w:val="18923CD6"/>
    <w:rsid w:val="1AD846F2"/>
    <w:rsid w:val="1E6F3638"/>
    <w:rsid w:val="2138437B"/>
    <w:rsid w:val="216F2584"/>
    <w:rsid w:val="227E349E"/>
    <w:rsid w:val="288760B9"/>
    <w:rsid w:val="2D366720"/>
    <w:rsid w:val="33EA6941"/>
    <w:rsid w:val="359626D4"/>
    <w:rsid w:val="36C05217"/>
    <w:rsid w:val="3C6F2FC0"/>
    <w:rsid w:val="3DC54149"/>
    <w:rsid w:val="4BC90DA4"/>
    <w:rsid w:val="4D99173B"/>
    <w:rsid w:val="58020894"/>
    <w:rsid w:val="5BA707ED"/>
    <w:rsid w:val="60007849"/>
    <w:rsid w:val="621272A3"/>
    <w:rsid w:val="6A7E7A3D"/>
    <w:rsid w:val="6E0E700B"/>
    <w:rsid w:val="6E0F3A17"/>
    <w:rsid w:val="71B540BB"/>
    <w:rsid w:val="74287E6E"/>
    <w:rsid w:val="7476693C"/>
    <w:rsid w:val="760F58BA"/>
    <w:rsid w:val="7821068E"/>
    <w:rsid w:val="7C757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spacing w:line="600" w:lineRule="exact"/>
      <w:ind w:firstLine="880" w:firstLineChars="200"/>
    </w:pPr>
  </w:style>
  <w:style w:type="paragraph" w:styleId="3">
    <w:name w:val="Body Text"/>
    <w:basedOn w:val="1"/>
    <w:qFormat/>
    <w:uiPriority w:val="0"/>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rPr>
      <w:rFonts w:eastAsia="宋体"/>
      <w:sz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101"/>
    <w:basedOn w:val="6"/>
    <w:qFormat/>
    <w:uiPriority w:val="0"/>
    <w:rPr>
      <w:rFonts w:hint="default" w:ascii="Wingdings 2" w:hAnsi="Wingdings 2" w:eastAsia="Wingdings 2" w:cs="Wingdings 2"/>
      <w:color w:val="000000"/>
      <w:sz w:val="22"/>
      <w:szCs w:val="22"/>
      <w:u w:val="none"/>
    </w:r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2022-06-01T06:54:00Z</dcterms:created>
  <dc:creator>我可爱的小混蛋们</dc:creator>
  <cp:lastModifiedBy>444</cp:lastModifiedBy>
  <dcterms:modified xsi:type="dcterms:W3CDTF">2022-06-17T07:58:20Z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BAA28248086C4C6697310555D9803C09</vt:lpwstr>
  </property>
</Properties>
</file>